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14440F42" w14:textId="77777777" w:rsidTr="00972F47">
        <w:trPr>
          <w:trHeight w:hRule="exact" w:val="1798"/>
        </w:trPr>
        <w:tc>
          <w:tcPr>
            <w:tcW w:w="9639" w:type="dxa"/>
            <w:gridSpan w:val="2"/>
            <w:vAlign w:val="bottom"/>
          </w:tcPr>
          <w:p w14:paraId="57F2AF83"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7F97A9B2" wp14:editId="78560786">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2503A40A" w14:textId="77777777" w:rsidTr="00972F47">
        <w:tc>
          <w:tcPr>
            <w:tcW w:w="9639" w:type="dxa"/>
            <w:gridSpan w:val="2"/>
            <w:vAlign w:val="bottom"/>
          </w:tcPr>
          <w:p w14:paraId="120A0237" w14:textId="77777777" w:rsidR="00727F08" w:rsidRPr="009B06E0" w:rsidRDefault="00727F08" w:rsidP="00972F47">
            <w:pPr>
              <w:pStyle w:val="FileRefRow"/>
              <w:spacing w:before="60" w:after="60"/>
              <w:jc w:val="right"/>
              <w:rPr>
                <w:rFonts w:cs="Arial"/>
              </w:rPr>
            </w:pPr>
          </w:p>
        </w:tc>
      </w:tr>
      <w:tr w:rsidR="00727F08" w:rsidRPr="009B06E0" w14:paraId="28C47319" w14:textId="77777777" w:rsidTr="00920D02">
        <w:tblPrEx>
          <w:tblCellMar>
            <w:left w:w="170" w:type="dxa"/>
            <w:right w:w="170" w:type="dxa"/>
          </w:tblCellMar>
        </w:tblPrEx>
        <w:trPr>
          <w:trHeight w:hRule="exact" w:val="8618"/>
        </w:trPr>
        <w:tc>
          <w:tcPr>
            <w:tcW w:w="9639" w:type="dxa"/>
            <w:gridSpan w:val="2"/>
            <w:vAlign w:val="bottom"/>
          </w:tcPr>
          <w:p w14:paraId="17B8E5FB" w14:textId="77777777" w:rsidR="00727F08" w:rsidRPr="009B06E0" w:rsidRDefault="00727F08" w:rsidP="00972F47">
            <w:pPr>
              <w:pStyle w:val="ReportTitle"/>
              <w:spacing w:before="60"/>
              <w:ind w:left="440"/>
              <w:rPr>
                <w:rFonts w:cs="Arial"/>
              </w:rPr>
            </w:pPr>
            <w:r w:rsidRPr="009B06E0">
              <w:rPr>
                <w:rFonts w:cs="Arial"/>
              </w:rPr>
              <w:t>Standard Business Reporting</w:t>
            </w:r>
          </w:p>
          <w:p w14:paraId="2B5B9990"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741EF8CF" w14:textId="0C8AF7FC" w:rsidR="00727F08" w:rsidRPr="006A040E" w:rsidRDefault="00EA7E3A" w:rsidP="00972F47">
            <w:pPr>
              <w:pStyle w:val="ReportTitle"/>
              <w:spacing w:before="60"/>
              <w:ind w:left="440"/>
              <w:rPr>
                <w:rFonts w:cs="Arial"/>
                <w:sz w:val="50"/>
                <w:szCs w:val="50"/>
              </w:rPr>
            </w:pPr>
            <w:r>
              <w:rPr>
                <w:sz w:val="50"/>
              </w:rPr>
              <w:t>Self-m</w:t>
            </w:r>
            <w:r w:rsidR="00B61459" w:rsidRPr="00B61459">
              <w:rPr>
                <w:sz w:val="50"/>
              </w:rPr>
              <w:t xml:space="preserve">anaged </w:t>
            </w:r>
            <w:r w:rsidR="00584184">
              <w:rPr>
                <w:sz w:val="50"/>
              </w:rPr>
              <w:t>s</w:t>
            </w:r>
            <w:r w:rsidR="00B61459" w:rsidRPr="00B61459">
              <w:rPr>
                <w:sz w:val="50"/>
              </w:rPr>
              <w:t xml:space="preserve">uperannuation </w:t>
            </w:r>
            <w:r w:rsidR="00584184">
              <w:rPr>
                <w:sz w:val="50"/>
              </w:rPr>
              <w:t>f</w:t>
            </w:r>
            <w:r w:rsidR="00B61459" w:rsidRPr="00B61459">
              <w:rPr>
                <w:sz w:val="50"/>
              </w:rPr>
              <w:t xml:space="preserve">und </w:t>
            </w:r>
            <w:r w:rsidR="00584184">
              <w:rPr>
                <w:sz w:val="50"/>
              </w:rPr>
              <w:t>a</w:t>
            </w:r>
            <w:r w:rsidR="00B61459" w:rsidRPr="00B61459">
              <w:rPr>
                <w:sz w:val="50"/>
              </w:rPr>
              <w:t xml:space="preserve">nnual </w:t>
            </w:r>
            <w:r w:rsidR="00584184">
              <w:rPr>
                <w:sz w:val="50"/>
              </w:rPr>
              <w:t>r</w:t>
            </w:r>
            <w:r w:rsidR="00B61459" w:rsidRPr="00B61459">
              <w:rPr>
                <w:sz w:val="50"/>
              </w:rPr>
              <w:t xml:space="preserve">eturn </w:t>
            </w:r>
            <w:r w:rsidR="003A226B" w:rsidRPr="00B61459">
              <w:rPr>
                <w:sz w:val="50"/>
              </w:rPr>
              <w:t>20</w:t>
            </w:r>
            <w:r w:rsidR="000832D5">
              <w:rPr>
                <w:sz w:val="50"/>
              </w:rPr>
              <w:t>20</w:t>
            </w:r>
            <w:r w:rsidR="003A226B" w:rsidRPr="00B61459">
              <w:rPr>
                <w:sz w:val="50"/>
              </w:rPr>
              <w:t xml:space="preserve"> </w:t>
            </w:r>
            <w:r w:rsidR="00B61459" w:rsidRPr="00B61459">
              <w:rPr>
                <w:sz w:val="50"/>
              </w:rPr>
              <w:t>(smsfar.</w:t>
            </w:r>
            <w:r w:rsidR="000832D5" w:rsidRPr="00B61459">
              <w:rPr>
                <w:sz w:val="50"/>
              </w:rPr>
              <w:t>00</w:t>
            </w:r>
            <w:r w:rsidR="000832D5">
              <w:rPr>
                <w:sz w:val="50"/>
              </w:rPr>
              <w:t>10</w:t>
            </w:r>
            <w:r w:rsidR="00B61459" w:rsidRPr="00B61459">
              <w:rPr>
                <w:sz w:val="50"/>
              </w:rPr>
              <w:t>)</w:t>
            </w:r>
            <w:r w:rsidR="00727F08" w:rsidRPr="00B61459">
              <w:rPr>
                <w:sz w:val="50"/>
              </w:rPr>
              <w:fldChar w:fldCharType="begin"/>
            </w:r>
            <w:r w:rsidR="00727F08" w:rsidRPr="00B61459">
              <w:rPr>
                <w:sz w:val="50"/>
              </w:rPr>
              <w:instrText xml:space="preserve"> DOCPROPERTY  docFormVersion  \* MERGEFORMAT </w:instrText>
            </w:r>
            <w:r w:rsidR="00727F08" w:rsidRPr="00B61459">
              <w:rPr>
                <w:sz w:val="50"/>
              </w:rPr>
              <w:fldChar w:fldCharType="end"/>
            </w:r>
          </w:p>
          <w:p w14:paraId="633C12AF"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12A5BC96" w14:textId="692B9535" w:rsidR="00727F08" w:rsidRPr="00B26D4A" w:rsidRDefault="00727F08" w:rsidP="00972F47">
            <w:pPr>
              <w:pStyle w:val="-subtitle"/>
              <w:spacing w:before="240"/>
              <w:ind w:left="425"/>
              <w:rPr>
                <w:rFonts w:ascii="Arial" w:hAnsi="Arial"/>
                <w:sz w:val="28"/>
              </w:rPr>
            </w:pPr>
            <w:r w:rsidRPr="00B26D4A">
              <w:rPr>
                <w:rFonts w:ascii="Arial" w:hAnsi="Arial"/>
                <w:sz w:val="28"/>
              </w:rPr>
              <w:t>Date</w:t>
            </w:r>
            <w:r w:rsidR="00451D6C">
              <w:rPr>
                <w:rFonts w:ascii="Arial" w:hAnsi="Arial"/>
                <w:sz w:val="28"/>
              </w:rPr>
              <w:t xml:space="preserve">: </w:t>
            </w:r>
            <w:r w:rsidR="003C1EF0">
              <w:rPr>
                <w:rFonts w:ascii="Arial" w:hAnsi="Arial"/>
                <w:sz w:val="28"/>
              </w:rPr>
              <w:t>2</w:t>
            </w:r>
            <w:r w:rsidR="00884946">
              <w:rPr>
                <w:rFonts w:ascii="Arial" w:hAnsi="Arial"/>
                <w:sz w:val="28"/>
              </w:rPr>
              <w:t>6</w:t>
            </w:r>
            <w:r w:rsidR="007D1BC4">
              <w:rPr>
                <w:rFonts w:ascii="Arial" w:hAnsi="Arial"/>
                <w:sz w:val="28"/>
              </w:rPr>
              <w:t xml:space="preserve"> </w:t>
            </w:r>
            <w:r w:rsidR="00AA749E">
              <w:rPr>
                <w:rFonts w:ascii="Arial" w:hAnsi="Arial"/>
                <w:sz w:val="28"/>
              </w:rPr>
              <w:t>October</w:t>
            </w:r>
            <w:r w:rsidR="000832D5">
              <w:rPr>
                <w:rFonts w:ascii="Arial" w:hAnsi="Arial"/>
                <w:sz w:val="28"/>
              </w:rPr>
              <w:t xml:space="preserve"> 2020</w:t>
            </w:r>
          </w:p>
          <w:p w14:paraId="7B408760" w14:textId="77777777" w:rsidR="00727F08" w:rsidRPr="006B7540" w:rsidRDefault="003A226B" w:rsidP="00972F47">
            <w:pPr>
              <w:pStyle w:val="-subtitle"/>
              <w:spacing w:before="240"/>
              <w:ind w:left="425"/>
              <w:rPr>
                <w:rFonts w:ascii="Arial" w:hAnsi="Arial"/>
                <w:sz w:val="28"/>
              </w:rPr>
            </w:pPr>
            <w:r>
              <w:rPr>
                <w:rFonts w:ascii="Arial" w:hAnsi="Arial"/>
                <w:sz w:val="28"/>
              </w:rPr>
              <w:t xml:space="preserve">Status: </w:t>
            </w:r>
            <w:r w:rsidR="00DF534E">
              <w:rPr>
                <w:rFonts w:ascii="Arial" w:hAnsi="Arial"/>
                <w:sz w:val="28"/>
              </w:rPr>
              <w:t>Final</w:t>
            </w:r>
          </w:p>
          <w:p w14:paraId="7596799D" w14:textId="77777777" w:rsidR="00727F08" w:rsidRPr="009B06E0" w:rsidRDefault="00727F08" w:rsidP="00972F47">
            <w:pPr>
              <w:pStyle w:val="ReportDescription"/>
              <w:spacing w:before="60" w:after="60"/>
              <w:rPr>
                <w:rFonts w:cs="Arial"/>
              </w:rPr>
            </w:pPr>
          </w:p>
        </w:tc>
      </w:tr>
      <w:tr w:rsidR="00727F08" w:rsidRPr="009B06E0" w14:paraId="3CCA8AFB"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138051B0" w14:textId="77777777" w:rsidR="00727F08" w:rsidRPr="009B06E0" w:rsidRDefault="00727F08" w:rsidP="00972F47">
            <w:pPr>
              <w:pBdr>
                <w:bottom w:val="single" w:sz="4" w:space="0" w:color="auto"/>
              </w:pBdr>
              <w:rPr>
                <w:rFonts w:cs="Arial"/>
              </w:rPr>
            </w:pPr>
          </w:p>
        </w:tc>
      </w:tr>
      <w:tr w:rsidR="00727F08" w:rsidRPr="009B06E0" w14:paraId="5ADABA42" w14:textId="77777777" w:rsidTr="00920D02">
        <w:tblPrEx>
          <w:tblCellMar>
            <w:left w:w="170" w:type="dxa"/>
            <w:right w:w="170" w:type="dxa"/>
          </w:tblCellMar>
        </w:tblPrEx>
        <w:trPr>
          <w:trHeight w:hRule="exact" w:val="715"/>
        </w:trPr>
        <w:tc>
          <w:tcPr>
            <w:tcW w:w="6660" w:type="dxa"/>
            <w:vAlign w:val="bottom"/>
          </w:tcPr>
          <w:p w14:paraId="414281F2" w14:textId="77777777" w:rsidR="00727F08" w:rsidRPr="009B06E0" w:rsidRDefault="00920D02" w:rsidP="00920D02">
            <w:pPr>
              <w:spacing w:before="60" w:after="60"/>
            </w:pPr>
            <w:r w:rsidRPr="00920D02">
              <w:rPr>
                <w:rFonts w:cs="Arial"/>
              </w:rPr>
              <w:t xml:space="preserve">  </w:t>
            </w:r>
            <w:r>
              <w:rPr>
                <w:noProof/>
              </w:rPr>
              <w:drawing>
                <wp:inline distT="0" distB="0" distL="0" distR="0" wp14:anchorId="176B953F" wp14:editId="15494537">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20D02">
              <w:rPr>
                <w:rFonts w:cs="Arial"/>
              </w:rPr>
              <w:t xml:space="preserve"> This document and its attachments are </w:t>
            </w:r>
            <w:bookmarkStart w:id="0" w:name="bkmkClassification"/>
            <w:r w:rsidRPr="00920D02">
              <w:rPr>
                <w:rFonts w:cs="Arial"/>
                <w:b/>
              </w:rPr>
              <w:fldChar w:fldCharType="begin">
                <w:ffData>
                  <w:name w:val="bkmkClassification"/>
                  <w:enabled/>
                  <w:calcOnExit w:val="0"/>
                  <w:textInput>
                    <w:default w:val="Unclassified"/>
                  </w:textInput>
                </w:ffData>
              </w:fldChar>
            </w:r>
            <w:r w:rsidRPr="00920D02">
              <w:rPr>
                <w:rFonts w:cs="Arial"/>
                <w:b/>
              </w:rPr>
              <w:instrText xml:space="preserve"> FORMTEXT </w:instrText>
            </w:r>
            <w:r w:rsidRPr="00920D02">
              <w:rPr>
                <w:rFonts w:cs="Arial"/>
                <w:b/>
              </w:rPr>
            </w:r>
            <w:r w:rsidRPr="00920D02">
              <w:rPr>
                <w:rFonts w:cs="Arial"/>
                <w:b/>
              </w:rPr>
              <w:fldChar w:fldCharType="separate"/>
            </w:r>
            <w:r w:rsidRPr="00920D02">
              <w:rPr>
                <w:rFonts w:cs="Arial"/>
                <w:b/>
                <w:noProof/>
              </w:rPr>
              <w:t>Unclassified</w:t>
            </w:r>
            <w:r w:rsidRPr="00920D02">
              <w:rPr>
                <w:rFonts w:cs="Arial"/>
                <w:b/>
              </w:rPr>
              <w:fldChar w:fldCharType="end"/>
            </w:r>
            <w:bookmarkEnd w:id="0"/>
          </w:p>
        </w:tc>
        <w:tc>
          <w:tcPr>
            <w:tcW w:w="2979" w:type="dxa"/>
            <w:vAlign w:val="bottom"/>
          </w:tcPr>
          <w:p w14:paraId="2F7FF4AF" w14:textId="77777777" w:rsidR="00727F08" w:rsidRPr="009B06E0" w:rsidRDefault="00727F08" w:rsidP="00972F47">
            <w:pPr>
              <w:spacing w:before="60" w:after="60"/>
            </w:pPr>
            <w:r>
              <w:rPr>
                <w:noProof/>
              </w:rPr>
              <w:drawing>
                <wp:inline distT="0" distB="0" distL="0" distR="0" wp14:anchorId="36F112B7" wp14:editId="5967D81C">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1D6F8861" w14:textId="77777777" w:rsidTr="00920D02">
        <w:tblPrEx>
          <w:tblCellMar>
            <w:left w:w="170" w:type="dxa"/>
            <w:right w:w="170" w:type="dxa"/>
          </w:tblCellMar>
        </w:tblPrEx>
        <w:trPr>
          <w:trHeight w:hRule="exact" w:val="1584"/>
        </w:trPr>
        <w:tc>
          <w:tcPr>
            <w:tcW w:w="6660" w:type="dxa"/>
          </w:tcPr>
          <w:p w14:paraId="14286A45" w14:textId="77777777" w:rsidR="00727F08" w:rsidRPr="009B06E0" w:rsidRDefault="00727F08" w:rsidP="00972F47">
            <w:pPr>
              <w:pStyle w:val="Maintext"/>
              <w:spacing w:before="60" w:after="60"/>
              <w:rPr>
                <w:rStyle w:val="Classification"/>
                <w:caps w:val="0"/>
              </w:rPr>
            </w:pPr>
          </w:p>
        </w:tc>
        <w:tc>
          <w:tcPr>
            <w:tcW w:w="2979" w:type="dxa"/>
          </w:tcPr>
          <w:p w14:paraId="6D8188F1"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4"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5ACFAA68" w14:textId="77777777" w:rsidR="00AD4C20" w:rsidRDefault="00AD4C20"/>
    <w:p w14:paraId="6BC94852" w14:textId="77777777" w:rsidR="0073486D" w:rsidRDefault="0073486D" w:rsidP="00404A86">
      <w:pPr>
        <w:pStyle w:val="HEADAA"/>
        <w:rPr>
          <w:color w:val="FF0000"/>
          <w:highlight w:val="yellow"/>
        </w:rPr>
      </w:pPr>
      <w:bookmarkStart w:id="1" w:name="ClassificationPage1b"/>
      <w:bookmarkEnd w:id="1"/>
    </w:p>
    <w:p w14:paraId="23E86B40" w14:textId="77777777" w:rsidR="0073486D" w:rsidRDefault="0073486D" w:rsidP="00404A86">
      <w:pPr>
        <w:pStyle w:val="HEADAA"/>
        <w:rPr>
          <w:color w:val="FF0000"/>
          <w:highlight w:val="yellow"/>
        </w:rPr>
      </w:pPr>
    </w:p>
    <w:p w14:paraId="26673AA9" w14:textId="77777777" w:rsidR="00920D02" w:rsidRPr="009B06E0" w:rsidRDefault="00920D02" w:rsidP="00920D02">
      <w:pPr>
        <w:pStyle w:val="VersionHeadA"/>
      </w:pPr>
      <w:r w:rsidRPr="009B06E0">
        <w:t>VERSION CONTROL</w:t>
      </w:r>
    </w:p>
    <w:p w14:paraId="61423903" w14:textId="77777777" w:rsidR="00920D02" w:rsidRPr="00557A92" w:rsidRDefault="00920D02" w:rsidP="00920D02">
      <w:pPr>
        <w:pStyle w:val="Maintext"/>
        <w:rPr>
          <w:sz w:val="20"/>
        </w:rPr>
      </w:pPr>
    </w:p>
    <w:p w14:paraId="44921D34"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31"/>
        <w:gridCol w:w="1683"/>
        <w:gridCol w:w="6374"/>
      </w:tblGrid>
      <w:tr w:rsidR="00920D02" w14:paraId="4BC0DE51" w14:textId="77777777" w:rsidTr="00F00397">
        <w:trPr>
          <w:trHeight w:val="444"/>
        </w:trPr>
        <w:tc>
          <w:tcPr>
            <w:tcW w:w="1231" w:type="dxa"/>
            <w:tcBorders>
              <w:bottom w:val="single" w:sz="4" w:space="0" w:color="auto"/>
            </w:tcBorders>
            <w:shd w:val="clear" w:color="auto" w:fill="C6D9F1" w:themeFill="text2" w:themeFillTint="33"/>
            <w:vAlign w:val="center"/>
          </w:tcPr>
          <w:p w14:paraId="34772A0F" w14:textId="77777777" w:rsidR="00920D02" w:rsidRDefault="00920D02" w:rsidP="00BA4DA2">
            <w:pPr>
              <w:pStyle w:val="Maintext"/>
              <w:rPr>
                <w:sz w:val="20"/>
              </w:rPr>
            </w:pPr>
            <w:r w:rsidRPr="00C33A9B">
              <w:rPr>
                <w:b/>
                <w:sz w:val="20"/>
                <w:szCs w:val="20"/>
              </w:rPr>
              <w:t>Version</w:t>
            </w:r>
          </w:p>
        </w:tc>
        <w:tc>
          <w:tcPr>
            <w:tcW w:w="1683" w:type="dxa"/>
            <w:tcBorders>
              <w:bottom w:val="single" w:sz="4" w:space="0" w:color="auto"/>
            </w:tcBorders>
            <w:shd w:val="clear" w:color="auto" w:fill="C6D9F1" w:themeFill="text2" w:themeFillTint="33"/>
            <w:vAlign w:val="center"/>
          </w:tcPr>
          <w:p w14:paraId="5A9556F1" w14:textId="77777777" w:rsidR="00920D02" w:rsidRDefault="00920D02" w:rsidP="00BA4DA2">
            <w:pPr>
              <w:pStyle w:val="Maintext"/>
              <w:rPr>
                <w:sz w:val="20"/>
              </w:rPr>
            </w:pPr>
            <w:r w:rsidRPr="00C33A9B">
              <w:rPr>
                <w:b/>
                <w:sz w:val="20"/>
                <w:szCs w:val="20"/>
              </w:rPr>
              <w:t>Release date</w:t>
            </w:r>
          </w:p>
        </w:tc>
        <w:tc>
          <w:tcPr>
            <w:tcW w:w="6374" w:type="dxa"/>
            <w:tcBorders>
              <w:bottom w:val="single" w:sz="4" w:space="0" w:color="auto"/>
            </w:tcBorders>
            <w:shd w:val="clear" w:color="auto" w:fill="C6D9F1" w:themeFill="text2" w:themeFillTint="33"/>
            <w:vAlign w:val="center"/>
          </w:tcPr>
          <w:p w14:paraId="2E353F0F" w14:textId="77777777" w:rsidR="00920D02" w:rsidRDefault="00920D02" w:rsidP="00BA4DA2">
            <w:pPr>
              <w:pStyle w:val="Maintext"/>
              <w:rPr>
                <w:sz w:val="20"/>
              </w:rPr>
            </w:pPr>
            <w:r w:rsidRPr="00C33A9B">
              <w:rPr>
                <w:b/>
                <w:sz w:val="20"/>
                <w:szCs w:val="20"/>
              </w:rPr>
              <w:t>Description of changes</w:t>
            </w:r>
          </w:p>
        </w:tc>
      </w:tr>
      <w:tr w:rsidR="0089348C" w14:paraId="01DACFD6" w14:textId="77777777" w:rsidTr="00F00397">
        <w:trPr>
          <w:trHeight w:val="444"/>
        </w:trPr>
        <w:tc>
          <w:tcPr>
            <w:tcW w:w="1231" w:type="dxa"/>
            <w:shd w:val="clear" w:color="auto" w:fill="auto"/>
            <w:vAlign w:val="center"/>
          </w:tcPr>
          <w:p w14:paraId="5CCF52EF" w14:textId="77777777" w:rsidR="0089348C" w:rsidRDefault="0089348C" w:rsidP="00B13289">
            <w:pPr>
              <w:pStyle w:val="Maintext"/>
              <w:rPr>
                <w:sz w:val="20"/>
                <w:szCs w:val="20"/>
              </w:rPr>
            </w:pPr>
            <w:r>
              <w:rPr>
                <w:sz w:val="20"/>
                <w:szCs w:val="20"/>
              </w:rPr>
              <w:t>1.0</w:t>
            </w:r>
          </w:p>
        </w:tc>
        <w:tc>
          <w:tcPr>
            <w:tcW w:w="1683" w:type="dxa"/>
            <w:shd w:val="clear" w:color="auto" w:fill="auto"/>
            <w:vAlign w:val="center"/>
          </w:tcPr>
          <w:p w14:paraId="18AD8DB1" w14:textId="74D930CA" w:rsidR="0089348C" w:rsidRDefault="007D1BC4" w:rsidP="0089348C">
            <w:pPr>
              <w:pStyle w:val="Maintext"/>
              <w:rPr>
                <w:sz w:val="20"/>
                <w:szCs w:val="20"/>
              </w:rPr>
            </w:pPr>
            <w:r>
              <w:rPr>
                <w:sz w:val="20"/>
                <w:szCs w:val="20"/>
              </w:rPr>
              <w:t>2</w:t>
            </w:r>
            <w:r w:rsidR="00884946">
              <w:rPr>
                <w:sz w:val="20"/>
                <w:szCs w:val="20"/>
              </w:rPr>
              <w:t>6</w:t>
            </w:r>
            <w:bookmarkStart w:id="2" w:name="_GoBack"/>
            <w:bookmarkEnd w:id="2"/>
            <w:r w:rsidR="0089348C">
              <w:rPr>
                <w:sz w:val="20"/>
                <w:szCs w:val="20"/>
              </w:rPr>
              <w:t>/</w:t>
            </w:r>
            <w:r w:rsidR="00AA749E">
              <w:rPr>
                <w:sz w:val="20"/>
                <w:szCs w:val="20"/>
              </w:rPr>
              <w:t>1</w:t>
            </w:r>
            <w:r w:rsidR="0089348C">
              <w:rPr>
                <w:sz w:val="20"/>
                <w:szCs w:val="20"/>
              </w:rPr>
              <w:t>0/20</w:t>
            </w:r>
            <w:r w:rsidR="000832D5">
              <w:rPr>
                <w:sz w:val="20"/>
                <w:szCs w:val="20"/>
              </w:rPr>
              <w:t>20</w:t>
            </w:r>
          </w:p>
        </w:tc>
        <w:tc>
          <w:tcPr>
            <w:tcW w:w="6374" w:type="dxa"/>
            <w:shd w:val="clear" w:color="auto" w:fill="auto"/>
            <w:vAlign w:val="center"/>
          </w:tcPr>
          <w:p w14:paraId="38C2C45A" w14:textId="77777777" w:rsidR="00FE4C1A" w:rsidRDefault="00FE4C1A" w:rsidP="00FE4C1A">
            <w:pPr>
              <w:pStyle w:val="Maintext"/>
              <w:rPr>
                <w:sz w:val="20"/>
                <w:szCs w:val="20"/>
              </w:rPr>
            </w:pPr>
            <w:r>
              <w:rPr>
                <w:sz w:val="20"/>
                <w:szCs w:val="20"/>
              </w:rPr>
              <w:t>Final version endorsed for publishing to include;</w:t>
            </w:r>
          </w:p>
          <w:p w14:paraId="22F38CDC" w14:textId="77777777" w:rsidR="00FE4C1A" w:rsidRDefault="00FE4C1A" w:rsidP="00FE4C1A">
            <w:pPr>
              <w:pStyle w:val="Maintext"/>
              <w:rPr>
                <w:sz w:val="20"/>
                <w:szCs w:val="20"/>
              </w:rPr>
            </w:pPr>
          </w:p>
          <w:p w14:paraId="746F976E" w14:textId="7331C445" w:rsidR="00FE4C1A" w:rsidRDefault="00FE4C1A" w:rsidP="00FE4C1A">
            <w:pPr>
              <w:pStyle w:val="Maintext"/>
              <w:numPr>
                <w:ilvl w:val="0"/>
                <w:numId w:val="32"/>
              </w:numPr>
              <w:rPr>
                <w:sz w:val="20"/>
                <w:szCs w:val="20"/>
              </w:rPr>
            </w:pPr>
            <w:r>
              <w:rPr>
                <w:sz w:val="20"/>
                <w:szCs w:val="20"/>
              </w:rPr>
              <w:t xml:space="preserve">Incorporated Auditor </w:t>
            </w:r>
            <w:r w:rsidR="007D1BC4">
              <w:rPr>
                <w:sz w:val="20"/>
                <w:szCs w:val="20"/>
              </w:rPr>
              <w:t>information</w:t>
            </w:r>
          </w:p>
          <w:p w14:paraId="4A52AE90" w14:textId="77777777" w:rsidR="00FE4C1A" w:rsidRDefault="00FE4C1A" w:rsidP="00FE4C1A">
            <w:pPr>
              <w:pStyle w:val="Maintext"/>
              <w:numPr>
                <w:ilvl w:val="0"/>
                <w:numId w:val="32"/>
              </w:numPr>
              <w:rPr>
                <w:sz w:val="20"/>
                <w:szCs w:val="20"/>
              </w:rPr>
            </w:pPr>
            <w:r>
              <w:rPr>
                <w:sz w:val="20"/>
                <w:szCs w:val="20"/>
              </w:rPr>
              <w:t>Updated to include reasonable use policy guideline</w:t>
            </w:r>
          </w:p>
          <w:p w14:paraId="5521843C" w14:textId="7CE02033" w:rsidR="0089348C" w:rsidRDefault="0089348C" w:rsidP="00B13289">
            <w:pPr>
              <w:pStyle w:val="Maintext"/>
              <w:rPr>
                <w:sz w:val="20"/>
                <w:szCs w:val="20"/>
              </w:rPr>
            </w:pPr>
          </w:p>
        </w:tc>
      </w:tr>
    </w:tbl>
    <w:p w14:paraId="4263F6A5" w14:textId="77777777" w:rsidR="00920D02" w:rsidRDefault="00920D02" w:rsidP="00336249">
      <w:pPr>
        <w:pStyle w:val="VersionHeadA"/>
        <w:ind w:right="-844"/>
      </w:pPr>
    </w:p>
    <w:p w14:paraId="0FF9F0BD" w14:textId="77777777" w:rsidR="0089348C" w:rsidRDefault="00920D02">
      <w:pPr>
        <w:rPr>
          <w:rFonts w:cs="Arial"/>
          <w:kern w:val="22"/>
          <w:sz w:val="36"/>
          <w:szCs w:val="36"/>
        </w:rPr>
      </w:pPr>
      <w:r>
        <w:br w:type="page"/>
      </w:r>
    </w:p>
    <w:p w14:paraId="3062A911" w14:textId="77777777" w:rsidR="00191B6C" w:rsidRDefault="00191B6C" w:rsidP="00336249">
      <w:pPr>
        <w:pStyle w:val="VersionHeadA"/>
        <w:ind w:right="-844"/>
      </w:pPr>
    </w:p>
    <w:p w14:paraId="53FCC10C" w14:textId="77777777" w:rsidR="00920D02" w:rsidRPr="00F00B02" w:rsidRDefault="00920D02" w:rsidP="00920D02">
      <w:pPr>
        <w:pStyle w:val="VersionHeadA"/>
        <w:ind w:right="-844"/>
      </w:pPr>
      <w:r w:rsidRPr="00F00B02">
        <w:t>ENDORSEMENT</w:t>
      </w:r>
    </w:p>
    <w:p w14:paraId="2286DB54" w14:textId="77777777" w:rsidR="00336249" w:rsidRDefault="00336249" w:rsidP="00336249">
      <w:pPr>
        <w:pStyle w:val="VersionHead"/>
        <w:tabs>
          <w:tab w:val="left" w:pos="5103"/>
        </w:tabs>
        <w:rPr>
          <w:sz w:val="20"/>
          <w:szCs w:val="20"/>
        </w:rPr>
      </w:pPr>
      <w:r w:rsidRPr="00063673">
        <w:rPr>
          <w:sz w:val="20"/>
          <w:szCs w:val="20"/>
        </w:rPr>
        <w:t>APPROVAL</w:t>
      </w:r>
    </w:p>
    <w:p w14:paraId="2A98E38F" w14:textId="77777777" w:rsidR="00B13289" w:rsidRDefault="00B13289" w:rsidP="00336249">
      <w:pPr>
        <w:pStyle w:val="VersionHead"/>
        <w:tabs>
          <w:tab w:val="left" w:pos="5103"/>
        </w:tabs>
        <w:rPr>
          <w:sz w:val="20"/>
          <w:szCs w:val="20"/>
        </w:rPr>
      </w:pPr>
    </w:p>
    <w:p w14:paraId="465EA7B6" w14:textId="77777777" w:rsidR="00B13289" w:rsidRDefault="00B13289" w:rsidP="00B13289">
      <w:pPr>
        <w:pStyle w:val="Version2"/>
        <w:tabs>
          <w:tab w:val="left" w:pos="2835"/>
        </w:tabs>
        <w:rPr>
          <w:sz w:val="20"/>
          <w:szCs w:val="20"/>
        </w:rPr>
      </w:pPr>
      <w:r>
        <w:rPr>
          <w:sz w:val="20"/>
          <w:szCs w:val="20"/>
        </w:rPr>
        <w:t>Kerry Lake</w:t>
      </w:r>
      <w:r>
        <w:rPr>
          <w:sz w:val="20"/>
          <w:szCs w:val="20"/>
        </w:rPr>
        <w:tab/>
        <w:t>Director</w:t>
      </w:r>
    </w:p>
    <w:p w14:paraId="3854C4E3" w14:textId="77777777" w:rsidR="00B13289" w:rsidRDefault="00B13289" w:rsidP="00B13289">
      <w:pPr>
        <w:pStyle w:val="Version2"/>
        <w:tabs>
          <w:tab w:val="left" w:pos="2835"/>
        </w:tabs>
        <w:rPr>
          <w:sz w:val="20"/>
          <w:szCs w:val="20"/>
        </w:rPr>
      </w:pPr>
      <w:r>
        <w:rPr>
          <w:sz w:val="20"/>
          <w:szCs w:val="20"/>
        </w:rPr>
        <w:tab/>
      </w:r>
      <w:r>
        <w:rPr>
          <w:noProof/>
          <w:color w:val="000000"/>
          <w:sz w:val="20"/>
          <w:szCs w:val="24"/>
        </w:rPr>
        <w:t>Project and Client Experience</w:t>
      </w:r>
    </w:p>
    <w:p w14:paraId="27121527" w14:textId="77777777" w:rsidR="00B13289" w:rsidRPr="00B13289" w:rsidRDefault="00B13289" w:rsidP="00B13289">
      <w:pPr>
        <w:pStyle w:val="Version2"/>
        <w:tabs>
          <w:tab w:val="left" w:pos="2835"/>
        </w:tabs>
        <w:rPr>
          <w:sz w:val="20"/>
          <w:szCs w:val="20"/>
        </w:rPr>
      </w:pPr>
      <w:r>
        <w:rPr>
          <w:sz w:val="20"/>
          <w:szCs w:val="20"/>
        </w:rPr>
        <w:tab/>
      </w:r>
      <w:r w:rsidRPr="00F00397">
        <w:rPr>
          <w:color w:val="333333"/>
          <w:sz w:val="20"/>
          <w:szCs w:val="20"/>
        </w:rPr>
        <w:t>Superannuation and Employer Obligations</w:t>
      </w:r>
    </w:p>
    <w:p w14:paraId="7BC24717" w14:textId="77777777" w:rsidR="00B13289" w:rsidRDefault="00B13289" w:rsidP="00B13289">
      <w:pPr>
        <w:pStyle w:val="Version2"/>
        <w:tabs>
          <w:tab w:val="left" w:pos="2835"/>
        </w:tabs>
        <w:rPr>
          <w:sz w:val="20"/>
          <w:szCs w:val="20"/>
        </w:rPr>
      </w:pPr>
      <w:r>
        <w:rPr>
          <w:sz w:val="20"/>
          <w:szCs w:val="20"/>
        </w:rPr>
        <w:tab/>
        <w:t>Australian Taxation Office</w:t>
      </w:r>
    </w:p>
    <w:p w14:paraId="672E39F6" w14:textId="77777777" w:rsidR="00B13289" w:rsidRPr="00063673" w:rsidRDefault="00B13289" w:rsidP="00336249">
      <w:pPr>
        <w:pStyle w:val="VersionHead"/>
        <w:tabs>
          <w:tab w:val="left" w:pos="5103"/>
        </w:tabs>
        <w:rPr>
          <w:sz w:val="20"/>
          <w:szCs w:val="20"/>
        </w:rPr>
      </w:pPr>
    </w:p>
    <w:p w14:paraId="73726EE7" w14:textId="77777777" w:rsidR="00A91721" w:rsidRPr="003E106C" w:rsidRDefault="00A91721" w:rsidP="00A91721">
      <w:pPr>
        <w:pStyle w:val="Version2"/>
        <w:tabs>
          <w:tab w:val="left" w:pos="2835"/>
        </w:tabs>
        <w:rPr>
          <w:sz w:val="20"/>
          <w:szCs w:val="20"/>
          <w:highlight w:val="yellow"/>
        </w:rPr>
      </w:pPr>
    </w:p>
    <w:p w14:paraId="08157A46" w14:textId="77777777" w:rsidR="00A91721" w:rsidRDefault="00584184" w:rsidP="00A91721">
      <w:pPr>
        <w:pStyle w:val="Version2"/>
        <w:tabs>
          <w:tab w:val="left" w:pos="2835"/>
        </w:tabs>
        <w:rPr>
          <w:sz w:val="20"/>
          <w:szCs w:val="20"/>
        </w:rPr>
      </w:pPr>
      <w:r w:rsidRPr="00584184">
        <w:rPr>
          <w:sz w:val="20"/>
          <w:szCs w:val="20"/>
        </w:rPr>
        <w:t>David Baker</w:t>
      </w:r>
      <w:r w:rsidR="00A91721" w:rsidRPr="00584184">
        <w:rPr>
          <w:sz w:val="20"/>
          <w:szCs w:val="20"/>
        </w:rPr>
        <w:tab/>
      </w:r>
      <w:r w:rsidR="00AE71DF">
        <w:rPr>
          <w:sz w:val="20"/>
          <w:szCs w:val="20"/>
        </w:rPr>
        <w:t>Director</w:t>
      </w:r>
    </w:p>
    <w:p w14:paraId="3B0087B4" w14:textId="77777777" w:rsidR="0089348C" w:rsidRPr="00584184" w:rsidRDefault="0089348C" w:rsidP="00A91721">
      <w:pPr>
        <w:pStyle w:val="Version2"/>
        <w:tabs>
          <w:tab w:val="left" w:pos="2835"/>
        </w:tabs>
        <w:rPr>
          <w:sz w:val="20"/>
          <w:szCs w:val="20"/>
        </w:rPr>
      </w:pPr>
      <w:r>
        <w:rPr>
          <w:sz w:val="20"/>
          <w:szCs w:val="20"/>
        </w:rPr>
        <w:tab/>
        <w:t>Project and System Support</w:t>
      </w:r>
    </w:p>
    <w:p w14:paraId="1E62C7AE" w14:textId="3D404076" w:rsidR="00A91721" w:rsidRPr="00584184" w:rsidRDefault="00A91721" w:rsidP="003A226B">
      <w:pPr>
        <w:pStyle w:val="Version2"/>
        <w:tabs>
          <w:tab w:val="left" w:pos="2835"/>
        </w:tabs>
        <w:rPr>
          <w:sz w:val="20"/>
          <w:szCs w:val="20"/>
        </w:rPr>
      </w:pPr>
      <w:r w:rsidRPr="00584184">
        <w:rPr>
          <w:sz w:val="20"/>
          <w:szCs w:val="20"/>
        </w:rPr>
        <w:tab/>
      </w:r>
      <w:r w:rsidR="00B13289">
        <w:rPr>
          <w:sz w:val="20"/>
          <w:szCs w:val="20"/>
        </w:rPr>
        <w:t xml:space="preserve">Individuals and </w:t>
      </w:r>
      <w:r w:rsidR="003A226B">
        <w:rPr>
          <w:sz w:val="20"/>
          <w:szCs w:val="20"/>
        </w:rPr>
        <w:t>Intermediaries</w:t>
      </w:r>
    </w:p>
    <w:p w14:paraId="4E931608" w14:textId="77777777" w:rsidR="000E7E0F" w:rsidRPr="008F4921" w:rsidRDefault="00A91721" w:rsidP="00A91721">
      <w:pPr>
        <w:pStyle w:val="Version2"/>
        <w:tabs>
          <w:tab w:val="left" w:pos="2835"/>
        </w:tabs>
        <w:rPr>
          <w:sz w:val="20"/>
          <w:szCs w:val="20"/>
        </w:rPr>
      </w:pPr>
      <w:r w:rsidRPr="00584184">
        <w:rPr>
          <w:sz w:val="20"/>
          <w:szCs w:val="20"/>
        </w:rPr>
        <w:tab/>
        <w:t>Australian Taxation Office</w:t>
      </w:r>
    </w:p>
    <w:p w14:paraId="7BC1171B" w14:textId="77777777" w:rsidR="000E7E0F" w:rsidRDefault="000E7E0F" w:rsidP="000E7E0F">
      <w:pPr>
        <w:pStyle w:val="VersionHeadA"/>
        <w:ind w:right="-844"/>
      </w:pPr>
    </w:p>
    <w:p w14:paraId="02DB012F" w14:textId="26C909F2" w:rsidR="00915580" w:rsidRDefault="00915580" w:rsidP="000E7E0F">
      <w:pPr>
        <w:pStyle w:val="VersionHeadA"/>
        <w:ind w:right="-844"/>
      </w:pPr>
    </w:p>
    <w:p w14:paraId="098F404B" w14:textId="648441F9" w:rsidR="00915580" w:rsidRDefault="00915580" w:rsidP="000E7E0F">
      <w:pPr>
        <w:pStyle w:val="VersionHeadA"/>
        <w:ind w:right="-844"/>
      </w:pPr>
    </w:p>
    <w:p w14:paraId="40E3DA1A" w14:textId="0032FFD3" w:rsidR="00915580" w:rsidRDefault="00915580" w:rsidP="000E7E0F">
      <w:pPr>
        <w:pStyle w:val="VersionHeadA"/>
        <w:ind w:right="-844"/>
      </w:pPr>
    </w:p>
    <w:p w14:paraId="3F8CF61A" w14:textId="1DCA22FC" w:rsidR="00915580" w:rsidRDefault="00915580" w:rsidP="000E7E0F">
      <w:pPr>
        <w:pStyle w:val="VersionHeadA"/>
        <w:ind w:right="-844"/>
      </w:pPr>
    </w:p>
    <w:p w14:paraId="6EACCFBF" w14:textId="76AAC70C" w:rsidR="00915580" w:rsidRDefault="00915580" w:rsidP="000E7E0F">
      <w:pPr>
        <w:pStyle w:val="VersionHeadA"/>
        <w:ind w:right="-844"/>
      </w:pPr>
    </w:p>
    <w:p w14:paraId="10A31086" w14:textId="77777777" w:rsidR="00915580" w:rsidRDefault="00915580" w:rsidP="000E7E0F">
      <w:pPr>
        <w:pStyle w:val="VersionHeadA"/>
        <w:ind w:right="-844"/>
      </w:pPr>
    </w:p>
    <w:p w14:paraId="033CC601" w14:textId="77777777" w:rsidR="00915580" w:rsidRDefault="00915580" w:rsidP="000E7E0F">
      <w:pPr>
        <w:pStyle w:val="VersionHeadA"/>
        <w:ind w:right="-844"/>
      </w:pPr>
    </w:p>
    <w:p w14:paraId="27922768" w14:textId="77777777" w:rsidR="00920D02" w:rsidRDefault="00920D02" w:rsidP="000E7E0F">
      <w:pPr>
        <w:pStyle w:val="VersionHeadA"/>
        <w:ind w:right="-844"/>
      </w:pPr>
    </w:p>
    <w:p w14:paraId="2CFE9B99" w14:textId="77777777" w:rsidR="00B13289" w:rsidRDefault="00B13289" w:rsidP="00B13289">
      <w:pPr>
        <w:rPr>
          <w:b/>
          <w:color w:val="000000" w:themeColor="text1"/>
        </w:rPr>
      </w:pPr>
      <w:r>
        <w:rPr>
          <w:b/>
          <w:color w:val="000000" w:themeColor="text1"/>
        </w:rPr>
        <w:t>COPYRIGHT NOTICE</w:t>
      </w:r>
    </w:p>
    <w:p w14:paraId="3EA40141" w14:textId="77777777" w:rsidR="00B13289" w:rsidRDefault="00B13289" w:rsidP="00B13289">
      <w:pPr>
        <w:pStyle w:val="VersionHeadA"/>
        <w:ind w:right="-844"/>
      </w:pPr>
    </w:p>
    <w:p w14:paraId="34D0F371" w14:textId="77777777" w:rsidR="00B13289" w:rsidRDefault="00B13289" w:rsidP="00B13289">
      <w:pPr>
        <w:rPr>
          <w:rFonts w:cs="Arial"/>
          <w:sz w:val="20"/>
          <w:szCs w:val="20"/>
          <w:u w:val="single"/>
        </w:rPr>
      </w:pPr>
      <w:r>
        <w:rPr>
          <w:rFonts w:cs="Arial"/>
          <w:sz w:val="20"/>
          <w:szCs w:val="20"/>
        </w:rPr>
        <w:t>© Commonwealth of Australia 2020</w:t>
      </w:r>
    </w:p>
    <w:p w14:paraId="4F180985" w14:textId="77777777" w:rsidR="00B13289" w:rsidRDefault="00B13289" w:rsidP="00B13289">
      <w:pPr>
        <w:jc w:val="both"/>
        <w:rPr>
          <w:rFonts w:cs="Arial"/>
        </w:rPr>
      </w:pPr>
      <w:r>
        <w:rPr>
          <w:rFonts w:cs="Arial"/>
        </w:rPr>
        <w:br/>
      </w:r>
      <w:r>
        <w:rPr>
          <w:rFonts w:cs="Arial"/>
          <w:sz w:val="20"/>
          <w:szCs w:val="20"/>
        </w:rPr>
        <w:t xml:space="preserve">This work is copyright. Use of this Information and Material is subject to the terms and conditions in the "SBR Disclaimer and Conditions of Use" that is available at </w:t>
      </w:r>
      <w:hyperlink r:id="rId15" w:history="1">
        <w:r>
          <w:rPr>
            <w:rStyle w:val="Hyperlink"/>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68321A7E" w14:textId="77777777" w:rsidR="00B13289" w:rsidRDefault="00B13289" w:rsidP="00B13289">
      <w:pPr>
        <w:jc w:val="both"/>
        <w:rPr>
          <w:rFonts w:cs="Arial"/>
        </w:rPr>
      </w:pPr>
    </w:p>
    <w:p w14:paraId="6951E408" w14:textId="57437098" w:rsidR="00561E38" w:rsidRDefault="00B13289" w:rsidP="00421F41">
      <w:pPr>
        <w:jc w:val="both"/>
        <w:sectPr w:rsidR="00561E38" w:rsidSect="008123D3">
          <w:headerReference w:type="default" r:id="rId16"/>
          <w:footerReference w:type="default" r:id="rId17"/>
          <w:pgSz w:w="11906" w:h="16838" w:code="9"/>
          <w:pgMar w:top="826" w:right="1304" w:bottom="1814" w:left="1304" w:header="425" w:footer="680" w:gutter="0"/>
          <w:cols w:space="708"/>
          <w:formProt w:val="0"/>
          <w:titlePg/>
          <w:docGrid w:linePitch="360"/>
        </w:sectPr>
      </w:pPr>
      <w:r>
        <w:rPr>
          <w:rFonts w:cs="Arial"/>
          <w:sz w:val="20"/>
          <w:szCs w:val="20"/>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05A60876" w14:textId="77777777" w:rsidR="00561E38" w:rsidRPr="001B13A4" w:rsidRDefault="00483D3F" w:rsidP="00A437EB">
      <w:pPr>
        <w:pStyle w:val="VersionHeadA"/>
        <w:ind w:right="-844"/>
        <w:rPr>
          <w:b/>
        </w:rPr>
      </w:pPr>
      <w:r w:rsidRPr="001B13A4">
        <w:rPr>
          <w:b/>
        </w:rPr>
        <w:lastRenderedPageBreak/>
        <w:t>TABLE OF CONTENTS</w:t>
      </w:r>
    </w:p>
    <w:p w14:paraId="4D9F4C84" w14:textId="77777777" w:rsidR="00A437EB" w:rsidRDefault="00A437EB" w:rsidP="00A437EB">
      <w:pPr>
        <w:pStyle w:val="Maintext"/>
        <w:rPr>
          <w:sz w:val="20"/>
        </w:rPr>
      </w:pPr>
    </w:p>
    <w:p w14:paraId="73473FE3" w14:textId="77777777" w:rsidR="009077EF" w:rsidRPr="00A437EB" w:rsidRDefault="009077EF" w:rsidP="00A437EB">
      <w:pPr>
        <w:pStyle w:val="Maintext"/>
        <w:rPr>
          <w:sz w:val="20"/>
        </w:rPr>
      </w:pPr>
    </w:p>
    <w:p w14:paraId="5826AEC4" w14:textId="5B07BDB4" w:rsidR="00395079" w:rsidRDefault="00A437EB">
      <w:pPr>
        <w:pStyle w:val="TOC1"/>
        <w:tabs>
          <w:tab w:val="left" w:pos="440"/>
        </w:tabs>
        <w:rPr>
          <w:rFonts w:asciiTheme="minorHAnsi" w:eastAsiaTheme="minorEastAsia" w:hAnsiTheme="minorHAnsi" w:cstheme="minorBidi"/>
          <w:noProof/>
          <w:sz w:val="22"/>
        </w:rPr>
      </w:pPr>
      <w:r w:rsidRPr="00421F41">
        <w:rPr>
          <w:szCs w:val="20"/>
          <w:highlight w:val="yellow"/>
        </w:rPr>
        <w:fldChar w:fldCharType="begin"/>
      </w:r>
      <w:r w:rsidRPr="00421F41">
        <w:rPr>
          <w:szCs w:val="20"/>
          <w:highlight w:val="yellow"/>
        </w:rPr>
        <w:instrText xml:space="preserve"> TOC \o "1-3" \h \z \u </w:instrText>
      </w:r>
      <w:r w:rsidRPr="00421F41">
        <w:rPr>
          <w:szCs w:val="20"/>
          <w:highlight w:val="yellow"/>
        </w:rPr>
        <w:fldChar w:fldCharType="separate"/>
      </w:r>
      <w:hyperlink w:anchor="_Toc54181717" w:history="1">
        <w:r w:rsidR="00395079" w:rsidRPr="00D005F2">
          <w:rPr>
            <w:rStyle w:val="Hyperlink"/>
          </w:rPr>
          <w:t>1.</w:t>
        </w:r>
        <w:r w:rsidR="00395079">
          <w:rPr>
            <w:rFonts w:asciiTheme="minorHAnsi" w:eastAsiaTheme="minorEastAsia" w:hAnsiTheme="minorHAnsi" w:cstheme="minorBidi"/>
            <w:noProof/>
            <w:sz w:val="22"/>
          </w:rPr>
          <w:tab/>
        </w:r>
        <w:r w:rsidR="00395079" w:rsidRPr="00D005F2">
          <w:rPr>
            <w:rStyle w:val="Hyperlink"/>
          </w:rPr>
          <w:t>Introduction</w:t>
        </w:r>
        <w:r w:rsidR="00395079">
          <w:rPr>
            <w:noProof/>
            <w:webHidden/>
          </w:rPr>
          <w:tab/>
        </w:r>
        <w:r w:rsidR="00395079">
          <w:rPr>
            <w:noProof/>
            <w:webHidden/>
          </w:rPr>
          <w:fldChar w:fldCharType="begin"/>
        </w:r>
        <w:r w:rsidR="00395079">
          <w:rPr>
            <w:noProof/>
            <w:webHidden/>
          </w:rPr>
          <w:instrText xml:space="preserve"> PAGEREF _Toc54181717 \h </w:instrText>
        </w:r>
        <w:r w:rsidR="00395079">
          <w:rPr>
            <w:noProof/>
            <w:webHidden/>
          </w:rPr>
        </w:r>
        <w:r w:rsidR="00395079">
          <w:rPr>
            <w:noProof/>
            <w:webHidden/>
          </w:rPr>
          <w:fldChar w:fldCharType="separate"/>
        </w:r>
        <w:r w:rsidR="00395079">
          <w:rPr>
            <w:noProof/>
            <w:webHidden/>
          </w:rPr>
          <w:t>5</w:t>
        </w:r>
        <w:r w:rsidR="00395079">
          <w:rPr>
            <w:noProof/>
            <w:webHidden/>
          </w:rPr>
          <w:fldChar w:fldCharType="end"/>
        </w:r>
      </w:hyperlink>
    </w:p>
    <w:p w14:paraId="5F0B7662" w14:textId="5A4E8CCC" w:rsidR="00395079" w:rsidRDefault="00EA4B40">
      <w:pPr>
        <w:pStyle w:val="TOC2"/>
        <w:tabs>
          <w:tab w:val="left" w:pos="880"/>
        </w:tabs>
        <w:rPr>
          <w:rFonts w:asciiTheme="minorHAnsi" w:eastAsiaTheme="minorEastAsia" w:hAnsiTheme="minorHAnsi" w:cstheme="minorBidi"/>
          <w:noProof/>
          <w:sz w:val="22"/>
        </w:rPr>
      </w:pPr>
      <w:hyperlink w:anchor="_Toc54181718" w:history="1">
        <w:r w:rsidR="00395079" w:rsidRPr="00D005F2">
          <w:rPr>
            <w:rStyle w:val="Hyperlink"/>
          </w:rPr>
          <w:t>1.1.</w:t>
        </w:r>
        <w:r w:rsidR="00395079">
          <w:rPr>
            <w:rFonts w:asciiTheme="minorHAnsi" w:eastAsiaTheme="minorEastAsia" w:hAnsiTheme="minorHAnsi" w:cstheme="minorBidi"/>
            <w:noProof/>
            <w:sz w:val="22"/>
          </w:rPr>
          <w:tab/>
        </w:r>
        <w:r w:rsidR="00395079" w:rsidRPr="00D005F2">
          <w:rPr>
            <w:rStyle w:val="Hyperlink"/>
          </w:rPr>
          <w:t>Purpose</w:t>
        </w:r>
        <w:r w:rsidR="00395079">
          <w:rPr>
            <w:noProof/>
            <w:webHidden/>
          </w:rPr>
          <w:tab/>
        </w:r>
        <w:r w:rsidR="00395079">
          <w:rPr>
            <w:noProof/>
            <w:webHidden/>
          </w:rPr>
          <w:fldChar w:fldCharType="begin"/>
        </w:r>
        <w:r w:rsidR="00395079">
          <w:rPr>
            <w:noProof/>
            <w:webHidden/>
          </w:rPr>
          <w:instrText xml:space="preserve"> PAGEREF _Toc54181718 \h </w:instrText>
        </w:r>
        <w:r w:rsidR="00395079">
          <w:rPr>
            <w:noProof/>
            <w:webHidden/>
          </w:rPr>
        </w:r>
        <w:r w:rsidR="00395079">
          <w:rPr>
            <w:noProof/>
            <w:webHidden/>
          </w:rPr>
          <w:fldChar w:fldCharType="separate"/>
        </w:r>
        <w:r w:rsidR="00395079">
          <w:rPr>
            <w:noProof/>
            <w:webHidden/>
          </w:rPr>
          <w:t>5</w:t>
        </w:r>
        <w:r w:rsidR="00395079">
          <w:rPr>
            <w:noProof/>
            <w:webHidden/>
          </w:rPr>
          <w:fldChar w:fldCharType="end"/>
        </w:r>
      </w:hyperlink>
    </w:p>
    <w:p w14:paraId="55C97DFE" w14:textId="1D246C20" w:rsidR="00395079" w:rsidRDefault="00EA4B40">
      <w:pPr>
        <w:pStyle w:val="TOC2"/>
        <w:tabs>
          <w:tab w:val="left" w:pos="880"/>
        </w:tabs>
        <w:rPr>
          <w:rFonts w:asciiTheme="minorHAnsi" w:eastAsiaTheme="minorEastAsia" w:hAnsiTheme="minorHAnsi" w:cstheme="minorBidi"/>
          <w:noProof/>
          <w:sz w:val="22"/>
        </w:rPr>
      </w:pPr>
      <w:hyperlink w:anchor="_Toc54181719" w:history="1">
        <w:r w:rsidR="00395079" w:rsidRPr="00D005F2">
          <w:rPr>
            <w:rStyle w:val="Hyperlink"/>
            <w:bCs/>
          </w:rPr>
          <w:t>1.2.</w:t>
        </w:r>
        <w:r w:rsidR="00395079">
          <w:rPr>
            <w:rFonts w:asciiTheme="minorHAnsi" w:eastAsiaTheme="minorEastAsia" w:hAnsiTheme="minorHAnsi" w:cstheme="minorBidi"/>
            <w:noProof/>
            <w:sz w:val="22"/>
          </w:rPr>
          <w:tab/>
        </w:r>
        <w:r w:rsidR="00395079" w:rsidRPr="00D005F2">
          <w:rPr>
            <w:rStyle w:val="Hyperlink"/>
          </w:rPr>
          <w:t>Document context</w:t>
        </w:r>
        <w:r w:rsidR="00395079">
          <w:rPr>
            <w:noProof/>
            <w:webHidden/>
          </w:rPr>
          <w:tab/>
        </w:r>
        <w:r w:rsidR="00395079">
          <w:rPr>
            <w:noProof/>
            <w:webHidden/>
          </w:rPr>
          <w:fldChar w:fldCharType="begin"/>
        </w:r>
        <w:r w:rsidR="00395079">
          <w:rPr>
            <w:noProof/>
            <w:webHidden/>
          </w:rPr>
          <w:instrText xml:space="preserve"> PAGEREF _Toc54181719 \h </w:instrText>
        </w:r>
        <w:r w:rsidR="00395079">
          <w:rPr>
            <w:noProof/>
            <w:webHidden/>
          </w:rPr>
        </w:r>
        <w:r w:rsidR="00395079">
          <w:rPr>
            <w:noProof/>
            <w:webHidden/>
          </w:rPr>
          <w:fldChar w:fldCharType="separate"/>
        </w:r>
        <w:r w:rsidR="00395079">
          <w:rPr>
            <w:noProof/>
            <w:webHidden/>
          </w:rPr>
          <w:t>5</w:t>
        </w:r>
        <w:r w:rsidR="00395079">
          <w:rPr>
            <w:noProof/>
            <w:webHidden/>
          </w:rPr>
          <w:fldChar w:fldCharType="end"/>
        </w:r>
      </w:hyperlink>
    </w:p>
    <w:p w14:paraId="2DF364CC" w14:textId="11968A66" w:rsidR="00395079" w:rsidRDefault="00EA4B40">
      <w:pPr>
        <w:pStyle w:val="TOC2"/>
        <w:tabs>
          <w:tab w:val="left" w:pos="880"/>
        </w:tabs>
        <w:rPr>
          <w:rFonts w:asciiTheme="minorHAnsi" w:eastAsiaTheme="minorEastAsia" w:hAnsiTheme="minorHAnsi" w:cstheme="minorBidi"/>
          <w:noProof/>
          <w:sz w:val="22"/>
        </w:rPr>
      </w:pPr>
      <w:hyperlink w:anchor="_Toc54181720" w:history="1">
        <w:r w:rsidR="00395079" w:rsidRPr="00D005F2">
          <w:rPr>
            <w:rStyle w:val="Hyperlink"/>
          </w:rPr>
          <w:t>1.3.</w:t>
        </w:r>
        <w:r w:rsidR="00395079">
          <w:rPr>
            <w:rFonts w:asciiTheme="minorHAnsi" w:eastAsiaTheme="minorEastAsia" w:hAnsiTheme="minorHAnsi" w:cstheme="minorBidi"/>
            <w:noProof/>
            <w:sz w:val="22"/>
          </w:rPr>
          <w:tab/>
        </w:r>
        <w:r w:rsidR="00395079" w:rsidRPr="00D005F2">
          <w:rPr>
            <w:rStyle w:val="Hyperlink"/>
          </w:rPr>
          <w:t>Glossary</w:t>
        </w:r>
        <w:r w:rsidR="00395079">
          <w:rPr>
            <w:noProof/>
            <w:webHidden/>
          </w:rPr>
          <w:tab/>
        </w:r>
        <w:r w:rsidR="00395079">
          <w:rPr>
            <w:noProof/>
            <w:webHidden/>
          </w:rPr>
          <w:fldChar w:fldCharType="begin"/>
        </w:r>
        <w:r w:rsidR="00395079">
          <w:rPr>
            <w:noProof/>
            <w:webHidden/>
          </w:rPr>
          <w:instrText xml:space="preserve"> PAGEREF _Toc54181720 \h </w:instrText>
        </w:r>
        <w:r w:rsidR="00395079">
          <w:rPr>
            <w:noProof/>
            <w:webHidden/>
          </w:rPr>
        </w:r>
        <w:r w:rsidR="00395079">
          <w:rPr>
            <w:noProof/>
            <w:webHidden/>
          </w:rPr>
          <w:fldChar w:fldCharType="separate"/>
        </w:r>
        <w:r w:rsidR="00395079">
          <w:rPr>
            <w:noProof/>
            <w:webHidden/>
          </w:rPr>
          <w:t>5</w:t>
        </w:r>
        <w:r w:rsidR="00395079">
          <w:rPr>
            <w:noProof/>
            <w:webHidden/>
          </w:rPr>
          <w:fldChar w:fldCharType="end"/>
        </w:r>
      </w:hyperlink>
    </w:p>
    <w:p w14:paraId="6D6EB2AF" w14:textId="4C6EDF0B" w:rsidR="00395079" w:rsidRDefault="00EA4B40">
      <w:pPr>
        <w:pStyle w:val="TOC1"/>
        <w:tabs>
          <w:tab w:val="left" w:pos="440"/>
        </w:tabs>
        <w:rPr>
          <w:rFonts w:asciiTheme="minorHAnsi" w:eastAsiaTheme="minorEastAsia" w:hAnsiTheme="minorHAnsi" w:cstheme="minorBidi"/>
          <w:noProof/>
          <w:sz w:val="22"/>
        </w:rPr>
      </w:pPr>
      <w:hyperlink w:anchor="_Toc54181721" w:history="1">
        <w:r w:rsidR="00395079" w:rsidRPr="00D005F2">
          <w:rPr>
            <w:rStyle w:val="Hyperlink"/>
          </w:rPr>
          <w:t>2.</w:t>
        </w:r>
        <w:r w:rsidR="00395079">
          <w:rPr>
            <w:rFonts w:asciiTheme="minorHAnsi" w:eastAsiaTheme="minorEastAsia" w:hAnsiTheme="minorHAnsi" w:cstheme="minorBidi"/>
            <w:noProof/>
            <w:sz w:val="22"/>
          </w:rPr>
          <w:tab/>
        </w:r>
        <w:r w:rsidR="00395079" w:rsidRPr="00D005F2">
          <w:rPr>
            <w:rStyle w:val="Hyperlink"/>
          </w:rPr>
          <w:t>What are the SMSFAR services?</w:t>
        </w:r>
        <w:r w:rsidR="00395079">
          <w:rPr>
            <w:noProof/>
            <w:webHidden/>
          </w:rPr>
          <w:tab/>
        </w:r>
        <w:r w:rsidR="00395079">
          <w:rPr>
            <w:noProof/>
            <w:webHidden/>
          </w:rPr>
          <w:fldChar w:fldCharType="begin"/>
        </w:r>
        <w:r w:rsidR="00395079">
          <w:rPr>
            <w:noProof/>
            <w:webHidden/>
          </w:rPr>
          <w:instrText xml:space="preserve"> PAGEREF _Toc54181721 \h </w:instrText>
        </w:r>
        <w:r w:rsidR="00395079">
          <w:rPr>
            <w:noProof/>
            <w:webHidden/>
          </w:rPr>
        </w:r>
        <w:r w:rsidR="00395079">
          <w:rPr>
            <w:noProof/>
            <w:webHidden/>
          </w:rPr>
          <w:fldChar w:fldCharType="separate"/>
        </w:r>
        <w:r w:rsidR="00395079">
          <w:rPr>
            <w:noProof/>
            <w:webHidden/>
          </w:rPr>
          <w:t>6</w:t>
        </w:r>
        <w:r w:rsidR="00395079">
          <w:rPr>
            <w:noProof/>
            <w:webHidden/>
          </w:rPr>
          <w:fldChar w:fldCharType="end"/>
        </w:r>
      </w:hyperlink>
    </w:p>
    <w:p w14:paraId="4AC9D5D7" w14:textId="7198E864" w:rsidR="00395079" w:rsidRDefault="00EA4B40">
      <w:pPr>
        <w:pStyle w:val="TOC2"/>
        <w:tabs>
          <w:tab w:val="left" w:pos="880"/>
        </w:tabs>
        <w:rPr>
          <w:rFonts w:asciiTheme="minorHAnsi" w:eastAsiaTheme="minorEastAsia" w:hAnsiTheme="minorHAnsi" w:cstheme="minorBidi"/>
          <w:noProof/>
          <w:sz w:val="22"/>
        </w:rPr>
      </w:pPr>
      <w:hyperlink w:anchor="_Toc54181722" w:history="1">
        <w:r w:rsidR="00395079" w:rsidRPr="00D005F2">
          <w:rPr>
            <w:rStyle w:val="Hyperlink"/>
          </w:rPr>
          <w:t>2.1</w:t>
        </w:r>
        <w:r w:rsidR="00395079">
          <w:rPr>
            <w:rFonts w:asciiTheme="minorHAnsi" w:eastAsiaTheme="minorEastAsia" w:hAnsiTheme="minorHAnsi" w:cstheme="minorBidi"/>
            <w:noProof/>
            <w:sz w:val="22"/>
          </w:rPr>
          <w:tab/>
        </w:r>
        <w:r w:rsidR="00395079" w:rsidRPr="00D005F2">
          <w:rPr>
            <w:rStyle w:val="Hyperlink"/>
          </w:rPr>
          <w:t>Where SBR fits into SMSFAR lodgment obligations</w:t>
        </w:r>
        <w:r w:rsidR="00395079">
          <w:rPr>
            <w:noProof/>
            <w:webHidden/>
          </w:rPr>
          <w:tab/>
        </w:r>
        <w:r w:rsidR="00395079">
          <w:rPr>
            <w:noProof/>
            <w:webHidden/>
          </w:rPr>
          <w:fldChar w:fldCharType="begin"/>
        </w:r>
        <w:r w:rsidR="00395079">
          <w:rPr>
            <w:noProof/>
            <w:webHidden/>
          </w:rPr>
          <w:instrText xml:space="preserve"> PAGEREF _Toc54181722 \h </w:instrText>
        </w:r>
        <w:r w:rsidR="00395079">
          <w:rPr>
            <w:noProof/>
            <w:webHidden/>
          </w:rPr>
        </w:r>
        <w:r w:rsidR="00395079">
          <w:rPr>
            <w:noProof/>
            <w:webHidden/>
          </w:rPr>
          <w:fldChar w:fldCharType="separate"/>
        </w:r>
        <w:r w:rsidR="00395079">
          <w:rPr>
            <w:noProof/>
            <w:webHidden/>
          </w:rPr>
          <w:t>6</w:t>
        </w:r>
        <w:r w:rsidR="00395079">
          <w:rPr>
            <w:noProof/>
            <w:webHidden/>
          </w:rPr>
          <w:fldChar w:fldCharType="end"/>
        </w:r>
      </w:hyperlink>
    </w:p>
    <w:p w14:paraId="3C1D7318" w14:textId="220D8259" w:rsidR="00395079" w:rsidRDefault="00EA4B40">
      <w:pPr>
        <w:pStyle w:val="TOC2"/>
        <w:tabs>
          <w:tab w:val="left" w:pos="880"/>
        </w:tabs>
        <w:rPr>
          <w:rFonts w:asciiTheme="minorHAnsi" w:eastAsiaTheme="minorEastAsia" w:hAnsiTheme="minorHAnsi" w:cstheme="minorBidi"/>
          <w:noProof/>
          <w:sz w:val="22"/>
        </w:rPr>
      </w:pPr>
      <w:hyperlink w:anchor="_Toc54181723" w:history="1">
        <w:r w:rsidR="00395079" w:rsidRPr="00D005F2">
          <w:rPr>
            <w:rStyle w:val="Hyperlink"/>
          </w:rPr>
          <w:t>2.2</w:t>
        </w:r>
        <w:r w:rsidR="00395079">
          <w:rPr>
            <w:rFonts w:asciiTheme="minorHAnsi" w:eastAsiaTheme="minorEastAsia" w:hAnsiTheme="minorHAnsi" w:cstheme="minorBidi"/>
            <w:noProof/>
            <w:sz w:val="22"/>
          </w:rPr>
          <w:tab/>
        </w:r>
        <w:r w:rsidR="00395079" w:rsidRPr="00D005F2">
          <w:rPr>
            <w:rStyle w:val="Hyperlink"/>
          </w:rPr>
          <w:t>Schedules</w:t>
        </w:r>
        <w:r w:rsidR="00395079">
          <w:rPr>
            <w:noProof/>
            <w:webHidden/>
          </w:rPr>
          <w:tab/>
        </w:r>
        <w:r w:rsidR="00395079">
          <w:rPr>
            <w:noProof/>
            <w:webHidden/>
          </w:rPr>
          <w:fldChar w:fldCharType="begin"/>
        </w:r>
        <w:r w:rsidR="00395079">
          <w:rPr>
            <w:noProof/>
            <w:webHidden/>
          </w:rPr>
          <w:instrText xml:space="preserve"> PAGEREF _Toc54181723 \h </w:instrText>
        </w:r>
        <w:r w:rsidR="00395079">
          <w:rPr>
            <w:noProof/>
            <w:webHidden/>
          </w:rPr>
        </w:r>
        <w:r w:rsidR="00395079">
          <w:rPr>
            <w:noProof/>
            <w:webHidden/>
          </w:rPr>
          <w:fldChar w:fldCharType="separate"/>
        </w:r>
        <w:r w:rsidR="00395079">
          <w:rPr>
            <w:noProof/>
            <w:webHidden/>
          </w:rPr>
          <w:t>7</w:t>
        </w:r>
        <w:r w:rsidR="00395079">
          <w:rPr>
            <w:noProof/>
            <w:webHidden/>
          </w:rPr>
          <w:fldChar w:fldCharType="end"/>
        </w:r>
      </w:hyperlink>
    </w:p>
    <w:p w14:paraId="50D53F54" w14:textId="3F564B1F" w:rsidR="00395079" w:rsidRDefault="00EA4B40">
      <w:pPr>
        <w:pStyle w:val="TOC2"/>
        <w:tabs>
          <w:tab w:val="left" w:pos="880"/>
        </w:tabs>
        <w:rPr>
          <w:rFonts w:asciiTheme="minorHAnsi" w:eastAsiaTheme="minorEastAsia" w:hAnsiTheme="minorHAnsi" w:cstheme="minorBidi"/>
          <w:noProof/>
          <w:sz w:val="22"/>
        </w:rPr>
      </w:pPr>
      <w:hyperlink w:anchor="_Toc54181724" w:history="1">
        <w:r w:rsidR="00395079" w:rsidRPr="00D005F2">
          <w:rPr>
            <w:rStyle w:val="Hyperlink"/>
          </w:rPr>
          <w:t>2.3</w:t>
        </w:r>
        <w:r w:rsidR="00395079">
          <w:rPr>
            <w:rFonts w:asciiTheme="minorHAnsi" w:eastAsiaTheme="minorEastAsia" w:hAnsiTheme="minorHAnsi" w:cstheme="minorBidi"/>
            <w:noProof/>
            <w:sz w:val="22"/>
          </w:rPr>
          <w:tab/>
        </w:r>
        <w:r w:rsidR="00395079" w:rsidRPr="00D005F2">
          <w:rPr>
            <w:rStyle w:val="Hyperlink"/>
          </w:rPr>
          <w:t>Interactions</w:t>
        </w:r>
        <w:r w:rsidR="00395079">
          <w:rPr>
            <w:noProof/>
            <w:webHidden/>
          </w:rPr>
          <w:tab/>
        </w:r>
        <w:r w:rsidR="00395079">
          <w:rPr>
            <w:noProof/>
            <w:webHidden/>
          </w:rPr>
          <w:fldChar w:fldCharType="begin"/>
        </w:r>
        <w:r w:rsidR="00395079">
          <w:rPr>
            <w:noProof/>
            <w:webHidden/>
          </w:rPr>
          <w:instrText xml:space="preserve"> PAGEREF _Toc54181724 \h </w:instrText>
        </w:r>
        <w:r w:rsidR="00395079">
          <w:rPr>
            <w:noProof/>
            <w:webHidden/>
          </w:rPr>
        </w:r>
        <w:r w:rsidR="00395079">
          <w:rPr>
            <w:noProof/>
            <w:webHidden/>
          </w:rPr>
          <w:fldChar w:fldCharType="separate"/>
        </w:r>
        <w:r w:rsidR="00395079">
          <w:rPr>
            <w:noProof/>
            <w:webHidden/>
          </w:rPr>
          <w:t>7</w:t>
        </w:r>
        <w:r w:rsidR="00395079">
          <w:rPr>
            <w:noProof/>
            <w:webHidden/>
          </w:rPr>
          <w:fldChar w:fldCharType="end"/>
        </w:r>
      </w:hyperlink>
    </w:p>
    <w:p w14:paraId="1FEB4AAA" w14:textId="32331C4E" w:rsidR="00395079" w:rsidRDefault="00EA4B40">
      <w:pPr>
        <w:pStyle w:val="TOC2"/>
        <w:tabs>
          <w:tab w:val="left" w:pos="880"/>
        </w:tabs>
        <w:rPr>
          <w:rFonts w:asciiTheme="minorHAnsi" w:eastAsiaTheme="minorEastAsia" w:hAnsiTheme="minorHAnsi" w:cstheme="minorBidi"/>
          <w:noProof/>
          <w:sz w:val="22"/>
        </w:rPr>
      </w:pPr>
      <w:hyperlink w:anchor="_Toc54181725" w:history="1">
        <w:r w:rsidR="00395079" w:rsidRPr="00D005F2">
          <w:rPr>
            <w:rStyle w:val="Hyperlink"/>
          </w:rPr>
          <w:t>2.4</w:t>
        </w:r>
        <w:r w:rsidR="00395079">
          <w:rPr>
            <w:rFonts w:asciiTheme="minorHAnsi" w:eastAsiaTheme="minorEastAsia" w:hAnsiTheme="minorHAnsi" w:cstheme="minorBidi"/>
            <w:noProof/>
            <w:sz w:val="22"/>
          </w:rPr>
          <w:tab/>
        </w:r>
        <w:r w:rsidR="00395079" w:rsidRPr="00D005F2">
          <w:rPr>
            <w:rStyle w:val="Hyperlink"/>
          </w:rPr>
          <w:t>Channels</w:t>
        </w:r>
        <w:r w:rsidR="00395079">
          <w:rPr>
            <w:noProof/>
            <w:webHidden/>
          </w:rPr>
          <w:tab/>
        </w:r>
        <w:r w:rsidR="00395079">
          <w:rPr>
            <w:noProof/>
            <w:webHidden/>
          </w:rPr>
          <w:fldChar w:fldCharType="begin"/>
        </w:r>
        <w:r w:rsidR="00395079">
          <w:rPr>
            <w:noProof/>
            <w:webHidden/>
          </w:rPr>
          <w:instrText xml:space="preserve"> PAGEREF _Toc54181725 \h </w:instrText>
        </w:r>
        <w:r w:rsidR="00395079">
          <w:rPr>
            <w:noProof/>
            <w:webHidden/>
          </w:rPr>
        </w:r>
        <w:r w:rsidR="00395079">
          <w:rPr>
            <w:noProof/>
            <w:webHidden/>
          </w:rPr>
          <w:fldChar w:fldCharType="separate"/>
        </w:r>
        <w:r w:rsidR="00395079">
          <w:rPr>
            <w:noProof/>
            <w:webHidden/>
          </w:rPr>
          <w:t>7</w:t>
        </w:r>
        <w:r w:rsidR="00395079">
          <w:rPr>
            <w:noProof/>
            <w:webHidden/>
          </w:rPr>
          <w:fldChar w:fldCharType="end"/>
        </w:r>
      </w:hyperlink>
    </w:p>
    <w:p w14:paraId="209C2ABC" w14:textId="0FBEAE0B" w:rsidR="00395079" w:rsidRDefault="00EA4B40">
      <w:pPr>
        <w:pStyle w:val="TOC1"/>
        <w:tabs>
          <w:tab w:val="left" w:pos="440"/>
        </w:tabs>
        <w:rPr>
          <w:rFonts w:asciiTheme="minorHAnsi" w:eastAsiaTheme="minorEastAsia" w:hAnsiTheme="minorHAnsi" w:cstheme="minorBidi"/>
          <w:noProof/>
          <w:sz w:val="22"/>
        </w:rPr>
      </w:pPr>
      <w:hyperlink w:anchor="_Toc54181726" w:history="1">
        <w:r w:rsidR="00395079" w:rsidRPr="00D005F2">
          <w:rPr>
            <w:rStyle w:val="Hyperlink"/>
          </w:rPr>
          <w:t>3.</w:t>
        </w:r>
        <w:r w:rsidR="00395079">
          <w:rPr>
            <w:rFonts w:asciiTheme="minorHAnsi" w:eastAsiaTheme="minorEastAsia" w:hAnsiTheme="minorHAnsi" w:cstheme="minorBidi"/>
            <w:noProof/>
            <w:sz w:val="22"/>
          </w:rPr>
          <w:tab/>
        </w:r>
        <w:r w:rsidR="00395079" w:rsidRPr="00D005F2">
          <w:rPr>
            <w:rStyle w:val="Hyperlink"/>
          </w:rPr>
          <w:t>Authorisation</w:t>
        </w:r>
        <w:r w:rsidR="00395079">
          <w:rPr>
            <w:noProof/>
            <w:webHidden/>
          </w:rPr>
          <w:tab/>
        </w:r>
        <w:r w:rsidR="00395079">
          <w:rPr>
            <w:noProof/>
            <w:webHidden/>
          </w:rPr>
          <w:fldChar w:fldCharType="begin"/>
        </w:r>
        <w:r w:rsidR="00395079">
          <w:rPr>
            <w:noProof/>
            <w:webHidden/>
          </w:rPr>
          <w:instrText xml:space="preserve"> PAGEREF _Toc54181726 \h </w:instrText>
        </w:r>
        <w:r w:rsidR="00395079">
          <w:rPr>
            <w:noProof/>
            <w:webHidden/>
          </w:rPr>
        </w:r>
        <w:r w:rsidR="00395079">
          <w:rPr>
            <w:noProof/>
            <w:webHidden/>
          </w:rPr>
          <w:fldChar w:fldCharType="separate"/>
        </w:r>
        <w:r w:rsidR="00395079">
          <w:rPr>
            <w:noProof/>
            <w:webHidden/>
          </w:rPr>
          <w:t>8</w:t>
        </w:r>
        <w:r w:rsidR="00395079">
          <w:rPr>
            <w:noProof/>
            <w:webHidden/>
          </w:rPr>
          <w:fldChar w:fldCharType="end"/>
        </w:r>
      </w:hyperlink>
    </w:p>
    <w:p w14:paraId="22203302" w14:textId="68729523" w:rsidR="00395079" w:rsidRDefault="00EA4B40">
      <w:pPr>
        <w:pStyle w:val="TOC2"/>
        <w:tabs>
          <w:tab w:val="left" w:pos="880"/>
        </w:tabs>
        <w:rPr>
          <w:rFonts w:asciiTheme="minorHAnsi" w:eastAsiaTheme="minorEastAsia" w:hAnsiTheme="minorHAnsi" w:cstheme="minorBidi"/>
          <w:noProof/>
          <w:sz w:val="22"/>
        </w:rPr>
      </w:pPr>
      <w:hyperlink w:anchor="_Toc54181727" w:history="1">
        <w:r w:rsidR="00395079" w:rsidRPr="00D005F2">
          <w:rPr>
            <w:rStyle w:val="Hyperlink"/>
          </w:rPr>
          <w:t>3.1</w:t>
        </w:r>
        <w:r w:rsidR="00395079">
          <w:rPr>
            <w:rFonts w:asciiTheme="minorHAnsi" w:eastAsiaTheme="minorEastAsia" w:hAnsiTheme="minorHAnsi" w:cstheme="minorBidi"/>
            <w:noProof/>
            <w:sz w:val="22"/>
          </w:rPr>
          <w:tab/>
        </w:r>
        <w:r w:rsidR="00395079" w:rsidRPr="00D005F2">
          <w:rPr>
            <w:rStyle w:val="Hyperlink"/>
          </w:rPr>
          <w:t>Intermediary Relationship</w:t>
        </w:r>
        <w:r w:rsidR="00395079">
          <w:rPr>
            <w:noProof/>
            <w:webHidden/>
          </w:rPr>
          <w:tab/>
        </w:r>
        <w:r w:rsidR="00395079">
          <w:rPr>
            <w:noProof/>
            <w:webHidden/>
          </w:rPr>
          <w:fldChar w:fldCharType="begin"/>
        </w:r>
        <w:r w:rsidR="00395079">
          <w:rPr>
            <w:noProof/>
            <w:webHidden/>
          </w:rPr>
          <w:instrText xml:space="preserve"> PAGEREF _Toc54181727 \h </w:instrText>
        </w:r>
        <w:r w:rsidR="00395079">
          <w:rPr>
            <w:noProof/>
            <w:webHidden/>
          </w:rPr>
        </w:r>
        <w:r w:rsidR="00395079">
          <w:rPr>
            <w:noProof/>
            <w:webHidden/>
          </w:rPr>
          <w:fldChar w:fldCharType="separate"/>
        </w:r>
        <w:r w:rsidR="00395079">
          <w:rPr>
            <w:noProof/>
            <w:webHidden/>
          </w:rPr>
          <w:t>8</w:t>
        </w:r>
        <w:r w:rsidR="00395079">
          <w:rPr>
            <w:noProof/>
            <w:webHidden/>
          </w:rPr>
          <w:fldChar w:fldCharType="end"/>
        </w:r>
      </w:hyperlink>
    </w:p>
    <w:p w14:paraId="48519CDB" w14:textId="7C37B069" w:rsidR="00395079" w:rsidRDefault="00EA4B40">
      <w:pPr>
        <w:pStyle w:val="TOC2"/>
        <w:tabs>
          <w:tab w:val="left" w:pos="880"/>
        </w:tabs>
        <w:rPr>
          <w:rFonts w:asciiTheme="minorHAnsi" w:eastAsiaTheme="minorEastAsia" w:hAnsiTheme="minorHAnsi" w:cstheme="minorBidi"/>
          <w:noProof/>
          <w:sz w:val="22"/>
        </w:rPr>
      </w:pPr>
      <w:hyperlink w:anchor="_Toc54181728" w:history="1">
        <w:r w:rsidR="00395079" w:rsidRPr="00D005F2">
          <w:rPr>
            <w:rStyle w:val="Hyperlink"/>
          </w:rPr>
          <w:t>3.2</w:t>
        </w:r>
        <w:r w:rsidR="00395079">
          <w:rPr>
            <w:rFonts w:asciiTheme="minorHAnsi" w:eastAsiaTheme="minorEastAsia" w:hAnsiTheme="minorHAnsi" w:cstheme="minorBidi"/>
            <w:noProof/>
            <w:sz w:val="22"/>
          </w:rPr>
          <w:tab/>
        </w:r>
        <w:r w:rsidR="00395079" w:rsidRPr="00D005F2">
          <w:rPr>
            <w:rStyle w:val="Hyperlink"/>
          </w:rPr>
          <w:t>Access and initiating parties</w:t>
        </w:r>
        <w:r w:rsidR="00395079">
          <w:rPr>
            <w:noProof/>
            <w:webHidden/>
          </w:rPr>
          <w:tab/>
        </w:r>
        <w:r w:rsidR="00395079">
          <w:rPr>
            <w:noProof/>
            <w:webHidden/>
          </w:rPr>
          <w:fldChar w:fldCharType="begin"/>
        </w:r>
        <w:r w:rsidR="00395079">
          <w:rPr>
            <w:noProof/>
            <w:webHidden/>
          </w:rPr>
          <w:instrText xml:space="preserve"> PAGEREF _Toc54181728 \h </w:instrText>
        </w:r>
        <w:r w:rsidR="00395079">
          <w:rPr>
            <w:noProof/>
            <w:webHidden/>
          </w:rPr>
        </w:r>
        <w:r w:rsidR="00395079">
          <w:rPr>
            <w:noProof/>
            <w:webHidden/>
          </w:rPr>
          <w:fldChar w:fldCharType="separate"/>
        </w:r>
        <w:r w:rsidR="00395079">
          <w:rPr>
            <w:noProof/>
            <w:webHidden/>
          </w:rPr>
          <w:t>8</w:t>
        </w:r>
        <w:r w:rsidR="00395079">
          <w:rPr>
            <w:noProof/>
            <w:webHidden/>
          </w:rPr>
          <w:fldChar w:fldCharType="end"/>
        </w:r>
      </w:hyperlink>
    </w:p>
    <w:p w14:paraId="7DFB622F" w14:textId="1284D032" w:rsidR="00395079" w:rsidRDefault="00EA4B40">
      <w:pPr>
        <w:pStyle w:val="TOC1"/>
        <w:tabs>
          <w:tab w:val="left" w:pos="440"/>
        </w:tabs>
        <w:rPr>
          <w:rFonts w:asciiTheme="minorHAnsi" w:eastAsiaTheme="minorEastAsia" w:hAnsiTheme="minorHAnsi" w:cstheme="minorBidi"/>
          <w:noProof/>
          <w:sz w:val="22"/>
        </w:rPr>
      </w:pPr>
      <w:hyperlink w:anchor="_Toc54181729" w:history="1">
        <w:r w:rsidR="00395079" w:rsidRPr="00D005F2">
          <w:rPr>
            <w:rStyle w:val="Hyperlink"/>
          </w:rPr>
          <w:t>4.</w:t>
        </w:r>
        <w:r w:rsidR="00395079">
          <w:rPr>
            <w:rFonts w:asciiTheme="minorHAnsi" w:eastAsiaTheme="minorEastAsia" w:hAnsiTheme="minorHAnsi" w:cstheme="minorBidi"/>
            <w:noProof/>
            <w:sz w:val="22"/>
          </w:rPr>
          <w:tab/>
        </w:r>
        <w:r w:rsidR="00395079" w:rsidRPr="00D005F2">
          <w:rPr>
            <w:rStyle w:val="Hyperlink"/>
          </w:rPr>
          <w:t>Constraints and Known Issues</w:t>
        </w:r>
        <w:r w:rsidR="00395079">
          <w:rPr>
            <w:noProof/>
            <w:webHidden/>
          </w:rPr>
          <w:tab/>
        </w:r>
        <w:r w:rsidR="00395079">
          <w:rPr>
            <w:noProof/>
            <w:webHidden/>
          </w:rPr>
          <w:fldChar w:fldCharType="begin"/>
        </w:r>
        <w:r w:rsidR="00395079">
          <w:rPr>
            <w:noProof/>
            <w:webHidden/>
          </w:rPr>
          <w:instrText xml:space="preserve"> PAGEREF _Toc54181729 \h </w:instrText>
        </w:r>
        <w:r w:rsidR="00395079">
          <w:rPr>
            <w:noProof/>
            <w:webHidden/>
          </w:rPr>
        </w:r>
        <w:r w:rsidR="00395079">
          <w:rPr>
            <w:noProof/>
            <w:webHidden/>
          </w:rPr>
          <w:fldChar w:fldCharType="separate"/>
        </w:r>
        <w:r w:rsidR="00395079">
          <w:rPr>
            <w:noProof/>
            <w:webHidden/>
          </w:rPr>
          <w:t>9</w:t>
        </w:r>
        <w:r w:rsidR="00395079">
          <w:rPr>
            <w:noProof/>
            <w:webHidden/>
          </w:rPr>
          <w:fldChar w:fldCharType="end"/>
        </w:r>
      </w:hyperlink>
    </w:p>
    <w:p w14:paraId="2FF2A31B" w14:textId="4700AFD9" w:rsidR="00395079" w:rsidRDefault="00EA4B40">
      <w:pPr>
        <w:pStyle w:val="TOC2"/>
        <w:tabs>
          <w:tab w:val="left" w:pos="880"/>
        </w:tabs>
        <w:rPr>
          <w:rFonts w:asciiTheme="minorHAnsi" w:eastAsiaTheme="minorEastAsia" w:hAnsiTheme="minorHAnsi" w:cstheme="minorBidi"/>
          <w:noProof/>
          <w:sz w:val="22"/>
        </w:rPr>
      </w:pPr>
      <w:hyperlink w:anchor="_Toc54181730" w:history="1">
        <w:r w:rsidR="00395079" w:rsidRPr="00D005F2">
          <w:rPr>
            <w:rStyle w:val="Hyperlink"/>
          </w:rPr>
          <w:t>4.1</w:t>
        </w:r>
        <w:r w:rsidR="00395079">
          <w:rPr>
            <w:rFonts w:asciiTheme="minorHAnsi" w:eastAsiaTheme="minorEastAsia" w:hAnsiTheme="minorHAnsi" w:cstheme="minorBidi"/>
            <w:noProof/>
            <w:sz w:val="22"/>
          </w:rPr>
          <w:tab/>
        </w:r>
        <w:r w:rsidR="00395079" w:rsidRPr="00D005F2">
          <w:rPr>
            <w:rStyle w:val="Hyperlink"/>
          </w:rPr>
          <w:t>Constraints When Using This Service</w:t>
        </w:r>
        <w:r w:rsidR="00395079">
          <w:rPr>
            <w:noProof/>
            <w:webHidden/>
          </w:rPr>
          <w:tab/>
        </w:r>
        <w:r w:rsidR="00395079">
          <w:rPr>
            <w:noProof/>
            <w:webHidden/>
          </w:rPr>
          <w:fldChar w:fldCharType="begin"/>
        </w:r>
        <w:r w:rsidR="00395079">
          <w:rPr>
            <w:noProof/>
            <w:webHidden/>
          </w:rPr>
          <w:instrText xml:space="preserve"> PAGEREF _Toc54181730 \h </w:instrText>
        </w:r>
        <w:r w:rsidR="00395079">
          <w:rPr>
            <w:noProof/>
            <w:webHidden/>
          </w:rPr>
        </w:r>
        <w:r w:rsidR="00395079">
          <w:rPr>
            <w:noProof/>
            <w:webHidden/>
          </w:rPr>
          <w:fldChar w:fldCharType="separate"/>
        </w:r>
        <w:r w:rsidR="00395079">
          <w:rPr>
            <w:noProof/>
            <w:webHidden/>
          </w:rPr>
          <w:t>9</w:t>
        </w:r>
        <w:r w:rsidR="00395079">
          <w:rPr>
            <w:noProof/>
            <w:webHidden/>
          </w:rPr>
          <w:fldChar w:fldCharType="end"/>
        </w:r>
      </w:hyperlink>
    </w:p>
    <w:p w14:paraId="0A680A5E" w14:textId="1F86A8CD" w:rsidR="00395079" w:rsidRDefault="00EA4B40">
      <w:pPr>
        <w:pStyle w:val="TOC2"/>
        <w:tabs>
          <w:tab w:val="left" w:pos="880"/>
        </w:tabs>
        <w:rPr>
          <w:rFonts w:asciiTheme="minorHAnsi" w:eastAsiaTheme="minorEastAsia" w:hAnsiTheme="minorHAnsi" w:cstheme="minorBidi"/>
          <w:noProof/>
          <w:sz w:val="22"/>
        </w:rPr>
      </w:pPr>
      <w:hyperlink w:anchor="_Toc54181731" w:history="1">
        <w:r w:rsidR="00395079" w:rsidRPr="00D005F2">
          <w:rPr>
            <w:rStyle w:val="Hyperlink"/>
          </w:rPr>
          <w:t>4.2</w:t>
        </w:r>
        <w:r w:rsidR="00395079">
          <w:rPr>
            <w:rFonts w:asciiTheme="minorHAnsi" w:eastAsiaTheme="minorEastAsia" w:hAnsiTheme="minorHAnsi" w:cstheme="minorBidi"/>
            <w:noProof/>
            <w:sz w:val="22"/>
          </w:rPr>
          <w:tab/>
        </w:r>
        <w:r w:rsidR="00395079" w:rsidRPr="00D005F2">
          <w:rPr>
            <w:rStyle w:val="Hyperlink"/>
          </w:rPr>
          <w:t>usage restrictions</w:t>
        </w:r>
        <w:r w:rsidR="00395079">
          <w:rPr>
            <w:noProof/>
            <w:webHidden/>
          </w:rPr>
          <w:tab/>
        </w:r>
        <w:r w:rsidR="00395079">
          <w:rPr>
            <w:noProof/>
            <w:webHidden/>
          </w:rPr>
          <w:fldChar w:fldCharType="begin"/>
        </w:r>
        <w:r w:rsidR="00395079">
          <w:rPr>
            <w:noProof/>
            <w:webHidden/>
          </w:rPr>
          <w:instrText xml:space="preserve"> PAGEREF _Toc54181731 \h </w:instrText>
        </w:r>
        <w:r w:rsidR="00395079">
          <w:rPr>
            <w:noProof/>
            <w:webHidden/>
          </w:rPr>
        </w:r>
        <w:r w:rsidR="00395079">
          <w:rPr>
            <w:noProof/>
            <w:webHidden/>
          </w:rPr>
          <w:fldChar w:fldCharType="separate"/>
        </w:r>
        <w:r w:rsidR="00395079">
          <w:rPr>
            <w:noProof/>
            <w:webHidden/>
          </w:rPr>
          <w:t>9</w:t>
        </w:r>
        <w:r w:rsidR="00395079">
          <w:rPr>
            <w:noProof/>
            <w:webHidden/>
          </w:rPr>
          <w:fldChar w:fldCharType="end"/>
        </w:r>
      </w:hyperlink>
    </w:p>
    <w:p w14:paraId="54627D88" w14:textId="28FB883E" w:rsidR="00395079" w:rsidRDefault="00EA4B40">
      <w:pPr>
        <w:pStyle w:val="TOC2"/>
        <w:tabs>
          <w:tab w:val="left" w:pos="880"/>
        </w:tabs>
        <w:rPr>
          <w:rFonts w:asciiTheme="minorHAnsi" w:eastAsiaTheme="minorEastAsia" w:hAnsiTheme="minorHAnsi" w:cstheme="minorBidi"/>
          <w:noProof/>
          <w:sz w:val="22"/>
        </w:rPr>
      </w:pPr>
      <w:hyperlink w:anchor="_Toc54181732" w:history="1">
        <w:r w:rsidR="00395079" w:rsidRPr="00D005F2">
          <w:rPr>
            <w:rStyle w:val="Hyperlink"/>
          </w:rPr>
          <w:t>4.3</w:t>
        </w:r>
        <w:r w:rsidR="00395079">
          <w:rPr>
            <w:rFonts w:asciiTheme="minorHAnsi" w:eastAsiaTheme="minorEastAsia" w:hAnsiTheme="minorHAnsi" w:cstheme="minorBidi"/>
            <w:noProof/>
            <w:sz w:val="22"/>
          </w:rPr>
          <w:tab/>
        </w:r>
        <w:r w:rsidR="00395079" w:rsidRPr="00D005F2">
          <w:rPr>
            <w:rStyle w:val="Hyperlink"/>
          </w:rPr>
          <w:t>Known Issues</w:t>
        </w:r>
        <w:r w:rsidR="00395079">
          <w:rPr>
            <w:noProof/>
            <w:webHidden/>
          </w:rPr>
          <w:tab/>
        </w:r>
        <w:r w:rsidR="00395079">
          <w:rPr>
            <w:noProof/>
            <w:webHidden/>
          </w:rPr>
          <w:fldChar w:fldCharType="begin"/>
        </w:r>
        <w:r w:rsidR="00395079">
          <w:rPr>
            <w:noProof/>
            <w:webHidden/>
          </w:rPr>
          <w:instrText xml:space="preserve"> PAGEREF _Toc54181732 \h </w:instrText>
        </w:r>
        <w:r w:rsidR="00395079">
          <w:rPr>
            <w:noProof/>
            <w:webHidden/>
          </w:rPr>
        </w:r>
        <w:r w:rsidR="00395079">
          <w:rPr>
            <w:noProof/>
            <w:webHidden/>
          </w:rPr>
          <w:fldChar w:fldCharType="separate"/>
        </w:r>
        <w:r w:rsidR="00395079">
          <w:rPr>
            <w:noProof/>
            <w:webHidden/>
          </w:rPr>
          <w:t>9</w:t>
        </w:r>
        <w:r w:rsidR="00395079">
          <w:rPr>
            <w:noProof/>
            <w:webHidden/>
          </w:rPr>
          <w:fldChar w:fldCharType="end"/>
        </w:r>
      </w:hyperlink>
    </w:p>
    <w:p w14:paraId="6176ABE3" w14:textId="30076A34" w:rsidR="00395079" w:rsidRDefault="00EA4B40">
      <w:pPr>
        <w:pStyle w:val="TOC1"/>
        <w:tabs>
          <w:tab w:val="left" w:pos="440"/>
        </w:tabs>
        <w:rPr>
          <w:rFonts w:asciiTheme="minorHAnsi" w:eastAsiaTheme="minorEastAsia" w:hAnsiTheme="minorHAnsi" w:cstheme="minorBidi"/>
          <w:noProof/>
          <w:sz w:val="22"/>
        </w:rPr>
      </w:pPr>
      <w:hyperlink w:anchor="_Toc54181733" w:history="1">
        <w:r w:rsidR="00395079" w:rsidRPr="00D005F2">
          <w:rPr>
            <w:rStyle w:val="Hyperlink"/>
          </w:rPr>
          <w:t>5.</w:t>
        </w:r>
        <w:r w:rsidR="00395079">
          <w:rPr>
            <w:rFonts w:asciiTheme="minorHAnsi" w:eastAsiaTheme="minorEastAsia" w:hAnsiTheme="minorHAnsi" w:cstheme="minorBidi"/>
            <w:noProof/>
            <w:sz w:val="22"/>
          </w:rPr>
          <w:tab/>
        </w:r>
        <w:r w:rsidR="00395079" w:rsidRPr="00D005F2">
          <w:rPr>
            <w:rStyle w:val="Hyperlink"/>
          </w:rPr>
          <w:t>Taxpayer Declarations</w:t>
        </w:r>
        <w:r w:rsidR="00395079">
          <w:rPr>
            <w:noProof/>
            <w:webHidden/>
          </w:rPr>
          <w:tab/>
        </w:r>
        <w:r w:rsidR="00395079">
          <w:rPr>
            <w:noProof/>
            <w:webHidden/>
          </w:rPr>
          <w:fldChar w:fldCharType="begin"/>
        </w:r>
        <w:r w:rsidR="00395079">
          <w:rPr>
            <w:noProof/>
            <w:webHidden/>
          </w:rPr>
          <w:instrText xml:space="preserve"> PAGEREF _Toc54181733 \h </w:instrText>
        </w:r>
        <w:r w:rsidR="00395079">
          <w:rPr>
            <w:noProof/>
            <w:webHidden/>
          </w:rPr>
        </w:r>
        <w:r w:rsidR="00395079">
          <w:rPr>
            <w:noProof/>
            <w:webHidden/>
          </w:rPr>
          <w:fldChar w:fldCharType="separate"/>
        </w:r>
        <w:r w:rsidR="00395079">
          <w:rPr>
            <w:noProof/>
            <w:webHidden/>
          </w:rPr>
          <w:t>10</w:t>
        </w:r>
        <w:r w:rsidR="00395079">
          <w:rPr>
            <w:noProof/>
            <w:webHidden/>
          </w:rPr>
          <w:fldChar w:fldCharType="end"/>
        </w:r>
      </w:hyperlink>
    </w:p>
    <w:p w14:paraId="20AD095F" w14:textId="29DC4D87" w:rsidR="00395079" w:rsidRDefault="00EA4B40">
      <w:pPr>
        <w:pStyle w:val="TOC1"/>
        <w:tabs>
          <w:tab w:val="left" w:pos="440"/>
        </w:tabs>
        <w:rPr>
          <w:rFonts w:asciiTheme="minorHAnsi" w:eastAsiaTheme="minorEastAsia" w:hAnsiTheme="minorHAnsi" w:cstheme="minorBidi"/>
          <w:noProof/>
          <w:sz w:val="22"/>
        </w:rPr>
      </w:pPr>
      <w:hyperlink w:anchor="_Toc54181734" w:history="1">
        <w:r w:rsidR="00395079" w:rsidRPr="00D005F2">
          <w:rPr>
            <w:rStyle w:val="Hyperlink"/>
          </w:rPr>
          <w:t>6.</w:t>
        </w:r>
        <w:r w:rsidR="00395079">
          <w:rPr>
            <w:rFonts w:asciiTheme="minorHAnsi" w:eastAsiaTheme="minorEastAsia" w:hAnsiTheme="minorHAnsi" w:cstheme="minorBidi"/>
            <w:noProof/>
            <w:sz w:val="22"/>
          </w:rPr>
          <w:tab/>
        </w:r>
        <w:r w:rsidR="00395079" w:rsidRPr="00D005F2">
          <w:rPr>
            <w:rStyle w:val="Hyperlink"/>
          </w:rPr>
          <w:t>SMSFAR Guidance</w:t>
        </w:r>
        <w:r w:rsidR="00395079">
          <w:rPr>
            <w:noProof/>
            <w:webHidden/>
          </w:rPr>
          <w:tab/>
        </w:r>
        <w:r w:rsidR="00395079">
          <w:rPr>
            <w:noProof/>
            <w:webHidden/>
          </w:rPr>
          <w:fldChar w:fldCharType="begin"/>
        </w:r>
        <w:r w:rsidR="00395079">
          <w:rPr>
            <w:noProof/>
            <w:webHidden/>
          </w:rPr>
          <w:instrText xml:space="preserve"> PAGEREF _Toc54181734 \h </w:instrText>
        </w:r>
        <w:r w:rsidR="00395079">
          <w:rPr>
            <w:noProof/>
            <w:webHidden/>
          </w:rPr>
        </w:r>
        <w:r w:rsidR="00395079">
          <w:rPr>
            <w:noProof/>
            <w:webHidden/>
          </w:rPr>
          <w:fldChar w:fldCharType="separate"/>
        </w:r>
        <w:r w:rsidR="00395079">
          <w:rPr>
            <w:noProof/>
            <w:webHidden/>
          </w:rPr>
          <w:t>11</w:t>
        </w:r>
        <w:r w:rsidR="00395079">
          <w:rPr>
            <w:noProof/>
            <w:webHidden/>
          </w:rPr>
          <w:fldChar w:fldCharType="end"/>
        </w:r>
      </w:hyperlink>
    </w:p>
    <w:p w14:paraId="294D3630" w14:textId="2BDBBAD7" w:rsidR="00395079" w:rsidRDefault="00EA4B40">
      <w:pPr>
        <w:pStyle w:val="TOC2"/>
        <w:tabs>
          <w:tab w:val="left" w:pos="880"/>
        </w:tabs>
        <w:rPr>
          <w:rFonts w:asciiTheme="minorHAnsi" w:eastAsiaTheme="minorEastAsia" w:hAnsiTheme="minorHAnsi" w:cstheme="minorBidi"/>
          <w:noProof/>
          <w:sz w:val="22"/>
        </w:rPr>
      </w:pPr>
      <w:hyperlink w:anchor="_Toc54181735" w:history="1">
        <w:r w:rsidR="00395079" w:rsidRPr="00D005F2">
          <w:rPr>
            <w:rStyle w:val="Hyperlink"/>
          </w:rPr>
          <w:t>6.1</w:t>
        </w:r>
        <w:r w:rsidR="00395079">
          <w:rPr>
            <w:rFonts w:asciiTheme="minorHAnsi" w:eastAsiaTheme="minorEastAsia" w:hAnsiTheme="minorHAnsi" w:cstheme="minorBidi"/>
            <w:noProof/>
            <w:sz w:val="22"/>
          </w:rPr>
          <w:tab/>
        </w:r>
        <w:r w:rsidR="00395079" w:rsidRPr="00D005F2">
          <w:rPr>
            <w:rStyle w:val="Hyperlink"/>
          </w:rPr>
          <w:t>Prior year SMSFAR lodgment through SBR</w:t>
        </w:r>
        <w:r w:rsidR="00395079">
          <w:rPr>
            <w:noProof/>
            <w:webHidden/>
          </w:rPr>
          <w:tab/>
        </w:r>
        <w:r w:rsidR="00395079">
          <w:rPr>
            <w:noProof/>
            <w:webHidden/>
          </w:rPr>
          <w:fldChar w:fldCharType="begin"/>
        </w:r>
        <w:r w:rsidR="00395079">
          <w:rPr>
            <w:noProof/>
            <w:webHidden/>
          </w:rPr>
          <w:instrText xml:space="preserve"> PAGEREF _Toc54181735 \h </w:instrText>
        </w:r>
        <w:r w:rsidR="00395079">
          <w:rPr>
            <w:noProof/>
            <w:webHidden/>
          </w:rPr>
        </w:r>
        <w:r w:rsidR="00395079">
          <w:rPr>
            <w:noProof/>
            <w:webHidden/>
          </w:rPr>
          <w:fldChar w:fldCharType="separate"/>
        </w:r>
        <w:r w:rsidR="00395079">
          <w:rPr>
            <w:noProof/>
            <w:webHidden/>
          </w:rPr>
          <w:t>11</w:t>
        </w:r>
        <w:r w:rsidR="00395079">
          <w:rPr>
            <w:noProof/>
            <w:webHidden/>
          </w:rPr>
          <w:fldChar w:fldCharType="end"/>
        </w:r>
      </w:hyperlink>
    </w:p>
    <w:p w14:paraId="12249D84" w14:textId="5CBA2E4A" w:rsidR="00395079" w:rsidRDefault="00EA4B40">
      <w:pPr>
        <w:pStyle w:val="TOC2"/>
        <w:tabs>
          <w:tab w:val="left" w:pos="880"/>
        </w:tabs>
        <w:rPr>
          <w:rFonts w:asciiTheme="minorHAnsi" w:eastAsiaTheme="minorEastAsia" w:hAnsiTheme="minorHAnsi" w:cstheme="minorBidi"/>
          <w:noProof/>
          <w:sz w:val="22"/>
        </w:rPr>
      </w:pPr>
      <w:hyperlink w:anchor="_Toc54181736" w:history="1">
        <w:r w:rsidR="00395079" w:rsidRPr="00D005F2">
          <w:rPr>
            <w:rStyle w:val="Hyperlink"/>
          </w:rPr>
          <w:t>6.2</w:t>
        </w:r>
        <w:r w:rsidR="00395079">
          <w:rPr>
            <w:rFonts w:asciiTheme="minorHAnsi" w:eastAsiaTheme="minorEastAsia" w:hAnsiTheme="minorHAnsi" w:cstheme="minorBidi"/>
            <w:noProof/>
            <w:sz w:val="22"/>
          </w:rPr>
          <w:tab/>
        </w:r>
        <w:r w:rsidR="00395079" w:rsidRPr="00D005F2">
          <w:rPr>
            <w:rStyle w:val="Hyperlink"/>
          </w:rPr>
          <w:t>Using the additional free text field</w:t>
        </w:r>
        <w:r w:rsidR="00395079">
          <w:rPr>
            <w:noProof/>
            <w:webHidden/>
          </w:rPr>
          <w:tab/>
        </w:r>
        <w:r w:rsidR="00395079">
          <w:rPr>
            <w:noProof/>
            <w:webHidden/>
          </w:rPr>
          <w:fldChar w:fldCharType="begin"/>
        </w:r>
        <w:r w:rsidR="00395079">
          <w:rPr>
            <w:noProof/>
            <w:webHidden/>
          </w:rPr>
          <w:instrText xml:space="preserve"> PAGEREF _Toc54181736 \h </w:instrText>
        </w:r>
        <w:r w:rsidR="00395079">
          <w:rPr>
            <w:noProof/>
            <w:webHidden/>
          </w:rPr>
        </w:r>
        <w:r w:rsidR="00395079">
          <w:rPr>
            <w:noProof/>
            <w:webHidden/>
          </w:rPr>
          <w:fldChar w:fldCharType="separate"/>
        </w:r>
        <w:r w:rsidR="00395079">
          <w:rPr>
            <w:noProof/>
            <w:webHidden/>
          </w:rPr>
          <w:t>11</w:t>
        </w:r>
        <w:r w:rsidR="00395079">
          <w:rPr>
            <w:noProof/>
            <w:webHidden/>
          </w:rPr>
          <w:fldChar w:fldCharType="end"/>
        </w:r>
      </w:hyperlink>
    </w:p>
    <w:p w14:paraId="21BB8EC5" w14:textId="6B06040E" w:rsidR="00395079" w:rsidRDefault="00EA4B40">
      <w:pPr>
        <w:pStyle w:val="TOC2"/>
        <w:tabs>
          <w:tab w:val="left" w:pos="880"/>
        </w:tabs>
        <w:rPr>
          <w:rFonts w:asciiTheme="minorHAnsi" w:eastAsiaTheme="minorEastAsia" w:hAnsiTheme="minorHAnsi" w:cstheme="minorBidi"/>
          <w:noProof/>
          <w:sz w:val="22"/>
        </w:rPr>
      </w:pPr>
      <w:hyperlink w:anchor="_Toc54181737" w:history="1">
        <w:r w:rsidR="00395079" w:rsidRPr="00D005F2">
          <w:rPr>
            <w:rStyle w:val="Hyperlink"/>
          </w:rPr>
          <w:t>6.3</w:t>
        </w:r>
        <w:r w:rsidR="00395079">
          <w:rPr>
            <w:rFonts w:asciiTheme="minorHAnsi" w:eastAsiaTheme="minorEastAsia" w:hAnsiTheme="minorHAnsi" w:cstheme="minorBidi"/>
            <w:noProof/>
            <w:sz w:val="22"/>
          </w:rPr>
          <w:tab/>
        </w:r>
        <w:r w:rsidR="00395079" w:rsidRPr="00D005F2">
          <w:rPr>
            <w:rStyle w:val="Hyperlink"/>
          </w:rPr>
          <w:t>TFN and ABN algorithm validation</w:t>
        </w:r>
        <w:r w:rsidR="00395079">
          <w:rPr>
            <w:noProof/>
            <w:webHidden/>
          </w:rPr>
          <w:tab/>
        </w:r>
        <w:r w:rsidR="00395079">
          <w:rPr>
            <w:noProof/>
            <w:webHidden/>
          </w:rPr>
          <w:fldChar w:fldCharType="begin"/>
        </w:r>
        <w:r w:rsidR="00395079">
          <w:rPr>
            <w:noProof/>
            <w:webHidden/>
          </w:rPr>
          <w:instrText xml:space="preserve"> PAGEREF _Toc54181737 \h </w:instrText>
        </w:r>
        <w:r w:rsidR="00395079">
          <w:rPr>
            <w:noProof/>
            <w:webHidden/>
          </w:rPr>
        </w:r>
        <w:r w:rsidR="00395079">
          <w:rPr>
            <w:noProof/>
            <w:webHidden/>
          </w:rPr>
          <w:fldChar w:fldCharType="separate"/>
        </w:r>
        <w:r w:rsidR="00395079">
          <w:rPr>
            <w:noProof/>
            <w:webHidden/>
          </w:rPr>
          <w:t>11</w:t>
        </w:r>
        <w:r w:rsidR="00395079">
          <w:rPr>
            <w:noProof/>
            <w:webHidden/>
          </w:rPr>
          <w:fldChar w:fldCharType="end"/>
        </w:r>
      </w:hyperlink>
    </w:p>
    <w:p w14:paraId="3360EFC9" w14:textId="3630442D" w:rsidR="00395079" w:rsidRDefault="00EA4B40">
      <w:pPr>
        <w:pStyle w:val="TOC2"/>
        <w:tabs>
          <w:tab w:val="left" w:pos="880"/>
        </w:tabs>
        <w:rPr>
          <w:rFonts w:asciiTheme="minorHAnsi" w:eastAsiaTheme="minorEastAsia" w:hAnsiTheme="minorHAnsi" w:cstheme="minorBidi"/>
          <w:noProof/>
          <w:sz w:val="22"/>
        </w:rPr>
      </w:pPr>
      <w:hyperlink w:anchor="_Toc54181738" w:history="1">
        <w:r w:rsidR="00395079" w:rsidRPr="00D005F2">
          <w:rPr>
            <w:rStyle w:val="Hyperlink"/>
          </w:rPr>
          <w:t>6.4</w:t>
        </w:r>
        <w:r w:rsidR="00395079">
          <w:rPr>
            <w:rFonts w:asciiTheme="minorHAnsi" w:eastAsiaTheme="minorEastAsia" w:hAnsiTheme="minorHAnsi" w:cstheme="minorBidi"/>
            <w:noProof/>
            <w:sz w:val="22"/>
          </w:rPr>
          <w:tab/>
        </w:r>
        <w:r w:rsidR="00395079" w:rsidRPr="00D005F2">
          <w:rPr>
            <w:rStyle w:val="Hyperlink"/>
          </w:rPr>
          <w:t>Future years</w:t>
        </w:r>
        <w:r w:rsidR="00395079">
          <w:rPr>
            <w:noProof/>
            <w:webHidden/>
          </w:rPr>
          <w:tab/>
        </w:r>
        <w:r w:rsidR="00395079">
          <w:rPr>
            <w:noProof/>
            <w:webHidden/>
          </w:rPr>
          <w:fldChar w:fldCharType="begin"/>
        </w:r>
        <w:r w:rsidR="00395079">
          <w:rPr>
            <w:noProof/>
            <w:webHidden/>
          </w:rPr>
          <w:instrText xml:space="preserve"> PAGEREF _Toc54181738 \h </w:instrText>
        </w:r>
        <w:r w:rsidR="00395079">
          <w:rPr>
            <w:noProof/>
            <w:webHidden/>
          </w:rPr>
        </w:r>
        <w:r w:rsidR="00395079">
          <w:rPr>
            <w:noProof/>
            <w:webHidden/>
          </w:rPr>
          <w:fldChar w:fldCharType="separate"/>
        </w:r>
        <w:r w:rsidR="00395079">
          <w:rPr>
            <w:noProof/>
            <w:webHidden/>
          </w:rPr>
          <w:t>12</w:t>
        </w:r>
        <w:r w:rsidR="00395079">
          <w:rPr>
            <w:noProof/>
            <w:webHidden/>
          </w:rPr>
          <w:fldChar w:fldCharType="end"/>
        </w:r>
      </w:hyperlink>
    </w:p>
    <w:p w14:paraId="28DBD227" w14:textId="0A424B1E" w:rsidR="00395079" w:rsidRDefault="00EA4B40">
      <w:pPr>
        <w:pStyle w:val="TOC2"/>
        <w:tabs>
          <w:tab w:val="left" w:pos="880"/>
        </w:tabs>
        <w:rPr>
          <w:rFonts w:asciiTheme="minorHAnsi" w:eastAsiaTheme="minorEastAsia" w:hAnsiTheme="minorHAnsi" w:cstheme="minorBidi"/>
          <w:noProof/>
          <w:sz w:val="22"/>
        </w:rPr>
      </w:pPr>
      <w:hyperlink w:anchor="_Toc54181739" w:history="1">
        <w:r w:rsidR="00395079" w:rsidRPr="00D005F2">
          <w:rPr>
            <w:rStyle w:val="Hyperlink"/>
          </w:rPr>
          <w:t>6.5</w:t>
        </w:r>
        <w:r w:rsidR="00395079">
          <w:rPr>
            <w:rFonts w:asciiTheme="minorHAnsi" w:eastAsiaTheme="minorEastAsia" w:hAnsiTheme="minorHAnsi" w:cstheme="minorBidi"/>
            <w:noProof/>
            <w:sz w:val="22"/>
          </w:rPr>
          <w:tab/>
        </w:r>
        <w:r w:rsidR="00395079" w:rsidRPr="00D005F2">
          <w:rPr>
            <w:rStyle w:val="Hyperlink"/>
          </w:rPr>
          <w:t>T</w:t>
        </w:r>
        <w:r w:rsidR="00395079">
          <w:rPr>
            <w:rStyle w:val="Hyperlink"/>
          </w:rPr>
          <w:t>run</w:t>
        </w:r>
        <w:r w:rsidR="00395079" w:rsidRPr="00D005F2">
          <w:rPr>
            <w:rStyle w:val="Hyperlink"/>
          </w:rPr>
          <w:t>cating amounts</w:t>
        </w:r>
        <w:r w:rsidR="00395079">
          <w:rPr>
            <w:noProof/>
            <w:webHidden/>
          </w:rPr>
          <w:tab/>
        </w:r>
        <w:r w:rsidR="00395079">
          <w:rPr>
            <w:noProof/>
            <w:webHidden/>
          </w:rPr>
          <w:fldChar w:fldCharType="begin"/>
        </w:r>
        <w:r w:rsidR="00395079">
          <w:rPr>
            <w:noProof/>
            <w:webHidden/>
          </w:rPr>
          <w:instrText xml:space="preserve"> PAGEREF _Toc54181739 \h </w:instrText>
        </w:r>
        <w:r w:rsidR="00395079">
          <w:rPr>
            <w:noProof/>
            <w:webHidden/>
          </w:rPr>
        </w:r>
        <w:r w:rsidR="00395079">
          <w:rPr>
            <w:noProof/>
            <w:webHidden/>
          </w:rPr>
          <w:fldChar w:fldCharType="separate"/>
        </w:r>
        <w:r w:rsidR="00395079">
          <w:rPr>
            <w:noProof/>
            <w:webHidden/>
          </w:rPr>
          <w:t>12</w:t>
        </w:r>
        <w:r w:rsidR="00395079">
          <w:rPr>
            <w:noProof/>
            <w:webHidden/>
          </w:rPr>
          <w:fldChar w:fldCharType="end"/>
        </w:r>
      </w:hyperlink>
    </w:p>
    <w:p w14:paraId="1419FDBC" w14:textId="4E789EBF" w:rsidR="00395079" w:rsidRDefault="00EA4B40">
      <w:pPr>
        <w:pStyle w:val="TOC2"/>
        <w:rPr>
          <w:rFonts w:asciiTheme="minorHAnsi" w:eastAsiaTheme="minorEastAsia" w:hAnsiTheme="minorHAnsi" w:cstheme="minorBidi"/>
          <w:noProof/>
          <w:sz w:val="22"/>
        </w:rPr>
      </w:pPr>
      <w:hyperlink w:anchor="_Toc54181740" w:history="1">
        <w:r w:rsidR="00395079" w:rsidRPr="00D005F2">
          <w:rPr>
            <w:rStyle w:val="Hyperlink"/>
            <w:caps/>
            <w:kern w:val="36"/>
          </w:rPr>
          <w:t>6.6 Auditor Information</w:t>
        </w:r>
        <w:r w:rsidR="00395079">
          <w:rPr>
            <w:noProof/>
            <w:webHidden/>
          </w:rPr>
          <w:tab/>
        </w:r>
        <w:r w:rsidR="00395079">
          <w:rPr>
            <w:noProof/>
            <w:webHidden/>
          </w:rPr>
          <w:fldChar w:fldCharType="begin"/>
        </w:r>
        <w:r w:rsidR="00395079">
          <w:rPr>
            <w:noProof/>
            <w:webHidden/>
          </w:rPr>
          <w:instrText xml:space="preserve"> PAGEREF _Toc54181740 \h </w:instrText>
        </w:r>
        <w:r w:rsidR="00395079">
          <w:rPr>
            <w:noProof/>
            <w:webHidden/>
          </w:rPr>
        </w:r>
        <w:r w:rsidR="00395079">
          <w:rPr>
            <w:noProof/>
            <w:webHidden/>
          </w:rPr>
          <w:fldChar w:fldCharType="separate"/>
        </w:r>
        <w:r w:rsidR="00395079">
          <w:rPr>
            <w:noProof/>
            <w:webHidden/>
          </w:rPr>
          <w:t>12</w:t>
        </w:r>
        <w:r w:rsidR="00395079">
          <w:rPr>
            <w:noProof/>
            <w:webHidden/>
          </w:rPr>
          <w:fldChar w:fldCharType="end"/>
        </w:r>
      </w:hyperlink>
    </w:p>
    <w:p w14:paraId="30E937CD" w14:textId="77777777" w:rsidR="001F7F87" w:rsidRPr="00421F41" w:rsidRDefault="00A437EB" w:rsidP="001F7F87">
      <w:pPr>
        <w:pStyle w:val="Maintext"/>
        <w:rPr>
          <w:rFonts w:cs="Arial"/>
          <w:sz w:val="20"/>
          <w:szCs w:val="20"/>
        </w:rPr>
      </w:pPr>
      <w:r w:rsidRPr="00421F41">
        <w:rPr>
          <w:rFonts w:cs="Arial"/>
          <w:sz w:val="20"/>
          <w:szCs w:val="20"/>
          <w:highlight w:val="yellow"/>
        </w:rPr>
        <w:fldChar w:fldCharType="end"/>
      </w:r>
    </w:p>
    <w:p w14:paraId="7E0E8285" w14:textId="77777777" w:rsidR="00F00304" w:rsidRPr="00421F41" w:rsidRDefault="00F00304" w:rsidP="00F00304">
      <w:pPr>
        <w:pStyle w:val="Maintext"/>
        <w:rPr>
          <w:rFonts w:cs="Arial"/>
          <w:sz w:val="20"/>
          <w:szCs w:val="20"/>
        </w:rPr>
      </w:pPr>
    </w:p>
    <w:p w14:paraId="63A12AC2" w14:textId="38857282" w:rsidR="00E94B3D" w:rsidRPr="00421F41" w:rsidRDefault="00584184">
      <w:pPr>
        <w:pStyle w:val="TableofFigures"/>
        <w:tabs>
          <w:tab w:val="right" w:leader="dot" w:pos="9288"/>
        </w:tabs>
        <w:rPr>
          <w:rFonts w:eastAsiaTheme="minorEastAsia" w:cs="Arial"/>
          <w:noProof/>
          <w:szCs w:val="20"/>
        </w:rPr>
      </w:pPr>
      <w:r w:rsidRPr="00421F41">
        <w:rPr>
          <w:rFonts w:cs="Arial"/>
          <w:szCs w:val="20"/>
        </w:rPr>
        <w:fldChar w:fldCharType="begin"/>
      </w:r>
      <w:r w:rsidRPr="00421F41">
        <w:rPr>
          <w:rFonts w:cs="Arial"/>
          <w:szCs w:val="20"/>
        </w:rPr>
        <w:instrText xml:space="preserve"> TOC \h \z \c "Table" </w:instrText>
      </w:r>
      <w:r w:rsidRPr="00421F41">
        <w:rPr>
          <w:rFonts w:cs="Arial"/>
          <w:szCs w:val="20"/>
        </w:rPr>
        <w:fldChar w:fldCharType="separate"/>
      </w:r>
      <w:hyperlink w:anchor="_Toc54181383" w:history="1">
        <w:r w:rsidR="00E94B3D" w:rsidRPr="00421F41">
          <w:rPr>
            <w:rStyle w:val="Hyperlink"/>
            <w:rFonts w:cs="Arial"/>
            <w:szCs w:val="20"/>
          </w:rPr>
          <w:t>Table 1: Valid schedules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_Toc54181383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7</w:t>
        </w:r>
        <w:r w:rsidR="00E94B3D" w:rsidRPr="00421F41">
          <w:rPr>
            <w:rFonts w:cs="Arial"/>
            <w:noProof/>
            <w:webHidden/>
            <w:szCs w:val="20"/>
          </w:rPr>
          <w:fldChar w:fldCharType="end"/>
        </w:r>
      </w:hyperlink>
    </w:p>
    <w:p w14:paraId="38F24060" w14:textId="337CE1F5" w:rsidR="00E94B3D" w:rsidRPr="00421F41" w:rsidRDefault="00EA4B40">
      <w:pPr>
        <w:pStyle w:val="TableofFigures"/>
        <w:tabs>
          <w:tab w:val="right" w:leader="dot" w:pos="9288"/>
        </w:tabs>
        <w:rPr>
          <w:rFonts w:eastAsiaTheme="minorEastAsia" w:cs="Arial"/>
          <w:noProof/>
          <w:szCs w:val="20"/>
        </w:rPr>
      </w:pPr>
      <w:hyperlink w:anchor="_Toc54181384" w:history="1">
        <w:r w:rsidR="00E94B3D" w:rsidRPr="00421F41">
          <w:rPr>
            <w:rStyle w:val="Hyperlink"/>
            <w:rFonts w:cs="Arial"/>
            <w:szCs w:val="20"/>
          </w:rPr>
          <w:t>Table 2: Interactions available in the SMSFAR lodgment process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_Toc54181384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7</w:t>
        </w:r>
        <w:r w:rsidR="00E94B3D" w:rsidRPr="00421F41">
          <w:rPr>
            <w:rFonts w:cs="Arial"/>
            <w:noProof/>
            <w:webHidden/>
            <w:szCs w:val="20"/>
          </w:rPr>
          <w:fldChar w:fldCharType="end"/>
        </w:r>
      </w:hyperlink>
    </w:p>
    <w:p w14:paraId="409C6BEE" w14:textId="52CCCAC4" w:rsidR="00E94B3D" w:rsidRPr="00421F41" w:rsidRDefault="00EA4B40">
      <w:pPr>
        <w:pStyle w:val="TableofFigures"/>
        <w:tabs>
          <w:tab w:val="right" w:leader="dot" w:pos="9288"/>
        </w:tabs>
        <w:rPr>
          <w:rFonts w:eastAsiaTheme="minorEastAsia" w:cs="Arial"/>
          <w:noProof/>
          <w:szCs w:val="20"/>
        </w:rPr>
      </w:pPr>
      <w:hyperlink w:anchor="_Toc54181385" w:history="1">
        <w:r w:rsidR="00E94B3D" w:rsidRPr="00421F41">
          <w:rPr>
            <w:rStyle w:val="Hyperlink"/>
            <w:rFonts w:cs="Arial"/>
            <w:szCs w:val="20"/>
          </w:rPr>
          <w:t>Table 3: Channel availability of SMSFAR interactions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_Toc54181385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7</w:t>
        </w:r>
        <w:r w:rsidR="00E94B3D" w:rsidRPr="00421F41">
          <w:rPr>
            <w:rFonts w:cs="Arial"/>
            <w:noProof/>
            <w:webHidden/>
            <w:szCs w:val="20"/>
          </w:rPr>
          <w:fldChar w:fldCharType="end"/>
        </w:r>
      </w:hyperlink>
    </w:p>
    <w:p w14:paraId="4BE5671F" w14:textId="274F0C1A" w:rsidR="00E94B3D" w:rsidRPr="00421F41" w:rsidRDefault="00EA4B40">
      <w:pPr>
        <w:pStyle w:val="TableofFigures"/>
        <w:tabs>
          <w:tab w:val="right" w:leader="dot" w:pos="9288"/>
        </w:tabs>
        <w:rPr>
          <w:rFonts w:eastAsiaTheme="minorEastAsia" w:cs="Arial"/>
          <w:noProof/>
          <w:szCs w:val="20"/>
        </w:rPr>
      </w:pPr>
      <w:hyperlink w:anchor="_Toc54181386" w:history="1">
        <w:r w:rsidR="00E94B3D" w:rsidRPr="00421F41">
          <w:rPr>
            <w:rStyle w:val="Hyperlink"/>
            <w:rFonts w:cs="Arial"/>
            <w:szCs w:val="20"/>
          </w:rPr>
          <w:t>Table 4: SMSFAR Permissions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_Toc54181386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8</w:t>
        </w:r>
        <w:r w:rsidR="00E94B3D" w:rsidRPr="00421F41">
          <w:rPr>
            <w:rFonts w:cs="Arial"/>
            <w:noProof/>
            <w:webHidden/>
            <w:szCs w:val="20"/>
          </w:rPr>
          <w:fldChar w:fldCharType="end"/>
        </w:r>
      </w:hyperlink>
    </w:p>
    <w:p w14:paraId="3AB1EC0D" w14:textId="1693B24D" w:rsidR="00E94B3D" w:rsidRPr="00421F41" w:rsidRDefault="00EA4B40">
      <w:pPr>
        <w:pStyle w:val="TableofFigures"/>
        <w:tabs>
          <w:tab w:val="right" w:leader="dot" w:pos="9288"/>
        </w:tabs>
        <w:rPr>
          <w:rFonts w:eastAsiaTheme="minorEastAsia" w:cs="Arial"/>
          <w:noProof/>
          <w:szCs w:val="20"/>
        </w:rPr>
      </w:pPr>
      <w:hyperlink w:anchor="_Toc54181387" w:history="1">
        <w:r w:rsidR="00E94B3D" w:rsidRPr="00421F41">
          <w:rPr>
            <w:rStyle w:val="Hyperlink"/>
            <w:rFonts w:cs="Arial"/>
            <w:szCs w:val="20"/>
          </w:rPr>
          <w:t>Table 5: Access Manager Permissions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_Toc54181387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8</w:t>
        </w:r>
        <w:r w:rsidR="00E94B3D" w:rsidRPr="00421F41">
          <w:rPr>
            <w:rFonts w:cs="Arial"/>
            <w:noProof/>
            <w:webHidden/>
            <w:szCs w:val="20"/>
          </w:rPr>
          <w:fldChar w:fldCharType="end"/>
        </w:r>
      </w:hyperlink>
    </w:p>
    <w:p w14:paraId="56B975C1" w14:textId="2129981F" w:rsidR="00E94B3D" w:rsidRPr="00421F41" w:rsidRDefault="00EA4B40">
      <w:pPr>
        <w:pStyle w:val="TableofFigures"/>
        <w:tabs>
          <w:tab w:val="right" w:leader="dot" w:pos="9288"/>
        </w:tabs>
        <w:rPr>
          <w:rFonts w:eastAsiaTheme="minorEastAsia" w:cs="Arial"/>
          <w:noProof/>
          <w:szCs w:val="20"/>
        </w:rPr>
      </w:pPr>
      <w:hyperlink w:anchor="_Toc54181388" w:history="1">
        <w:r w:rsidR="00E94B3D" w:rsidRPr="00421F41">
          <w:rPr>
            <w:rStyle w:val="Hyperlink"/>
            <w:rFonts w:cs="Arial"/>
            <w:szCs w:val="20"/>
          </w:rPr>
          <w:t>Table 6: Examples of helpful free text scenarios</w:t>
        </w:r>
        <w:r w:rsidR="00E94B3D" w:rsidRPr="00421F41">
          <w:rPr>
            <w:rFonts w:cs="Arial"/>
            <w:noProof/>
            <w:webHidden/>
            <w:szCs w:val="20"/>
          </w:rPr>
          <w:tab/>
        </w:r>
        <w:r w:rsidR="00E94B3D" w:rsidRPr="00421F41">
          <w:rPr>
            <w:rFonts w:cs="Arial"/>
            <w:noProof/>
            <w:webHidden/>
            <w:szCs w:val="20"/>
          </w:rPr>
          <w:fldChar w:fldCharType="begin"/>
        </w:r>
        <w:r w:rsidR="00E94B3D" w:rsidRPr="00421F41">
          <w:rPr>
            <w:rFonts w:cs="Arial"/>
            <w:noProof/>
            <w:webHidden/>
            <w:szCs w:val="20"/>
          </w:rPr>
          <w:instrText xml:space="preserve"> PAGEREF _Toc54181388 \h </w:instrText>
        </w:r>
        <w:r w:rsidR="00E94B3D" w:rsidRPr="00421F41">
          <w:rPr>
            <w:rFonts w:cs="Arial"/>
            <w:noProof/>
            <w:webHidden/>
            <w:szCs w:val="20"/>
          </w:rPr>
        </w:r>
        <w:r w:rsidR="00E94B3D" w:rsidRPr="00421F41">
          <w:rPr>
            <w:rFonts w:cs="Arial"/>
            <w:noProof/>
            <w:webHidden/>
            <w:szCs w:val="20"/>
          </w:rPr>
          <w:fldChar w:fldCharType="separate"/>
        </w:r>
        <w:r w:rsidR="00395079">
          <w:rPr>
            <w:rFonts w:cs="Arial"/>
            <w:noProof/>
            <w:webHidden/>
            <w:szCs w:val="20"/>
          </w:rPr>
          <w:t>11</w:t>
        </w:r>
        <w:r w:rsidR="00E94B3D" w:rsidRPr="00421F41">
          <w:rPr>
            <w:rFonts w:cs="Arial"/>
            <w:noProof/>
            <w:webHidden/>
            <w:szCs w:val="20"/>
          </w:rPr>
          <w:fldChar w:fldCharType="end"/>
        </w:r>
      </w:hyperlink>
    </w:p>
    <w:p w14:paraId="7EB8B5DA" w14:textId="77777777" w:rsidR="000B4796" w:rsidRPr="00421F41" w:rsidRDefault="00584184" w:rsidP="00561E38">
      <w:pPr>
        <w:pStyle w:val="Maintext"/>
        <w:rPr>
          <w:rFonts w:cs="Arial"/>
          <w:sz w:val="20"/>
          <w:szCs w:val="20"/>
        </w:rPr>
      </w:pPr>
      <w:r w:rsidRPr="00421F41">
        <w:rPr>
          <w:rFonts w:cs="Arial"/>
          <w:sz w:val="20"/>
          <w:szCs w:val="20"/>
        </w:rPr>
        <w:fldChar w:fldCharType="end"/>
      </w:r>
    </w:p>
    <w:p w14:paraId="66156510" w14:textId="0697BF78" w:rsidR="00656B39" w:rsidRPr="00421F41" w:rsidRDefault="000B4796">
      <w:pPr>
        <w:pStyle w:val="TableofFigures"/>
        <w:tabs>
          <w:tab w:val="right" w:leader="dot" w:pos="9288"/>
        </w:tabs>
        <w:rPr>
          <w:rFonts w:eastAsiaTheme="minorEastAsia" w:cs="Arial"/>
          <w:noProof/>
          <w:szCs w:val="20"/>
        </w:rPr>
      </w:pPr>
      <w:r w:rsidRPr="00421F41">
        <w:rPr>
          <w:rFonts w:cs="Arial"/>
          <w:szCs w:val="20"/>
        </w:rPr>
        <w:fldChar w:fldCharType="begin"/>
      </w:r>
      <w:r w:rsidRPr="00421F41">
        <w:rPr>
          <w:rFonts w:cs="Arial"/>
          <w:szCs w:val="20"/>
        </w:rPr>
        <w:instrText xml:space="preserve"> TOC \h \z \c "Figure" </w:instrText>
      </w:r>
      <w:r w:rsidRPr="00421F41">
        <w:rPr>
          <w:rFonts w:cs="Arial"/>
          <w:szCs w:val="20"/>
        </w:rPr>
        <w:fldChar w:fldCharType="separate"/>
      </w:r>
      <w:hyperlink w:anchor="_Toc48822465" w:history="1">
        <w:r w:rsidR="00656B39" w:rsidRPr="00421F41">
          <w:rPr>
            <w:rStyle w:val="Hyperlink"/>
            <w:rFonts w:cs="Arial"/>
            <w:szCs w:val="20"/>
          </w:rPr>
          <w:t>Figure 1: SBR interactions and SMSFAR process</w:t>
        </w:r>
        <w:r w:rsidR="00656B39" w:rsidRPr="00421F41">
          <w:rPr>
            <w:rFonts w:cs="Arial"/>
            <w:noProof/>
            <w:webHidden/>
            <w:szCs w:val="20"/>
          </w:rPr>
          <w:tab/>
        </w:r>
        <w:r w:rsidR="00656B39" w:rsidRPr="00421F41">
          <w:rPr>
            <w:rFonts w:cs="Arial"/>
            <w:noProof/>
            <w:webHidden/>
            <w:szCs w:val="20"/>
          </w:rPr>
          <w:fldChar w:fldCharType="begin"/>
        </w:r>
        <w:r w:rsidR="00656B39" w:rsidRPr="00421F41">
          <w:rPr>
            <w:rFonts w:cs="Arial"/>
            <w:noProof/>
            <w:webHidden/>
            <w:szCs w:val="20"/>
          </w:rPr>
          <w:instrText xml:space="preserve"> PAGEREF _Toc48822465 \h </w:instrText>
        </w:r>
        <w:r w:rsidR="00656B39" w:rsidRPr="00421F41">
          <w:rPr>
            <w:rFonts w:cs="Arial"/>
            <w:noProof/>
            <w:webHidden/>
            <w:szCs w:val="20"/>
          </w:rPr>
        </w:r>
        <w:r w:rsidR="00656B39" w:rsidRPr="00421F41">
          <w:rPr>
            <w:rFonts w:cs="Arial"/>
            <w:noProof/>
            <w:webHidden/>
            <w:szCs w:val="20"/>
          </w:rPr>
          <w:fldChar w:fldCharType="separate"/>
        </w:r>
        <w:r w:rsidR="00395079">
          <w:rPr>
            <w:rFonts w:cs="Arial"/>
            <w:noProof/>
            <w:webHidden/>
            <w:szCs w:val="20"/>
          </w:rPr>
          <w:t>6</w:t>
        </w:r>
        <w:r w:rsidR="00656B39" w:rsidRPr="00421F41">
          <w:rPr>
            <w:rFonts w:cs="Arial"/>
            <w:noProof/>
            <w:webHidden/>
            <w:szCs w:val="20"/>
          </w:rPr>
          <w:fldChar w:fldCharType="end"/>
        </w:r>
      </w:hyperlink>
    </w:p>
    <w:p w14:paraId="280D2A34" w14:textId="77777777" w:rsidR="000B4796" w:rsidRPr="00421F41" w:rsidRDefault="000B4796" w:rsidP="00561E38">
      <w:pPr>
        <w:pStyle w:val="Maintext"/>
        <w:rPr>
          <w:rFonts w:cs="Arial"/>
          <w:sz w:val="20"/>
          <w:szCs w:val="20"/>
        </w:rPr>
      </w:pPr>
      <w:r w:rsidRPr="00421F41">
        <w:rPr>
          <w:rFonts w:cs="Arial"/>
          <w:sz w:val="20"/>
          <w:szCs w:val="20"/>
        </w:rPr>
        <w:fldChar w:fldCharType="end"/>
      </w:r>
    </w:p>
    <w:p w14:paraId="1C18CB3C" w14:textId="77777777" w:rsidR="00561E38" w:rsidRPr="001B13A4" w:rsidRDefault="00561E38" w:rsidP="00561E38">
      <w:pPr>
        <w:pStyle w:val="Maintext"/>
        <w:rPr>
          <w:sz w:val="18"/>
        </w:rPr>
        <w:sectPr w:rsidR="00561E38" w:rsidRPr="001B13A4" w:rsidSect="00362063">
          <w:headerReference w:type="even" r:id="rId18"/>
          <w:headerReference w:type="first" r:id="rId19"/>
          <w:pgSz w:w="11906" w:h="16838" w:code="9"/>
          <w:pgMar w:top="2976" w:right="1304" w:bottom="1814" w:left="1304" w:header="425" w:footer="680" w:gutter="0"/>
          <w:cols w:space="708"/>
          <w:formProt w:val="0"/>
          <w:docGrid w:linePitch="360"/>
        </w:sectPr>
      </w:pPr>
    </w:p>
    <w:p w14:paraId="7E397511" w14:textId="77777777" w:rsidR="00432D6B" w:rsidRPr="007E117B" w:rsidRDefault="00E0253E" w:rsidP="00920D02">
      <w:pPr>
        <w:pStyle w:val="Head1"/>
      </w:pPr>
      <w:bookmarkStart w:id="3" w:name="STARTINGNUMBER"/>
      <w:bookmarkStart w:id="4" w:name="_Toc54181717"/>
      <w:bookmarkEnd w:id="3"/>
      <w:r w:rsidRPr="007E117B">
        <w:lastRenderedPageBreak/>
        <w:t>I</w:t>
      </w:r>
      <w:r w:rsidR="00E76F3D" w:rsidRPr="007E117B">
        <w:t>ntroduction</w:t>
      </w:r>
      <w:bookmarkEnd w:id="4"/>
    </w:p>
    <w:p w14:paraId="7D4CF6D2" w14:textId="086BDA0A" w:rsidR="0032267E" w:rsidRPr="007E117B" w:rsidRDefault="0032267E" w:rsidP="00D520A8">
      <w:pPr>
        <w:pStyle w:val="Head2"/>
      </w:pPr>
      <w:bookmarkStart w:id="5" w:name="_Toc406679165"/>
      <w:bookmarkStart w:id="6" w:name="_Toc54181718"/>
      <w:r w:rsidRPr="007E117B">
        <w:t>Purpose</w:t>
      </w:r>
      <w:bookmarkEnd w:id="5"/>
      <w:bookmarkEnd w:id="6"/>
    </w:p>
    <w:p w14:paraId="0CA5DAFE"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C46EEA">
        <w:rPr>
          <w:sz w:val="20"/>
          <w:szCs w:val="20"/>
        </w:rPr>
        <w:t>to</w:t>
      </w:r>
      <w:r w:rsidRPr="00C9276F">
        <w:rPr>
          <w:sz w:val="20"/>
          <w:szCs w:val="20"/>
        </w:rPr>
        <w:t xml:space="preserve"> assist </w:t>
      </w:r>
      <w:r w:rsidR="003A226B">
        <w:rPr>
          <w:sz w:val="20"/>
          <w:szCs w:val="20"/>
        </w:rPr>
        <w:t>digital service providers</w:t>
      </w:r>
      <w:r w:rsidRPr="00C9276F">
        <w:rPr>
          <w:sz w:val="20"/>
          <w:szCs w:val="20"/>
        </w:rPr>
        <w:t xml:space="preserve"> in understanding the business context surrounding </w:t>
      </w:r>
      <w:r w:rsidR="003A226B">
        <w:rPr>
          <w:sz w:val="20"/>
          <w:szCs w:val="20"/>
        </w:rPr>
        <w:t>s</w:t>
      </w:r>
      <w:r w:rsidR="00447E66">
        <w:rPr>
          <w:sz w:val="20"/>
          <w:szCs w:val="20"/>
        </w:rPr>
        <w:t xml:space="preserve">elf-managed </w:t>
      </w:r>
      <w:r w:rsidR="00584184">
        <w:rPr>
          <w:sz w:val="20"/>
          <w:szCs w:val="20"/>
        </w:rPr>
        <w:t>s</w:t>
      </w:r>
      <w:r w:rsidR="00447E66">
        <w:rPr>
          <w:sz w:val="20"/>
          <w:szCs w:val="20"/>
        </w:rPr>
        <w:t xml:space="preserve">uperannuation </w:t>
      </w:r>
      <w:r w:rsidR="00584184">
        <w:rPr>
          <w:sz w:val="20"/>
          <w:szCs w:val="20"/>
        </w:rPr>
        <w:t>f</w:t>
      </w:r>
      <w:r w:rsidR="00447E66">
        <w:rPr>
          <w:sz w:val="20"/>
          <w:szCs w:val="20"/>
        </w:rPr>
        <w:t xml:space="preserve">und </w:t>
      </w:r>
      <w:r w:rsidR="00584184">
        <w:rPr>
          <w:sz w:val="20"/>
          <w:szCs w:val="20"/>
        </w:rPr>
        <w:t>a</w:t>
      </w:r>
      <w:r w:rsidR="00447E66">
        <w:rPr>
          <w:sz w:val="20"/>
          <w:szCs w:val="20"/>
        </w:rPr>
        <w:t xml:space="preserve">nnual </w:t>
      </w:r>
      <w:r w:rsidR="00584184">
        <w:rPr>
          <w:sz w:val="20"/>
          <w:szCs w:val="20"/>
        </w:rPr>
        <w:t>r</w:t>
      </w:r>
      <w:r w:rsidR="00447E66">
        <w:rPr>
          <w:sz w:val="20"/>
          <w:szCs w:val="20"/>
        </w:rPr>
        <w:t>eturn (SMSFAR)</w:t>
      </w:r>
      <w:r>
        <w:rPr>
          <w:sz w:val="20"/>
          <w:szCs w:val="20"/>
        </w:rPr>
        <w:t xml:space="preserve"> </w:t>
      </w:r>
      <w:r w:rsidRPr="00C9276F">
        <w:rPr>
          <w:sz w:val="20"/>
          <w:szCs w:val="20"/>
        </w:rPr>
        <w:t>interaction</w:t>
      </w:r>
      <w:r w:rsidR="00C46EEA">
        <w:rPr>
          <w:sz w:val="20"/>
          <w:szCs w:val="20"/>
        </w:rPr>
        <w:t>s</w:t>
      </w:r>
      <w:r w:rsidR="003E106C">
        <w:rPr>
          <w:sz w:val="20"/>
          <w:szCs w:val="20"/>
        </w:rPr>
        <w:t>.  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51CEE9C3" w14:textId="77777777" w:rsidR="00584184" w:rsidRPr="00584184" w:rsidRDefault="002E0774" w:rsidP="00584184">
      <w:pPr>
        <w:spacing w:after="120"/>
        <w:rPr>
          <w:sz w:val="20"/>
          <w:szCs w:val="20"/>
        </w:rPr>
      </w:pPr>
      <w:r w:rsidRPr="00584184">
        <w:rPr>
          <w:sz w:val="20"/>
          <w:szCs w:val="20"/>
        </w:rPr>
        <w:t xml:space="preserve">This document defines the interactions that are available to a </w:t>
      </w:r>
      <w:r w:rsidR="00447E66" w:rsidRPr="00584184">
        <w:rPr>
          <w:sz w:val="20"/>
          <w:szCs w:val="20"/>
        </w:rPr>
        <w:t>SMSFAR</w:t>
      </w:r>
      <w:r w:rsidR="00584184" w:rsidRPr="00584184">
        <w:rPr>
          <w:sz w:val="20"/>
          <w:szCs w:val="20"/>
        </w:rPr>
        <w:t>,</w:t>
      </w:r>
      <w:r w:rsidR="00447E66" w:rsidRPr="00447E66">
        <w:rPr>
          <w:sz w:val="20"/>
          <w:szCs w:val="20"/>
        </w:rPr>
        <w:t xml:space="preserve"> </w:t>
      </w:r>
      <w:r w:rsidR="00447E66" w:rsidRPr="00806054">
        <w:rPr>
          <w:sz w:val="20"/>
          <w:szCs w:val="20"/>
        </w:rPr>
        <w:t>outlin</w:t>
      </w:r>
      <w:r w:rsidR="00584184">
        <w:rPr>
          <w:sz w:val="20"/>
          <w:szCs w:val="20"/>
        </w:rPr>
        <w:t>ing</w:t>
      </w:r>
      <w:r w:rsidR="00447E66" w:rsidRPr="00806054">
        <w:rPr>
          <w:sz w:val="20"/>
          <w:szCs w:val="20"/>
        </w:rPr>
        <w:t xml:space="preserve"> </w:t>
      </w:r>
      <w:r w:rsidR="00E428B9">
        <w:rPr>
          <w:sz w:val="20"/>
          <w:szCs w:val="20"/>
        </w:rPr>
        <w:t>those</w:t>
      </w:r>
      <w:r w:rsidR="00E428B9" w:rsidRPr="00806054">
        <w:rPr>
          <w:sz w:val="20"/>
          <w:szCs w:val="20"/>
        </w:rPr>
        <w:t xml:space="preserve"> </w:t>
      </w:r>
      <w:r w:rsidR="00447E66" w:rsidRPr="00806054">
        <w:rPr>
          <w:sz w:val="20"/>
          <w:szCs w:val="20"/>
        </w:rPr>
        <w:t>reporting parties</w:t>
      </w:r>
      <w:r w:rsidR="00E428B9">
        <w:rPr>
          <w:sz w:val="20"/>
          <w:szCs w:val="20"/>
        </w:rPr>
        <w:t xml:space="preserve"> that</w:t>
      </w:r>
      <w:r w:rsidR="00447E66" w:rsidRPr="00806054">
        <w:rPr>
          <w:sz w:val="20"/>
          <w:szCs w:val="20"/>
        </w:rPr>
        <w:t xml:space="preserve"> can use the services</w:t>
      </w:r>
      <w:r w:rsidR="00447E66" w:rsidRPr="00584184">
        <w:rPr>
          <w:sz w:val="20"/>
          <w:szCs w:val="20"/>
        </w:rPr>
        <w:t>, and explains any constraints and known issues with the use of the interaction, providing guidance with certain identified issues.</w:t>
      </w:r>
    </w:p>
    <w:p w14:paraId="09EAAD1E" w14:textId="77777777" w:rsidR="0032267E" w:rsidRPr="00584184" w:rsidRDefault="0032267E" w:rsidP="00584184">
      <w:pPr>
        <w:spacing w:after="120"/>
        <w:rPr>
          <w:sz w:val="20"/>
          <w:szCs w:val="20"/>
        </w:rPr>
      </w:pPr>
      <w:r w:rsidRPr="00BF4F1D">
        <w:rPr>
          <w:sz w:val="20"/>
          <w:szCs w:val="20"/>
        </w:rPr>
        <w:t xml:space="preserve">Specifically, </w:t>
      </w:r>
      <w:r w:rsidR="00447E66">
        <w:rPr>
          <w:sz w:val="20"/>
          <w:szCs w:val="20"/>
        </w:rPr>
        <w:t>the Self-Managed superannuation fund annual return service</w:t>
      </w:r>
      <w:r w:rsidRPr="00BF4F1D">
        <w:rPr>
          <w:sz w:val="20"/>
          <w:szCs w:val="20"/>
        </w:rPr>
        <w:t xml:space="preserve"> refers to the interaction with </w:t>
      </w:r>
      <w:r w:rsidRPr="00584184">
        <w:rPr>
          <w:sz w:val="20"/>
          <w:szCs w:val="20"/>
        </w:rPr>
        <w:t>the ATO for a user, depending on their role, to:</w:t>
      </w:r>
    </w:p>
    <w:p w14:paraId="0B00121F" w14:textId="77777777" w:rsidR="0032267E" w:rsidRPr="00584184" w:rsidRDefault="00584184"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w:t>
      </w:r>
    </w:p>
    <w:p w14:paraId="1CC3E7E9" w14:textId="77777777"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an amendment to a SMSFAR</w:t>
      </w:r>
    </w:p>
    <w:p w14:paraId="22A49569" w14:textId="3B0C7C43" w:rsidR="00EE75C0" w:rsidRPr="00584184" w:rsidRDefault="00EE75C0" w:rsidP="00C326B5">
      <w:pPr>
        <w:pStyle w:val="ListParagraph"/>
        <w:numPr>
          <w:ilvl w:val="0"/>
          <w:numId w:val="15"/>
        </w:numPr>
        <w:autoSpaceDE w:val="0"/>
        <w:autoSpaceDN w:val="0"/>
        <w:adjustRightInd w:val="0"/>
        <w:rPr>
          <w:rFonts w:ascii="Arial" w:hAnsi="Arial" w:cs="Arial"/>
          <w:sz w:val="20"/>
          <w:szCs w:val="20"/>
        </w:rPr>
      </w:pPr>
      <w:r w:rsidRPr="00584184">
        <w:rPr>
          <w:rFonts w:ascii="Arial" w:hAnsi="Arial" w:cs="Arial"/>
          <w:sz w:val="20"/>
          <w:szCs w:val="20"/>
        </w:rPr>
        <w:t>Lodge a SMSFAR return (original or amended) for a prior year as a</w:t>
      </w:r>
      <w:r w:rsidR="00C46EEA">
        <w:rPr>
          <w:rFonts w:ascii="Arial" w:hAnsi="Arial" w:cs="Arial"/>
          <w:sz w:val="20"/>
          <w:szCs w:val="20"/>
        </w:rPr>
        <w:t>n</w:t>
      </w:r>
      <w:r w:rsidRPr="00584184">
        <w:rPr>
          <w:rFonts w:ascii="Arial" w:hAnsi="Arial" w:cs="Arial"/>
          <w:sz w:val="20"/>
          <w:szCs w:val="20"/>
        </w:rPr>
        <w:t xml:space="preserve"> SBR ebMS3 message containing the ELS tag formatted data.</w:t>
      </w:r>
    </w:p>
    <w:p w14:paraId="1F04A6BA" w14:textId="77777777" w:rsidR="00584184" w:rsidRPr="00584184" w:rsidRDefault="00584184" w:rsidP="00584184">
      <w:pPr>
        <w:autoSpaceDE w:val="0"/>
        <w:autoSpaceDN w:val="0"/>
        <w:adjustRightInd w:val="0"/>
        <w:rPr>
          <w:rFonts w:cs="Arial"/>
          <w:sz w:val="20"/>
          <w:szCs w:val="20"/>
        </w:rPr>
      </w:pPr>
    </w:p>
    <w:p w14:paraId="107CEF49" w14:textId="13A89401" w:rsidR="00EE75C0" w:rsidRDefault="00EE75C0" w:rsidP="00584184">
      <w:pPr>
        <w:autoSpaceDE w:val="0"/>
        <w:autoSpaceDN w:val="0"/>
        <w:adjustRightInd w:val="0"/>
        <w:rPr>
          <w:rFonts w:cs="Arial"/>
          <w:sz w:val="20"/>
          <w:szCs w:val="20"/>
        </w:rPr>
      </w:pPr>
      <w:bookmarkStart w:id="7" w:name="_Hlk49497845"/>
      <w:r w:rsidRPr="00584184">
        <w:rPr>
          <w:rFonts w:cs="Arial"/>
          <w:sz w:val="20"/>
          <w:szCs w:val="20"/>
        </w:rPr>
        <w:t xml:space="preserve">This document applies to the SBR SMSFAR service for the </w:t>
      </w:r>
      <w:r w:rsidR="007E1109" w:rsidRPr="00584184">
        <w:rPr>
          <w:rFonts w:cs="Arial"/>
          <w:sz w:val="20"/>
          <w:szCs w:val="20"/>
        </w:rPr>
        <w:t>20</w:t>
      </w:r>
      <w:r w:rsidR="007E1109">
        <w:rPr>
          <w:rFonts w:cs="Arial"/>
          <w:sz w:val="20"/>
          <w:szCs w:val="20"/>
        </w:rPr>
        <w:t>20</w:t>
      </w:r>
      <w:r w:rsidR="007E1109" w:rsidRPr="00584184">
        <w:rPr>
          <w:rFonts w:cs="Arial"/>
          <w:sz w:val="20"/>
          <w:szCs w:val="20"/>
        </w:rPr>
        <w:t xml:space="preserve"> </w:t>
      </w:r>
      <w:r w:rsidRPr="00584184">
        <w:rPr>
          <w:rFonts w:cs="Arial"/>
          <w:sz w:val="20"/>
          <w:szCs w:val="20"/>
        </w:rPr>
        <w:t>SMSFAR returns and the SBR ELStagFormat service for the years 2008-201</w:t>
      </w:r>
      <w:r w:rsidR="00BD1710">
        <w:rPr>
          <w:rFonts w:cs="Arial"/>
          <w:sz w:val="20"/>
          <w:szCs w:val="20"/>
        </w:rPr>
        <w:t>6</w:t>
      </w:r>
      <w:r w:rsidRPr="00584184">
        <w:rPr>
          <w:rFonts w:cs="Arial"/>
          <w:sz w:val="20"/>
          <w:szCs w:val="20"/>
        </w:rPr>
        <w:t>.</w:t>
      </w:r>
    </w:p>
    <w:p w14:paraId="07B3B5C2" w14:textId="06991BBD" w:rsidR="0032267E" w:rsidRPr="009C4965" w:rsidRDefault="0032267E" w:rsidP="00D520A8">
      <w:pPr>
        <w:pStyle w:val="Head2"/>
        <w:rPr>
          <w:bCs/>
        </w:rPr>
      </w:pPr>
      <w:bookmarkStart w:id="8" w:name="_Toc406679167"/>
      <w:bookmarkStart w:id="9" w:name="_Toc54181719"/>
      <w:bookmarkEnd w:id="7"/>
      <w:r>
        <w:t>D</w:t>
      </w:r>
      <w:bookmarkEnd w:id="8"/>
      <w:r w:rsidR="00967E23">
        <w:t>ocument context</w:t>
      </w:r>
      <w:bookmarkEnd w:id="9"/>
    </w:p>
    <w:p w14:paraId="14508515" w14:textId="77777777" w:rsidR="00B13289" w:rsidRDefault="00B13289" w:rsidP="00B13289">
      <w:pPr>
        <w:spacing w:after="120"/>
        <w:jc w:val="both"/>
        <w:rPr>
          <w:rFonts w:cs="Arial"/>
          <w:sz w:val="20"/>
          <w:szCs w:val="20"/>
        </w:rPr>
      </w:pPr>
      <w:r>
        <w:rPr>
          <w:rFonts w:cs="Arial"/>
          <w:sz w:val="20"/>
          <w:szCs w:val="20"/>
        </w:rPr>
        <w:t>The ATO SMSFAR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700E338B" w14:textId="77777777" w:rsidR="00B13289" w:rsidRDefault="00B13289" w:rsidP="00B13289">
      <w:pPr>
        <w:pStyle w:val="ListParagraph"/>
        <w:numPr>
          <w:ilvl w:val="0"/>
          <w:numId w:val="29"/>
        </w:numPr>
        <w:spacing w:after="120"/>
        <w:rPr>
          <w:rFonts w:cs="Arial"/>
          <w:sz w:val="20"/>
          <w:szCs w:val="20"/>
        </w:rPr>
      </w:pPr>
      <w:r>
        <w:rPr>
          <w:rFonts w:ascii="Arial" w:hAnsi="Arial" w:cs="Arial"/>
          <w:sz w:val="20"/>
          <w:szCs w:val="20"/>
        </w:rPr>
        <w:t>Web service/platform information</w:t>
      </w:r>
    </w:p>
    <w:p w14:paraId="6BDC4F2F" w14:textId="77777777" w:rsidR="00B13289" w:rsidRDefault="00B13289" w:rsidP="00B13289">
      <w:pPr>
        <w:pStyle w:val="ListParagraph"/>
        <w:numPr>
          <w:ilvl w:val="0"/>
          <w:numId w:val="29"/>
        </w:numPr>
        <w:spacing w:after="120"/>
        <w:rPr>
          <w:rFonts w:cs="Arial"/>
          <w:sz w:val="20"/>
          <w:szCs w:val="20"/>
        </w:rPr>
      </w:pPr>
      <w:r>
        <w:rPr>
          <w:rFonts w:ascii="Arial" w:hAnsi="Arial" w:cs="Arial"/>
          <w:sz w:val="20"/>
          <w:szCs w:val="20"/>
        </w:rPr>
        <w:t>ATO Common Business Implementation Guide and Taxpayer Declaration Guide</w:t>
      </w:r>
    </w:p>
    <w:p w14:paraId="7DD6A94B" w14:textId="77777777" w:rsidR="00B13289" w:rsidRDefault="00B13289" w:rsidP="00B13289">
      <w:pPr>
        <w:pStyle w:val="ListParagraph"/>
        <w:numPr>
          <w:ilvl w:val="0"/>
          <w:numId w:val="29"/>
        </w:numPr>
        <w:spacing w:after="120"/>
        <w:rPr>
          <w:rFonts w:ascii="Arial" w:hAnsi="Arial" w:cs="Arial"/>
          <w:sz w:val="20"/>
          <w:szCs w:val="20"/>
        </w:rPr>
      </w:pPr>
      <w:r>
        <w:rPr>
          <w:rFonts w:ascii="Arial" w:hAnsi="Arial" w:cs="Arial"/>
          <w:sz w:val="20"/>
          <w:szCs w:val="20"/>
        </w:rPr>
        <w:t>ATO Service Registry (SR)</w:t>
      </w:r>
    </w:p>
    <w:p w14:paraId="2F299FC1" w14:textId="77777777" w:rsidR="00B13289" w:rsidRDefault="00B13289" w:rsidP="00B13289">
      <w:pPr>
        <w:pStyle w:val="ListParagraph"/>
        <w:numPr>
          <w:ilvl w:val="0"/>
          <w:numId w:val="30"/>
        </w:numPr>
        <w:jc w:val="both"/>
        <w:rPr>
          <w:rFonts w:cs="Arial"/>
          <w:sz w:val="20"/>
          <w:szCs w:val="20"/>
        </w:rPr>
      </w:pPr>
      <w:r>
        <w:rPr>
          <w:rFonts w:ascii="Arial" w:hAnsi="Arial" w:cs="Arial"/>
          <w:sz w:val="20"/>
          <w:szCs w:val="20"/>
        </w:rPr>
        <w:t>Test information, for example conformance suites</w:t>
      </w:r>
    </w:p>
    <w:p w14:paraId="6AE26C2D" w14:textId="77777777" w:rsidR="00B13289" w:rsidRDefault="00B13289" w:rsidP="00B13289">
      <w:pPr>
        <w:pStyle w:val="ListParagraph"/>
        <w:numPr>
          <w:ilvl w:val="0"/>
          <w:numId w:val="30"/>
        </w:numPr>
        <w:spacing w:after="120"/>
        <w:jc w:val="both"/>
        <w:rPr>
          <w:rFonts w:cs="Arial"/>
          <w:sz w:val="20"/>
          <w:szCs w:val="20"/>
        </w:rPr>
      </w:pPr>
      <w:r>
        <w:rPr>
          <w:rFonts w:ascii="Arial" w:hAnsi="Arial" w:cs="Arial"/>
          <w:sz w:val="20"/>
          <w:szCs w:val="20"/>
        </w:rPr>
        <w:t>Message Structure Tables</w:t>
      </w:r>
    </w:p>
    <w:p w14:paraId="0B5CFBFA" w14:textId="77777777" w:rsidR="00B13289" w:rsidRDefault="00B13289" w:rsidP="00B13289">
      <w:pPr>
        <w:pStyle w:val="ListParagraph"/>
        <w:numPr>
          <w:ilvl w:val="0"/>
          <w:numId w:val="30"/>
        </w:numPr>
        <w:spacing w:after="120"/>
        <w:jc w:val="both"/>
        <w:rPr>
          <w:rFonts w:cs="Arial"/>
          <w:sz w:val="20"/>
          <w:szCs w:val="20"/>
        </w:rPr>
      </w:pPr>
      <w:r>
        <w:rPr>
          <w:rFonts w:ascii="Arial" w:hAnsi="Arial" w:cs="Arial"/>
          <w:sz w:val="20"/>
          <w:szCs w:val="20"/>
        </w:rPr>
        <w:t>Validation Rules.</w:t>
      </w:r>
    </w:p>
    <w:p w14:paraId="301E1B80" w14:textId="0712EDD2" w:rsidR="00E365DF" w:rsidRPr="006A708C" w:rsidRDefault="00E365DF" w:rsidP="006A708C">
      <w:pPr>
        <w:spacing w:after="120"/>
        <w:jc w:val="both"/>
        <w:rPr>
          <w:rFonts w:cs="Arial"/>
          <w:sz w:val="20"/>
          <w:szCs w:val="20"/>
        </w:rPr>
      </w:pPr>
      <w:bookmarkStart w:id="10" w:name="_Toc405993391"/>
      <w:bookmarkStart w:id="11" w:name="_Toc405995078"/>
      <w:bookmarkStart w:id="12" w:name="_Toc405995223"/>
      <w:bookmarkStart w:id="13" w:name="_Toc405996886"/>
      <w:bookmarkStart w:id="14" w:name="_Toc405989444"/>
      <w:bookmarkStart w:id="15" w:name="_Toc405989492"/>
      <w:bookmarkStart w:id="16" w:name="_Toc405993392"/>
      <w:bookmarkStart w:id="17" w:name="_Toc405995079"/>
      <w:bookmarkStart w:id="18" w:name="_Toc405995224"/>
      <w:bookmarkStart w:id="19" w:name="_Toc405996887"/>
      <w:bookmarkStart w:id="20" w:name="_Toc405989445"/>
      <w:bookmarkStart w:id="21" w:name="_Toc405989493"/>
      <w:bookmarkStart w:id="22" w:name="_Toc405993393"/>
      <w:bookmarkStart w:id="23" w:name="_Toc405995080"/>
      <w:bookmarkStart w:id="24" w:name="_Toc405995225"/>
      <w:bookmarkStart w:id="25" w:name="_Toc40599688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E11D8C4" w14:textId="77777777" w:rsidR="00E0253E" w:rsidRPr="00E41A76" w:rsidRDefault="00E0253E" w:rsidP="00D520A8">
      <w:pPr>
        <w:pStyle w:val="Head2"/>
      </w:pPr>
      <w:bookmarkStart w:id="26" w:name="_Toc54181720"/>
      <w:r w:rsidRPr="00E41A76">
        <w:t>G</w:t>
      </w:r>
      <w:r w:rsidR="00E76F3D" w:rsidRPr="00E41A76">
        <w:t>lossary</w:t>
      </w:r>
      <w:bookmarkEnd w:id="26"/>
    </w:p>
    <w:p w14:paraId="5DB593D2" w14:textId="64511B7A" w:rsidR="00B97E0E" w:rsidRDefault="00EE75C0" w:rsidP="00F00397">
      <w:pPr>
        <w:pStyle w:val="Maintext"/>
        <w:rPr>
          <w:rFonts w:cs="Arial"/>
          <w:color w:val="000000"/>
          <w:sz w:val="20"/>
          <w:szCs w:val="22"/>
        </w:rPr>
      </w:pPr>
      <w:r w:rsidRPr="00806054">
        <w:rPr>
          <w:rFonts w:cs="Arial"/>
          <w:color w:val="000000"/>
          <w:sz w:val="20"/>
          <w:szCs w:val="22"/>
        </w:rPr>
        <w:t xml:space="preserve">For a glossary of terms, refer to </w:t>
      </w:r>
      <w:r w:rsidR="00B97E0E">
        <w:rPr>
          <w:rFonts w:cs="Arial"/>
          <w:color w:val="000000"/>
          <w:sz w:val="20"/>
          <w:szCs w:val="22"/>
        </w:rPr>
        <w:t xml:space="preserve">the </w:t>
      </w:r>
      <w:hyperlink r:id="rId20" w:history="1">
        <w:r w:rsidR="00B97E0E">
          <w:rPr>
            <w:rStyle w:val="Hyperlink"/>
            <w:sz w:val="20"/>
          </w:rPr>
          <w:t>SBR glossary</w:t>
        </w:r>
      </w:hyperlink>
      <w:r w:rsidR="00B97E0E">
        <w:rPr>
          <w:sz w:val="20"/>
        </w:rPr>
        <w:t xml:space="preserve">, </w:t>
      </w:r>
      <w:hyperlink r:id="rId21" w:history="1">
        <w:r w:rsidR="00B97E0E">
          <w:rPr>
            <w:rStyle w:val="Hyperlink"/>
            <w:rFonts w:cs="Arial"/>
            <w:sz w:val="20"/>
            <w:szCs w:val="20"/>
          </w:rPr>
          <w:t>ATO glossary</w:t>
        </w:r>
      </w:hyperlink>
      <w:r w:rsidR="00B97E0E">
        <w:rPr>
          <w:sz w:val="20"/>
          <w:szCs w:val="20"/>
        </w:rPr>
        <w:t xml:space="preserve"> or the Common Business Implementation and Taxpayer Declaration Guide.</w:t>
      </w:r>
    </w:p>
    <w:p w14:paraId="19F4B71C" w14:textId="77777777" w:rsidR="00B97E0E" w:rsidRPr="00A32CBE" w:rsidRDefault="00B97E0E" w:rsidP="00E0253E">
      <w:pPr>
        <w:pStyle w:val="Maintext"/>
        <w:rPr>
          <w:rFonts w:cs="Arial"/>
          <w:sz w:val="20"/>
          <w:szCs w:val="22"/>
        </w:rPr>
      </w:pPr>
    </w:p>
    <w:p w14:paraId="5C215C27" w14:textId="77777777" w:rsidR="00E0253E" w:rsidRPr="00A32CBE" w:rsidRDefault="00E0253E" w:rsidP="001162BF">
      <w:pPr>
        <w:spacing w:after="120"/>
        <w:rPr>
          <w:sz w:val="20"/>
        </w:rPr>
      </w:pPr>
    </w:p>
    <w:p w14:paraId="06D919BD" w14:textId="77777777" w:rsidR="001121FA" w:rsidRPr="00A32CBE" w:rsidRDefault="001121FA" w:rsidP="001162BF">
      <w:pPr>
        <w:spacing w:after="120"/>
        <w:rPr>
          <w:rFonts w:cs="Arial"/>
          <w:sz w:val="20"/>
          <w:szCs w:val="22"/>
        </w:rPr>
      </w:pPr>
      <w:bookmarkStart w:id="27" w:name="_Toc398631408"/>
      <w:bookmarkStart w:id="28" w:name="_Toc401755062"/>
    </w:p>
    <w:bookmarkEnd w:id="27"/>
    <w:bookmarkEnd w:id="28"/>
    <w:p w14:paraId="51BD2BC5" w14:textId="77777777" w:rsidR="001B0F0F" w:rsidRDefault="001B0F0F" w:rsidP="001162BF">
      <w:pPr>
        <w:spacing w:after="120"/>
        <w:rPr>
          <w:rFonts w:cs="Arial"/>
          <w:sz w:val="20"/>
          <w:szCs w:val="22"/>
        </w:rPr>
      </w:pPr>
    </w:p>
    <w:p w14:paraId="614502AD" w14:textId="77777777" w:rsidR="008A35BD" w:rsidRPr="00920D02" w:rsidRDefault="00F42FA4" w:rsidP="00920D02">
      <w:pPr>
        <w:pStyle w:val="Head1"/>
      </w:pPr>
      <w:bookmarkStart w:id="29" w:name="_Toc54181721"/>
      <w:r w:rsidRPr="00920D02">
        <w:lastRenderedPageBreak/>
        <w:t xml:space="preserve">What </w:t>
      </w:r>
      <w:r w:rsidR="0013385D" w:rsidRPr="00920D02">
        <w:t>are the</w:t>
      </w:r>
      <w:r w:rsidRPr="00920D02">
        <w:t xml:space="preserve"> </w:t>
      </w:r>
      <w:r w:rsidR="00EE75C0">
        <w:t>SMSFAR</w:t>
      </w:r>
      <w:r w:rsidR="009E5786" w:rsidRPr="00920D02">
        <w:t xml:space="preserve"> </w:t>
      </w:r>
      <w:r w:rsidR="00C46EEA">
        <w:t>services</w:t>
      </w:r>
      <w:r w:rsidRPr="00920D02">
        <w:t>?</w:t>
      </w:r>
      <w:bookmarkEnd w:id="29"/>
    </w:p>
    <w:p w14:paraId="2F848615" w14:textId="1697F3DC" w:rsidR="00B179F1" w:rsidRPr="0090497B" w:rsidRDefault="006A730C" w:rsidP="00584184">
      <w:pPr>
        <w:spacing w:after="120"/>
        <w:rPr>
          <w:sz w:val="20"/>
        </w:rPr>
      </w:pPr>
      <w:r>
        <w:rPr>
          <w:sz w:val="20"/>
        </w:rPr>
        <w:t>The SMSFAR services</w:t>
      </w:r>
      <w:r w:rsidR="008B62E9">
        <w:rPr>
          <w:sz w:val="20"/>
        </w:rPr>
        <w:t xml:space="preserve"> are used to report</w:t>
      </w:r>
      <w:r w:rsidR="009945F7">
        <w:rPr>
          <w:sz w:val="20"/>
        </w:rPr>
        <w:t xml:space="preserve"> the income tax position, super regulatory information, member contributions and to pay the </w:t>
      </w:r>
      <w:r w:rsidR="00DA0E7F">
        <w:rPr>
          <w:sz w:val="20"/>
        </w:rPr>
        <w:t>Self-Managed Superannuation Fund (</w:t>
      </w:r>
      <w:r w:rsidR="009945F7">
        <w:rPr>
          <w:sz w:val="20"/>
        </w:rPr>
        <w:t>SMSF</w:t>
      </w:r>
      <w:r w:rsidR="00DA0E7F">
        <w:rPr>
          <w:sz w:val="20"/>
        </w:rPr>
        <w:t>)</w:t>
      </w:r>
      <w:r w:rsidR="009945F7">
        <w:rPr>
          <w:sz w:val="20"/>
        </w:rPr>
        <w:t xml:space="preserve"> supervisory levy </w:t>
      </w:r>
      <w:r w:rsidR="008B62E9">
        <w:rPr>
          <w:sz w:val="20"/>
        </w:rPr>
        <w:t>for a</w:t>
      </w:r>
      <w:r w:rsidR="007D0FDF">
        <w:rPr>
          <w:sz w:val="20"/>
        </w:rPr>
        <w:t>n</w:t>
      </w:r>
      <w:r w:rsidR="008B62E9">
        <w:rPr>
          <w:sz w:val="20"/>
        </w:rPr>
        <w:t xml:space="preserve"> </w:t>
      </w:r>
      <w:r w:rsidR="00B73039">
        <w:rPr>
          <w:sz w:val="20"/>
        </w:rPr>
        <w:t>SMSF</w:t>
      </w:r>
      <w:r w:rsidR="008B62E9">
        <w:rPr>
          <w:sz w:val="20"/>
        </w:rPr>
        <w:t>. T</w:t>
      </w:r>
      <w:r>
        <w:rPr>
          <w:sz w:val="20"/>
        </w:rPr>
        <w:t>his is done after the finalisation of an audit</w:t>
      </w:r>
      <w:r w:rsidR="00AB2149">
        <w:rPr>
          <w:sz w:val="20"/>
        </w:rPr>
        <w:t xml:space="preserve"> </w:t>
      </w:r>
      <w:r w:rsidR="00B13289">
        <w:rPr>
          <w:sz w:val="20"/>
        </w:rPr>
        <w:t>for example</w:t>
      </w:r>
      <w:r w:rsidR="00AB2149">
        <w:rPr>
          <w:sz w:val="20"/>
        </w:rPr>
        <w:t xml:space="preserve"> a</w:t>
      </w:r>
      <w:r w:rsidR="00AB2149" w:rsidRPr="007A36F2">
        <w:rPr>
          <w:sz w:val="20"/>
        </w:rPr>
        <w:t>n audit of the SMSF must be finished before lodging the SMSF annual return, as information from the audit report is needed to complete the regulatory information on the SMSF annual return.</w:t>
      </w:r>
    </w:p>
    <w:p w14:paraId="0A18A84D" w14:textId="77777777" w:rsidR="001B0F0F" w:rsidRDefault="001B0F0F" w:rsidP="00D520A8">
      <w:pPr>
        <w:pStyle w:val="Head2"/>
        <w:numPr>
          <w:ilvl w:val="1"/>
          <w:numId w:val="19"/>
        </w:numPr>
      </w:pPr>
      <w:bookmarkStart w:id="30" w:name="_Toc427056908"/>
      <w:bookmarkStart w:id="31" w:name="_Toc54181722"/>
      <w:r>
        <w:t xml:space="preserve">Where SBR fits into </w:t>
      </w:r>
      <w:r w:rsidR="00D30917">
        <w:t>SMSFAR</w:t>
      </w:r>
      <w:r>
        <w:t xml:space="preserve"> lodgment obligations</w:t>
      </w:r>
      <w:bookmarkEnd w:id="30"/>
      <w:bookmarkEnd w:id="31"/>
    </w:p>
    <w:p w14:paraId="6EFD4F30" w14:textId="77777777" w:rsidR="001B0F0F" w:rsidRPr="009945F7" w:rsidRDefault="001B0F0F" w:rsidP="001B0F0F">
      <w:pPr>
        <w:pStyle w:val="Content"/>
        <w:spacing w:before="0" w:after="120"/>
        <w:rPr>
          <w:szCs w:val="20"/>
        </w:rPr>
      </w:pPr>
      <w:r w:rsidRPr="009945F7">
        <w:rPr>
          <w:rFonts w:cs="Times New Roman"/>
          <w:szCs w:val="20"/>
        </w:rPr>
        <w:t xml:space="preserve">The </w:t>
      </w:r>
      <w:r w:rsidR="00D30917" w:rsidRPr="009945F7">
        <w:rPr>
          <w:rFonts w:cs="Times New Roman"/>
          <w:szCs w:val="20"/>
        </w:rPr>
        <w:t xml:space="preserve">SMSFAR </w:t>
      </w:r>
      <w:r w:rsidRPr="009945F7">
        <w:rPr>
          <w:rFonts w:cs="Times New Roman"/>
          <w:szCs w:val="20"/>
        </w:rPr>
        <w:t>service provides a number of functions for lodgment of</w:t>
      </w:r>
      <w:r w:rsidR="009945F7" w:rsidRPr="009945F7">
        <w:rPr>
          <w:rFonts w:cs="Times New Roman"/>
          <w:szCs w:val="20"/>
        </w:rPr>
        <w:t xml:space="preserve"> the</w:t>
      </w:r>
      <w:r w:rsidRPr="009945F7">
        <w:rPr>
          <w:rFonts w:cs="Times New Roman"/>
          <w:szCs w:val="20"/>
        </w:rPr>
        <w:t xml:space="preserve"> </w:t>
      </w:r>
      <w:r w:rsidR="00D30917" w:rsidRPr="009945F7">
        <w:rPr>
          <w:rFonts w:cs="Times New Roman"/>
          <w:szCs w:val="20"/>
        </w:rPr>
        <w:t>trustee’s</w:t>
      </w:r>
      <w:r w:rsidRPr="009945F7">
        <w:rPr>
          <w:rFonts w:cs="Times New Roman"/>
          <w:szCs w:val="20"/>
        </w:rPr>
        <w:t xml:space="preserve"> reporting obligations.  These include the lodgment of:</w:t>
      </w:r>
    </w:p>
    <w:p w14:paraId="06D3CDA4" w14:textId="77777777" w:rsidR="001B0F0F"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 xml:space="preserve">The </w:t>
      </w:r>
      <w:r w:rsidR="002835D1">
        <w:rPr>
          <w:rFonts w:ascii="Arial" w:hAnsi="Arial" w:cs="Arial"/>
          <w:sz w:val="20"/>
          <w:szCs w:val="20"/>
        </w:rPr>
        <w:t>SMSF</w:t>
      </w:r>
      <w:r w:rsidR="009945F7" w:rsidRPr="009945F7">
        <w:rPr>
          <w:rFonts w:ascii="Arial" w:hAnsi="Arial" w:cs="Arial"/>
          <w:sz w:val="20"/>
          <w:szCs w:val="20"/>
        </w:rPr>
        <w:t xml:space="preserve"> annual return</w:t>
      </w:r>
    </w:p>
    <w:p w14:paraId="0684C0F5" w14:textId="77777777" w:rsidR="00D30917" w:rsidRPr="009945F7" w:rsidRDefault="00D30917" w:rsidP="00C326B5">
      <w:pPr>
        <w:pStyle w:val="ListParagraph"/>
        <w:numPr>
          <w:ilvl w:val="0"/>
          <w:numId w:val="22"/>
        </w:numPr>
        <w:spacing w:after="120"/>
        <w:rPr>
          <w:rFonts w:ascii="Arial" w:hAnsi="Arial" w:cs="Arial"/>
          <w:sz w:val="20"/>
          <w:szCs w:val="20"/>
        </w:rPr>
      </w:pPr>
      <w:r w:rsidRPr="009945F7">
        <w:rPr>
          <w:rFonts w:ascii="Arial" w:hAnsi="Arial" w:cs="Arial"/>
          <w:sz w:val="20"/>
          <w:szCs w:val="20"/>
        </w:rPr>
        <w:t xml:space="preserve">Amendments to the </w:t>
      </w:r>
      <w:r w:rsidR="002835D1">
        <w:rPr>
          <w:rFonts w:ascii="Arial" w:hAnsi="Arial" w:cs="Arial"/>
          <w:sz w:val="20"/>
          <w:szCs w:val="20"/>
        </w:rPr>
        <w:t>SMSF</w:t>
      </w:r>
      <w:r w:rsidRPr="009945F7">
        <w:rPr>
          <w:rFonts w:ascii="Arial" w:hAnsi="Arial" w:cs="Arial"/>
          <w:sz w:val="20"/>
          <w:szCs w:val="20"/>
        </w:rPr>
        <w:t xml:space="preserve"> annual return</w:t>
      </w:r>
      <w:r w:rsidR="009945F7" w:rsidRPr="009945F7">
        <w:rPr>
          <w:rFonts w:ascii="Arial" w:hAnsi="Arial" w:cs="Arial"/>
          <w:sz w:val="20"/>
          <w:szCs w:val="20"/>
        </w:rPr>
        <w:t xml:space="preserve"> where appropriate</w:t>
      </w:r>
      <w:r w:rsidR="00C46EEA">
        <w:rPr>
          <w:rFonts w:ascii="Arial" w:hAnsi="Arial" w:cs="Arial"/>
          <w:sz w:val="20"/>
          <w:szCs w:val="20"/>
        </w:rPr>
        <w:t>.</w:t>
      </w:r>
    </w:p>
    <w:p w14:paraId="2DEB2935" w14:textId="77777777" w:rsidR="001B0F0F" w:rsidRDefault="001B0F0F" w:rsidP="001B0F0F">
      <w:pPr>
        <w:pStyle w:val="Bullet2"/>
        <w:numPr>
          <w:ilvl w:val="0"/>
          <w:numId w:val="0"/>
        </w:numPr>
        <w:tabs>
          <w:tab w:val="left" w:pos="720"/>
        </w:tabs>
        <w:rPr>
          <w:sz w:val="20"/>
          <w:szCs w:val="20"/>
        </w:rPr>
      </w:pPr>
    </w:p>
    <w:p w14:paraId="3198A48E" w14:textId="77777777" w:rsidR="00D30917" w:rsidRPr="00806054" w:rsidRDefault="00D30917" w:rsidP="00D30917">
      <w:pPr>
        <w:pStyle w:val="Bullet2"/>
        <w:numPr>
          <w:ilvl w:val="0"/>
          <w:numId w:val="0"/>
        </w:numPr>
        <w:tabs>
          <w:tab w:val="left" w:pos="720"/>
        </w:tabs>
        <w:rPr>
          <w:sz w:val="20"/>
        </w:rPr>
      </w:pPr>
      <w:r w:rsidRPr="00806054">
        <w:rPr>
          <w:sz w:val="20"/>
        </w:rPr>
        <w:t xml:space="preserve">The pre-lodge and lodge interactions are the core part of the SBR-enabled </w:t>
      </w:r>
      <w:r>
        <w:rPr>
          <w:sz w:val="20"/>
        </w:rPr>
        <w:t>SMSFAR</w:t>
      </w:r>
      <w:r w:rsidRPr="00806054">
        <w:rPr>
          <w:sz w:val="20"/>
        </w:rPr>
        <w:t xml:space="preserve"> business process.  </w:t>
      </w:r>
    </w:p>
    <w:p w14:paraId="47EDAE4E" w14:textId="77777777" w:rsidR="001B0F0F" w:rsidRDefault="00D30917" w:rsidP="008B62E9">
      <w:pPr>
        <w:pStyle w:val="Bullet2"/>
        <w:numPr>
          <w:ilvl w:val="0"/>
          <w:numId w:val="0"/>
        </w:numPr>
        <w:tabs>
          <w:tab w:val="left" w:pos="720"/>
        </w:tabs>
        <w:rPr>
          <w:sz w:val="20"/>
        </w:rPr>
      </w:pPr>
      <w:r w:rsidRPr="00806054">
        <w:rPr>
          <w:sz w:val="20"/>
          <w:szCs w:val="20"/>
        </w:rPr>
        <w:t xml:space="preserve">When the </w:t>
      </w:r>
      <w:r w:rsidR="009945F7">
        <w:rPr>
          <w:sz w:val="20"/>
          <w:szCs w:val="20"/>
        </w:rPr>
        <w:t>trustee</w:t>
      </w:r>
      <w:r w:rsidRPr="00806054">
        <w:rPr>
          <w:sz w:val="20"/>
          <w:szCs w:val="20"/>
        </w:rPr>
        <w:t xml:space="preserve"> or intermediary has gathered all information required, they would then complete the return, validate it</w:t>
      </w:r>
      <w:r w:rsidR="009945F7">
        <w:rPr>
          <w:sz w:val="20"/>
          <w:szCs w:val="20"/>
        </w:rPr>
        <w:t xml:space="preserve"> (this is an optional step)</w:t>
      </w:r>
      <w:r w:rsidRPr="00806054">
        <w:rPr>
          <w:sz w:val="20"/>
          <w:szCs w:val="20"/>
        </w:rPr>
        <w:t>, and if required, correct any labels before lodgment.</w:t>
      </w:r>
    </w:p>
    <w:p w14:paraId="5F9B2CD7" w14:textId="77777777" w:rsidR="00B61EF1" w:rsidRDefault="00B61EF1" w:rsidP="008F4921">
      <w:pPr>
        <w:pStyle w:val="Bullet2"/>
        <w:numPr>
          <w:ilvl w:val="0"/>
          <w:numId w:val="0"/>
        </w:numPr>
        <w:ind w:left="1080" w:firstLine="360"/>
        <w:jc w:val="both"/>
      </w:pPr>
    </w:p>
    <w:p w14:paraId="5F142B77" w14:textId="77777777" w:rsidR="00BD1710" w:rsidRDefault="00D7691D" w:rsidP="008F4921">
      <w:pPr>
        <w:pStyle w:val="Bullet2"/>
        <w:numPr>
          <w:ilvl w:val="0"/>
          <w:numId w:val="0"/>
        </w:numPr>
        <w:ind w:left="1080" w:firstLine="360"/>
        <w:jc w:val="both"/>
      </w:pPr>
      <w:r>
        <w:object w:dxaOrig="5947" w:dyaOrig="8009" w14:anchorId="7FDA9E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400.5pt" o:ole="">
            <v:imagedata r:id="rId22" o:title=""/>
          </v:shape>
          <o:OLEObject Type="Embed" ProgID="Visio.Drawing.11" ShapeID="_x0000_i1025" DrawAspect="Content" ObjectID="_1664797969" r:id="rId23"/>
        </w:object>
      </w:r>
    </w:p>
    <w:p w14:paraId="23D45BA2" w14:textId="77777777" w:rsidR="00471D80" w:rsidRDefault="00471D80" w:rsidP="00471D80">
      <w:pPr>
        <w:pStyle w:val="Caption"/>
        <w:jc w:val="center"/>
      </w:pPr>
      <w:bookmarkStart w:id="32" w:name="_Toc408492938"/>
      <w:bookmarkStart w:id="33" w:name="_Toc409795486"/>
      <w:bookmarkStart w:id="34" w:name="_Toc48822465"/>
      <w:r>
        <w:t xml:space="preserve">Figure </w:t>
      </w:r>
      <w:r w:rsidR="00EA4B40">
        <w:fldChar w:fldCharType="begin"/>
      </w:r>
      <w:r w:rsidR="00EA4B40">
        <w:instrText xml:space="preserve"> SEQ Figure \* ARABIC </w:instrText>
      </w:r>
      <w:r w:rsidR="00EA4B40">
        <w:fldChar w:fldCharType="separate"/>
      </w:r>
      <w:r>
        <w:rPr>
          <w:noProof/>
        </w:rPr>
        <w:t>1</w:t>
      </w:r>
      <w:r w:rsidR="00EA4B40">
        <w:rPr>
          <w:noProof/>
        </w:rPr>
        <w:fldChar w:fldCharType="end"/>
      </w:r>
      <w:r>
        <w:t xml:space="preserve">: SBR interactions and </w:t>
      </w:r>
      <w:r w:rsidR="00B61EF1">
        <w:t>SMSFAR</w:t>
      </w:r>
      <w:r>
        <w:t xml:space="preserve"> process</w:t>
      </w:r>
      <w:bookmarkEnd w:id="32"/>
      <w:bookmarkEnd w:id="33"/>
      <w:bookmarkEnd w:id="34"/>
    </w:p>
    <w:p w14:paraId="24CC22CE" w14:textId="77777777" w:rsidR="001B0F0F" w:rsidRDefault="001B0F0F" w:rsidP="00D520A8">
      <w:pPr>
        <w:pStyle w:val="Head2"/>
        <w:numPr>
          <w:ilvl w:val="1"/>
          <w:numId w:val="19"/>
        </w:numPr>
      </w:pPr>
      <w:bookmarkStart w:id="35" w:name="_Toc405989448"/>
      <w:bookmarkStart w:id="36" w:name="_Toc405989496"/>
      <w:bookmarkStart w:id="37" w:name="_Toc405993397"/>
      <w:bookmarkStart w:id="38" w:name="_Toc405995084"/>
      <w:bookmarkStart w:id="39" w:name="_Toc405995229"/>
      <w:bookmarkStart w:id="40" w:name="_Toc405996892"/>
      <w:bookmarkStart w:id="41" w:name="_Toc427056909"/>
      <w:bookmarkStart w:id="42" w:name="_Toc54181723"/>
      <w:bookmarkEnd w:id="35"/>
      <w:bookmarkEnd w:id="36"/>
      <w:bookmarkEnd w:id="37"/>
      <w:bookmarkEnd w:id="38"/>
      <w:bookmarkEnd w:id="39"/>
      <w:bookmarkEnd w:id="40"/>
      <w:r>
        <w:lastRenderedPageBreak/>
        <w:t>Schedules</w:t>
      </w:r>
      <w:bookmarkEnd w:id="41"/>
      <w:bookmarkEnd w:id="42"/>
    </w:p>
    <w:p w14:paraId="46600137" w14:textId="77777777" w:rsidR="00236237" w:rsidRPr="00806054" w:rsidRDefault="00236237" w:rsidP="00236237">
      <w:pPr>
        <w:pStyle w:val="Bullet2"/>
        <w:numPr>
          <w:ilvl w:val="0"/>
          <w:numId w:val="0"/>
        </w:numPr>
        <w:tabs>
          <w:tab w:val="left" w:pos="720"/>
        </w:tabs>
        <w:rPr>
          <w:rStyle w:val="BodyTextChar1"/>
          <w:sz w:val="20"/>
          <w:szCs w:val="20"/>
        </w:rPr>
      </w:pPr>
      <w:r w:rsidRPr="00806054">
        <w:rPr>
          <w:rStyle w:val="BodyTextChar1"/>
          <w:sz w:val="20"/>
          <w:szCs w:val="20"/>
        </w:rPr>
        <w:t xml:space="preserve">A </w:t>
      </w:r>
      <w:r>
        <w:rPr>
          <w:rStyle w:val="BodyTextChar1"/>
          <w:sz w:val="20"/>
          <w:szCs w:val="20"/>
        </w:rPr>
        <w:t>SMSFAR</w:t>
      </w:r>
      <w:r w:rsidRPr="00806054">
        <w:rPr>
          <w:rStyle w:val="BodyTextChar1"/>
          <w:sz w:val="20"/>
          <w:szCs w:val="20"/>
        </w:rPr>
        <w:t xml:space="preserve"> lodgment can include a schedule that contains additional information </w:t>
      </w:r>
      <w:r>
        <w:rPr>
          <w:rStyle w:val="BodyTextChar1"/>
          <w:sz w:val="20"/>
          <w:szCs w:val="20"/>
        </w:rPr>
        <w:t xml:space="preserve">required </w:t>
      </w:r>
      <w:r w:rsidRPr="00806054">
        <w:rPr>
          <w:rStyle w:val="BodyTextChar1"/>
          <w:sz w:val="20"/>
          <w:szCs w:val="20"/>
        </w:rPr>
        <w:t xml:space="preserve">to assess a </w:t>
      </w:r>
      <w:r w:rsidR="00E929F8">
        <w:rPr>
          <w:rStyle w:val="BodyTextChar1"/>
          <w:sz w:val="20"/>
          <w:szCs w:val="20"/>
        </w:rPr>
        <w:t>fund</w:t>
      </w:r>
      <w:r w:rsidR="00E929F8" w:rsidRPr="00806054">
        <w:rPr>
          <w:rStyle w:val="BodyTextChar1"/>
          <w:sz w:val="20"/>
          <w:szCs w:val="20"/>
        </w:rPr>
        <w:t xml:space="preserve">’s </w:t>
      </w:r>
      <w:r w:rsidRPr="00806054">
        <w:rPr>
          <w:rStyle w:val="BodyTextChar1"/>
          <w:sz w:val="20"/>
          <w:szCs w:val="20"/>
        </w:rPr>
        <w:t xml:space="preserve">income.  </w:t>
      </w:r>
      <w:r>
        <w:rPr>
          <w:rStyle w:val="BodyTextChar1"/>
          <w:sz w:val="20"/>
          <w:szCs w:val="20"/>
        </w:rPr>
        <w:t>Valid s</w:t>
      </w:r>
      <w:r w:rsidRPr="00806054">
        <w:rPr>
          <w:rStyle w:val="BodyTextChar1"/>
          <w:sz w:val="20"/>
          <w:szCs w:val="20"/>
        </w:rPr>
        <w:t xml:space="preserve">chedules </w:t>
      </w:r>
      <w:r>
        <w:rPr>
          <w:rStyle w:val="BodyTextChar1"/>
          <w:sz w:val="20"/>
          <w:szCs w:val="20"/>
        </w:rPr>
        <w:t xml:space="preserve">that can be </w:t>
      </w:r>
      <w:r w:rsidRPr="00806054">
        <w:rPr>
          <w:rStyle w:val="BodyTextChar1"/>
          <w:sz w:val="20"/>
          <w:szCs w:val="20"/>
        </w:rPr>
        <w:t xml:space="preserve">included in the </w:t>
      </w:r>
      <w:r>
        <w:rPr>
          <w:rStyle w:val="BodyTextChar1"/>
          <w:sz w:val="20"/>
          <w:szCs w:val="20"/>
        </w:rPr>
        <w:t>SMSFAR</w:t>
      </w:r>
      <w:r w:rsidRPr="00806054">
        <w:rPr>
          <w:rStyle w:val="BodyTextChar1"/>
          <w:sz w:val="20"/>
          <w:szCs w:val="20"/>
        </w:rPr>
        <w:t xml:space="preserve"> message</w:t>
      </w:r>
      <w:r>
        <w:rPr>
          <w:rStyle w:val="BodyTextChar1"/>
          <w:sz w:val="20"/>
          <w:szCs w:val="20"/>
        </w:rPr>
        <w:t xml:space="preserve"> are</w:t>
      </w:r>
      <w:r w:rsidRPr="00806054">
        <w:rPr>
          <w:rStyle w:val="BodyTextChar1"/>
          <w:sz w:val="20"/>
          <w:szCs w:val="20"/>
        </w:rPr>
        <w:t xml:space="preserve">: </w:t>
      </w:r>
    </w:p>
    <w:p w14:paraId="6C1B86A6" w14:textId="77777777" w:rsidR="00236237" w:rsidRPr="00806054" w:rsidRDefault="00236237" w:rsidP="00236237">
      <w:pPr>
        <w:pStyle w:val="Bullet2"/>
        <w:numPr>
          <w:ilvl w:val="0"/>
          <w:numId w:val="0"/>
        </w:numPr>
        <w:tabs>
          <w:tab w:val="left" w:pos="720"/>
        </w:tabs>
        <w:rPr>
          <w:rStyle w:val="BodyTextChar1"/>
          <w:sz w:val="20"/>
          <w:szCs w:val="20"/>
        </w:rPr>
      </w:pPr>
    </w:p>
    <w:tbl>
      <w:tblPr>
        <w:tblW w:w="3186" w:type="pct"/>
        <w:jc w:val="center"/>
        <w:tblLayout w:type="fixed"/>
        <w:tblLook w:val="0000" w:firstRow="0" w:lastRow="0" w:firstColumn="0" w:lastColumn="0" w:noHBand="0" w:noVBand="0"/>
      </w:tblPr>
      <w:tblGrid>
        <w:gridCol w:w="3007"/>
        <w:gridCol w:w="1525"/>
        <w:gridCol w:w="1386"/>
      </w:tblGrid>
      <w:tr w:rsidR="005C42E3" w:rsidRPr="00806054" w14:paraId="12A5F10C" w14:textId="77777777" w:rsidTr="00F00397">
        <w:trPr>
          <w:trHeight w:val="403"/>
          <w:tblHeader/>
          <w:jc w:val="center"/>
        </w:trPr>
        <w:tc>
          <w:tcPr>
            <w:tcW w:w="3008" w:type="dxa"/>
            <w:tcBorders>
              <w:top w:val="single" w:sz="4" w:space="0" w:color="auto"/>
              <w:left w:val="single" w:sz="4" w:space="0" w:color="auto"/>
              <w:bottom w:val="single" w:sz="4" w:space="0" w:color="auto"/>
              <w:right w:val="single" w:sz="4" w:space="0" w:color="auto"/>
            </w:tcBorders>
            <w:shd w:val="clear" w:color="auto" w:fill="C6D9F1"/>
            <w:vAlign w:val="center"/>
          </w:tcPr>
          <w:p w14:paraId="77098F2E" w14:textId="77777777" w:rsidR="005C42E3" w:rsidRPr="00806054" w:rsidRDefault="005C42E3" w:rsidP="00584184">
            <w:pPr>
              <w:jc w:val="both"/>
              <w:rPr>
                <w:rFonts w:cs="Arial"/>
                <w:b/>
                <w:sz w:val="20"/>
                <w:szCs w:val="20"/>
              </w:rPr>
            </w:pPr>
            <w:r w:rsidRPr="00806054">
              <w:rPr>
                <w:rFonts w:cs="Arial"/>
                <w:b/>
                <w:sz w:val="20"/>
                <w:szCs w:val="20"/>
              </w:rPr>
              <w:t>Schedule</w:t>
            </w:r>
          </w:p>
        </w:tc>
        <w:tc>
          <w:tcPr>
            <w:tcW w:w="1525" w:type="dxa"/>
            <w:tcBorders>
              <w:top w:val="single" w:sz="4" w:space="0" w:color="auto"/>
              <w:left w:val="single" w:sz="4" w:space="0" w:color="auto"/>
              <w:bottom w:val="single" w:sz="4" w:space="0" w:color="auto"/>
              <w:right w:val="single" w:sz="4" w:space="0" w:color="auto"/>
            </w:tcBorders>
            <w:shd w:val="clear" w:color="auto" w:fill="C6D9F1"/>
            <w:vAlign w:val="center"/>
          </w:tcPr>
          <w:p w14:paraId="1803240A" w14:textId="77777777" w:rsidR="005C42E3" w:rsidRPr="00806054" w:rsidRDefault="005C42E3" w:rsidP="00584184">
            <w:pPr>
              <w:jc w:val="center"/>
              <w:rPr>
                <w:rFonts w:cs="Arial"/>
                <w:b/>
                <w:sz w:val="20"/>
                <w:szCs w:val="20"/>
              </w:rPr>
            </w:pPr>
            <w:r w:rsidRPr="00806054">
              <w:rPr>
                <w:rFonts w:cs="Arial"/>
                <w:b/>
                <w:sz w:val="20"/>
                <w:szCs w:val="20"/>
              </w:rPr>
              <w:t>SBR Core Services</w:t>
            </w:r>
          </w:p>
        </w:tc>
        <w:tc>
          <w:tcPr>
            <w:tcW w:w="1386" w:type="dxa"/>
            <w:tcBorders>
              <w:top w:val="single" w:sz="4" w:space="0" w:color="auto"/>
              <w:left w:val="single" w:sz="4" w:space="0" w:color="auto"/>
              <w:bottom w:val="single" w:sz="4" w:space="0" w:color="auto"/>
              <w:right w:val="single" w:sz="4" w:space="0" w:color="auto"/>
            </w:tcBorders>
            <w:shd w:val="clear" w:color="auto" w:fill="C6D9F1"/>
          </w:tcPr>
          <w:p w14:paraId="4B8A45D6" w14:textId="77777777" w:rsidR="005C42E3" w:rsidRPr="00806054" w:rsidRDefault="005C42E3" w:rsidP="00584184">
            <w:pPr>
              <w:jc w:val="center"/>
              <w:rPr>
                <w:rFonts w:cs="Arial"/>
                <w:b/>
                <w:sz w:val="20"/>
                <w:szCs w:val="20"/>
              </w:rPr>
            </w:pPr>
            <w:r w:rsidRPr="00806054">
              <w:rPr>
                <w:rFonts w:cs="Arial"/>
                <w:b/>
                <w:sz w:val="20"/>
                <w:szCs w:val="20"/>
              </w:rPr>
              <w:t>SBR ebMS3.0</w:t>
            </w:r>
          </w:p>
        </w:tc>
      </w:tr>
      <w:tr w:rsidR="005C42E3" w:rsidRPr="00806054" w14:paraId="7EB813AC" w14:textId="77777777" w:rsidTr="00F00397">
        <w:trPr>
          <w:trHeight w:val="310"/>
          <w:jc w:val="center"/>
        </w:trPr>
        <w:tc>
          <w:tcPr>
            <w:tcW w:w="3008" w:type="dxa"/>
            <w:tcBorders>
              <w:top w:val="single" w:sz="4" w:space="0" w:color="auto"/>
              <w:left w:val="single" w:sz="4" w:space="0" w:color="auto"/>
              <w:bottom w:val="single" w:sz="4" w:space="0" w:color="auto"/>
              <w:right w:val="single" w:sz="4" w:space="0" w:color="auto"/>
            </w:tcBorders>
            <w:vAlign w:val="center"/>
          </w:tcPr>
          <w:p w14:paraId="031D05B9" w14:textId="77777777" w:rsidR="005C42E3" w:rsidRPr="00A34347" w:rsidRDefault="005C42E3" w:rsidP="00584184">
            <w:pPr>
              <w:rPr>
                <w:rFonts w:cs="Arial"/>
                <w:sz w:val="20"/>
                <w:szCs w:val="20"/>
              </w:rPr>
            </w:pPr>
            <w:r w:rsidRPr="00A34347">
              <w:rPr>
                <w:rFonts w:cs="Arial"/>
                <w:sz w:val="20"/>
                <w:szCs w:val="20"/>
              </w:rPr>
              <w:t>Interposed entity election or revocation</w:t>
            </w:r>
          </w:p>
        </w:tc>
        <w:tc>
          <w:tcPr>
            <w:tcW w:w="1525" w:type="dxa"/>
            <w:tcBorders>
              <w:top w:val="single" w:sz="4" w:space="0" w:color="auto"/>
              <w:left w:val="single" w:sz="4" w:space="0" w:color="auto"/>
              <w:bottom w:val="single" w:sz="4" w:space="0" w:color="auto"/>
              <w:right w:val="single" w:sz="4" w:space="0" w:color="auto"/>
            </w:tcBorders>
            <w:vAlign w:val="center"/>
          </w:tcPr>
          <w:p w14:paraId="0FA6534A" w14:textId="77777777" w:rsidR="005C42E3" w:rsidRPr="00A34347" w:rsidRDefault="005C42E3" w:rsidP="00584184">
            <w:pPr>
              <w:jc w:val="center"/>
              <w:rPr>
                <w:rFonts w:cs="Arial"/>
                <w:sz w:val="20"/>
                <w:szCs w:val="20"/>
              </w:rPr>
            </w:pPr>
            <w:r w:rsidRPr="00A34347">
              <w:rPr>
                <w:rFonts w:cs="Arial"/>
                <w:sz w:val="20"/>
                <w:szCs w:val="20"/>
              </w:rPr>
              <w:t>Y</w:t>
            </w:r>
            <w:r>
              <w:rPr>
                <w:rFonts w:cs="Arial"/>
                <w:sz w:val="20"/>
                <w:szCs w:val="20"/>
              </w:rPr>
              <w:t>es</w:t>
            </w:r>
          </w:p>
        </w:tc>
        <w:tc>
          <w:tcPr>
            <w:tcW w:w="1386" w:type="dxa"/>
            <w:tcBorders>
              <w:top w:val="single" w:sz="4" w:space="0" w:color="auto"/>
              <w:left w:val="single" w:sz="4" w:space="0" w:color="auto"/>
              <w:bottom w:val="single" w:sz="4" w:space="0" w:color="auto"/>
              <w:right w:val="single" w:sz="4" w:space="0" w:color="auto"/>
            </w:tcBorders>
            <w:vAlign w:val="center"/>
          </w:tcPr>
          <w:p w14:paraId="7AD5FF82" w14:textId="77777777" w:rsidR="005C42E3" w:rsidRPr="00A34347" w:rsidRDefault="005C42E3" w:rsidP="00584184">
            <w:pPr>
              <w:jc w:val="center"/>
              <w:rPr>
                <w:rFonts w:cs="Arial"/>
                <w:sz w:val="20"/>
                <w:szCs w:val="20"/>
              </w:rPr>
            </w:pPr>
            <w:r w:rsidRPr="00A34347">
              <w:rPr>
                <w:rFonts w:cs="Arial"/>
                <w:sz w:val="20"/>
                <w:szCs w:val="20"/>
              </w:rPr>
              <w:t>Y</w:t>
            </w:r>
            <w:r>
              <w:rPr>
                <w:rFonts w:cs="Arial"/>
                <w:sz w:val="20"/>
                <w:szCs w:val="20"/>
              </w:rPr>
              <w:t>es</w:t>
            </w:r>
          </w:p>
        </w:tc>
      </w:tr>
      <w:tr w:rsidR="005C42E3" w:rsidRPr="00806054" w14:paraId="607D8D8C" w14:textId="77777777" w:rsidTr="00F00397">
        <w:trPr>
          <w:trHeight w:val="310"/>
          <w:jc w:val="center"/>
        </w:trPr>
        <w:tc>
          <w:tcPr>
            <w:tcW w:w="3008" w:type="dxa"/>
            <w:tcBorders>
              <w:top w:val="single" w:sz="4" w:space="0" w:color="auto"/>
              <w:left w:val="single" w:sz="4" w:space="0" w:color="auto"/>
              <w:bottom w:val="single" w:sz="4" w:space="0" w:color="auto"/>
              <w:right w:val="single" w:sz="4" w:space="0" w:color="auto"/>
            </w:tcBorders>
            <w:vAlign w:val="center"/>
          </w:tcPr>
          <w:p w14:paraId="76D7B63A" w14:textId="77777777" w:rsidR="005C42E3" w:rsidRPr="00A34347" w:rsidRDefault="005C42E3" w:rsidP="00584184">
            <w:pPr>
              <w:rPr>
                <w:rFonts w:eastAsia="Arial" w:cs="Arial"/>
                <w:sz w:val="20"/>
                <w:szCs w:val="20"/>
                <w:lang w:val="en-GB"/>
              </w:rPr>
            </w:pPr>
            <w:r w:rsidRPr="00A34347">
              <w:rPr>
                <w:rFonts w:cs="Arial"/>
                <w:sz w:val="20"/>
                <w:szCs w:val="20"/>
              </w:rPr>
              <w:t>Family trust entity election or revocation</w:t>
            </w:r>
          </w:p>
        </w:tc>
        <w:tc>
          <w:tcPr>
            <w:tcW w:w="1525" w:type="dxa"/>
            <w:tcBorders>
              <w:top w:val="single" w:sz="4" w:space="0" w:color="auto"/>
              <w:left w:val="single" w:sz="4" w:space="0" w:color="auto"/>
              <w:bottom w:val="single" w:sz="4" w:space="0" w:color="auto"/>
              <w:right w:val="single" w:sz="4" w:space="0" w:color="auto"/>
            </w:tcBorders>
            <w:vAlign w:val="center"/>
          </w:tcPr>
          <w:p w14:paraId="0214E38C"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c>
          <w:tcPr>
            <w:tcW w:w="1386" w:type="dxa"/>
            <w:tcBorders>
              <w:top w:val="single" w:sz="4" w:space="0" w:color="auto"/>
              <w:left w:val="single" w:sz="4" w:space="0" w:color="auto"/>
              <w:bottom w:val="single" w:sz="4" w:space="0" w:color="auto"/>
              <w:right w:val="single" w:sz="4" w:space="0" w:color="auto"/>
            </w:tcBorders>
            <w:vAlign w:val="center"/>
          </w:tcPr>
          <w:p w14:paraId="766A20E9"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r>
      <w:tr w:rsidR="005C42E3" w:rsidRPr="00806054" w14:paraId="7D4E8ACF" w14:textId="77777777" w:rsidTr="00F00397">
        <w:trPr>
          <w:trHeight w:val="310"/>
          <w:jc w:val="center"/>
        </w:trPr>
        <w:tc>
          <w:tcPr>
            <w:tcW w:w="3008" w:type="dxa"/>
            <w:tcBorders>
              <w:top w:val="single" w:sz="4" w:space="0" w:color="auto"/>
              <w:left w:val="single" w:sz="4" w:space="0" w:color="auto"/>
              <w:bottom w:val="single" w:sz="4" w:space="0" w:color="auto"/>
              <w:right w:val="single" w:sz="4" w:space="0" w:color="auto"/>
            </w:tcBorders>
            <w:vAlign w:val="center"/>
          </w:tcPr>
          <w:p w14:paraId="4BAC0ADA" w14:textId="4D707F4F" w:rsidR="005C42E3" w:rsidRPr="00236237" w:rsidRDefault="00A01C6A" w:rsidP="00584184">
            <w:pPr>
              <w:rPr>
                <w:rFonts w:eastAsia="Arial"/>
                <w:sz w:val="20"/>
                <w:szCs w:val="20"/>
              </w:rPr>
            </w:pPr>
            <w:r>
              <w:rPr>
                <w:rFonts w:cs="Arial"/>
                <w:sz w:val="20"/>
                <w:szCs w:val="20"/>
              </w:rPr>
              <w:t>Pay As You Go (</w:t>
            </w:r>
            <w:r w:rsidR="005C42E3" w:rsidRPr="00584184">
              <w:rPr>
                <w:rFonts w:cs="Arial"/>
                <w:sz w:val="20"/>
                <w:szCs w:val="20"/>
              </w:rPr>
              <w:t>PAYG</w:t>
            </w:r>
            <w:r>
              <w:rPr>
                <w:rFonts w:cs="Arial"/>
                <w:sz w:val="20"/>
                <w:szCs w:val="20"/>
              </w:rPr>
              <w:t>)</w:t>
            </w:r>
            <w:r w:rsidR="005C42E3" w:rsidRPr="00584184">
              <w:rPr>
                <w:rFonts w:cs="Arial"/>
                <w:sz w:val="20"/>
                <w:szCs w:val="20"/>
              </w:rPr>
              <w:t xml:space="preserve"> Payment summary schedule</w:t>
            </w:r>
          </w:p>
        </w:tc>
        <w:tc>
          <w:tcPr>
            <w:tcW w:w="1525" w:type="dxa"/>
            <w:tcBorders>
              <w:top w:val="single" w:sz="4" w:space="0" w:color="auto"/>
              <w:left w:val="single" w:sz="4" w:space="0" w:color="auto"/>
              <w:bottom w:val="single" w:sz="4" w:space="0" w:color="auto"/>
              <w:right w:val="single" w:sz="4" w:space="0" w:color="auto"/>
            </w:tcBorders>
            <w:vAlign w:val="center"/>
          </w:tcPr>
          <w:p w14:paraId="1F21BD93"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c>
          <w:tcPr>
            <w:tcW w:w="1386" w:type="dxa"/>
            <w:tcBorders>
              <w:top w:val="single" w:sz="4" w:space="0" w:color="auto"/>
              <w:left w:val="single" w:sz="4" w:space="0" w:color="auto"/>
              <w:bottom w:val="single" w:sz="4" w:space="0" w:color="auto"/>
              <w:right w:val="single" w:sz="4" w:space="0" w:color="auto"/>
            </w:tcBorders>
            <w:vAlign w:val="center"/>
          </w:tcPr>
          <w:p w14:paraId="6C727064"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r>
      <w:tr w:rsidR="005C42E3" w:rsidRPr="00806054" w14:paraId="38811AA9" w14:textId="77777777" w:rsidTr="00F00397">
        <w:trPr>
          <w:trHeight w:val="310"/>
          <w:jc w:val="center"/>
        </w:trPr>
        <w:tc>
          <w:tcPr>
            <w:tcW w:w="3008" w:type="dxa"/>
            <w:tcBorders>
              <w:top w:val="single" w:sz="4" w:space="0" w:color="auto"/>
              <w:left w:val="single" w:sz="4" w:space="0" w:color="auto"/>
              <w:bottom w:val="single" w:sz="4" w:space="0" w:color="auto"/>
              <w:right w:val="single" w:sz="4" w:space="0" w:color="auto"/>
            </w:tcBorders>
            <w:vAlign w:val="center"/>
          </w:tcPr>
          <w:p w14:paraId="49302959" w14:textId="77777777" w:rsidR="005C42E3" w:rsidRPr="00236237" w:rsidRDefault="005C42E3" w:rsidP="00584184">
            <w:pPr>
              <w:rPr>
                <w:rFonts w:eastAsia="Arial"/>
                <w:sz w:val="20"/>
                <w:szCs w:val="20"/>
              </w:rPr>
            </w:pPr>
            <w:r w:rsidRPr="00584184">
              <w:rPr>
                <w:rFonts w:cs="Arial"/>
                <w:sz w:val="20"/>
                <w:szCs w:val="20"/>
              </w:rPr>
              <w:t>Capital gains tax schedule</w:t>
            </w:r>
          </w:p>
        </w:tc>
        <w:tc>
          <w:tcPr>
            <w:tcW w:w="1525" w:type="dxa"/>
            <w:tcBorders>
              <w:top w:val="single" w:sz="4" w:space="0" w:color="auto"/>
              <w:left w:val="single" w:sz="4" w:space="0" w:color="auto"/>
              <w:bottom w:val="single" w:sz="4" w:space="0" w:color="auto"/>
              <w:right w:val="single" w:sz="4" w:space="0" w:color="auto"/>
            </w:tcBorders>
            <w:vAlign w:val="center"/>
          </w:tcPr>
          <w:p w14:paraId="75BD28C5"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c>
          <w:tcPr>
            <w:tcW w:w="1386" w:type="dxa"/>
            <w:tcBorders>
              <w:top w:val="single" w:sz="4" w:space="0" w:color="auto"/>
              <w:left w:val="single" w:sz="4" w:space="0" w:color="auto"/>
              <w:bottom w:val="single" w:sz="4" w:space="0" w:color="auto"/>
              <w:right w:val="single" w:sz="4" w:space="0" w:color="auto"/>
            </w:tcBorders>
            <w:vAlign w:val="center"/>
          </w:tcPr>
          <w:p w14:paraId="74D207C6"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r>
      <w:tr w:rsidR="005C42E3" w:rsidRPr="00806054" w14:paraId="3B6A7E67" w14:textId="77777777" w:rsidTr="00F00397">
        <w:trPr>
          <w:trHeight w:val="310"/>
          <w:jc w:val="center"/>
        </w:trPr>
        <w:tc>
          <w:tcPr>
            <w:tcW w:w="3008" w:type="dxa"/>
            <w:tcBorders>
              <w:top w:val="single" w:sz="4" w:space="0" w:color="auto"/>
              <w:left w:val="single" w:sz="4" w:space="0" w:color="auto"/>
              <w:bottom w:val="single" w:sz="4" w:space="0" w:color="auto"/>
              <w:right w:val="single" w:sz="4" w:space="0" w:color="auto"/>
            </w:tcBorders>
            <w:vAlign w:val="center"/>
          </w:tcPr>
          <w:p w14:paraId="4BE8963E" w14:textId="77777777" w:rsidR="005C42E3" w:rsidRPr="00236237" w:rsidRDefault="005C42E3" w:rsidP="00584184">
            <w:pPr>
              <w:rPr>
                <w:rFonts w:cs="Arial"/>
                <w:sz w:val="20"/>
                <w:szCs w:val="20"/>
              </w:rPr>
            </w:pPr>
            <w:r w:rsidRPr="00584184">
              <w:rPr>
                <w:rFonts w:cs="Arial"/>
                <w:sz w:val="20"/>
                <w:szCs w:val="20"/>
              </w:rPr>
              <w:t>Losses schedule</w:t>
            </w:r>
          </w:p>
        </w:tc>
        <w:tc>
          <w:tcPr>
            <w:tcW w:w="1525" w:type="dxa"/>
            <w:tcBorders>
              <w:top w:val="single" w:sz="4" w:space="0" w:color="auto"/>
              <w:left w:val="single" w:sz="4" w:space="0" w:color="auto"/>
              <w:bottom w:val="single" w:sz="4" w:space="0" w:color="auto"/>
              <w:right w:val="single" w:sz="4" w:space="0" w:color="auto"/>
            </w:tcBorders>
            <w:vAlign w:val="center"/>
          </w:tcPr>
          <w:p w14:paraId="75CB3C1A"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c>
          <w:tcPr>
            <w:tcW w:w="1386" w:type="dxa"/>
            <w:tcBorders>
              <w:top w:val="single" w:sz="4" w:space="0" w:color="auto"/>
              <w:left w:val="single" w:sz="4" w:space="0" w:color="auto"/>
              <w:bottom w:val="single" w:sz="4" w:space="0" w:color="auto"/>
              <w:right w:val="single" w:sz="4" w:space="0" w:color="auto"/>
            </w:tcBorders>
            <w:vAlign w:val="center"/>
          </w:tcPr>
          <w:p w14:paraId="10CD9F71" w14:textId="77777777" w:rsidR="005C42E3" w:rsidRPr="00A34347" w:rsidRDefault="005C42E3" w:rsidP="00B13289">
            <w:pPr>
              <w:jc w:val="center"/>
              <w:rPr>
                <w:rFonts w:cs="Arial"/>
                <w:sz w:val="20"/>
                <w:szCs w:val="20"/>
              </w:rPr>
            </w:pPr>
            <w:r w:rsidRPr="00A34347">
              <w:rPr>
                <w:rFonts w:cs="Arial"/>
                <w:sz w:val="20"/>
                <w:szCs w:val="20"/>
              </w:rPr>
              <w:t>Y</w:t>
            </w:r>
            <w:r>
              <w:rPr>
                <w:rFonts w:cs="Arial"/>
                <w:sz w:val="20"/>
                <w:szCs w:val="20"/>
              </w:rPr>
              <w:t>es</w:t>
            </w:r>
          </w:p>
        </w:tc>
      </w:tr>
    </w:tbl>
    <w:p w14:paraId="7F8012C6" w14:textId="77777777" w:rsidR="00236237" w:rsidRDefault="00C46EEA" w:rsidP="00C46EEA">
      <w:pPr>
        <w:pStyle w:val="Caption"/>
        <w:jc w:val="center"/>
        <w:rPr>
          <w:rStyle w:val="BodyTextChar1"/>
          <w:sz w:val="20"/>
          <w:szCs w:val="20"/>
          <w:highlight w:val="yellow"/>
        </w:rPr>
      </w:pPr>
      <w:bookmarkStart w:id="43" w:name="_Toc54181383"/>
      <w:r>
        <w:t xml:space="preserve">Table </w:t>
      </w:r>
      <w:r w:rsidR="00EA4B40">
        <w:fldChar w:fldCharType="begin"/>
      </w:r>
      <w:r w:rsidR="00EA4B40">
        <w:instrText xml:space="preserve"> SEQ Table \* ARABIC </w:instrText>
      </w:r>
      <w:r w:rsidR="00EA4B40">
        <w:fldChar w:fldCharType="separate"/>
      </w:r>
      <w:r>
        <w:rPr>
          <w:noProof/>
        </w:rPr>
        <w:t>1</w:t>
      </w:r>
      <w:r w:rsidR="00EA4B40">
        <w:rPr>
          <w:noProof/>
        </w:rPr>
        <w:fldChar w:fldCharType="end"/>
      </w:r>
      <w:r>
        <w:t>: Valid schedules</w:t>
      </w:r>
      <w:bookmarkEnd w:id="43"/>
    </w:p>
    <w:p w14:paraId="6F5D4291" w14:textId="5DD7D5D6" w:rsidR="001B0F0F" w:rsidRDefault="001B0F0F" w:rsidP="001B0F0F">
      <w:pPr>
        <w:pStyle w:val="Bullet2"/>
        <w:numPr>
          <w:ilvl w:val="0"/>
          <w:numId w:val="0"/>
        </w:numPr>
        <w:tabs>
          <w:tab w:val="left" w:pos="720"/>
        </w:tabs>
        <w:rPr>
          <w:rStyle w:val="BodyTextChar1"/>
          <w:sz w:val="20"/>
          <w:szCs w:val="20"/>
        </w:rPr>
      </w:pPr>
      <w:r w:rsidRPr="009945F7">
        <w:rPr>
          <w:rStyle w:val="BodyTextChar1"/>
          <w:sz w:val="20"/>
          <w:szCs w:val="20"/>
        </w:rPr>
        <w:t xml:space="preserve">For more information on the validation rules and circumstances that determine when a schedule should be used, see the </w:t>
      </w:r>
      <w:r w:rsidR="00236237" w:rsidRPr="009945F7">
        <w:rPr>
          <w:rStyle w:val="BodyTextChar1"/>
          <w:sz w:val="20"/>
          <w:szCs w:val="20"/>
        </w:rPr>
        <w:t xml:space="preserve">SMSFAR </w:t>
      </w:r>
      <w:r w:rsidRPr="009945F7">
        <w:rPr>
          <w:rStyle w:val="BodyTextChar1"/>
          <w:sz w:val="20"/>
          <w:szCs w:val="20"/>
        </w:rPr>
        <w:t xml:space="preserve">message structure table and schedule structure tables, as well as the </w:t>
      </w:r>
      <w:r w:rsidR="00236237" w:rsidRPr="009945F7">
        <w:rPr>
          <w:rStyle w:val="BodyTextChar1"/>
          <w:sz w:val="20"/>
          <w:szCs w:val="20"/>
        </w:rPr>
        <w:t xml:space="preserve">SMSFAR </w:t>
      </w:r>
      <w:r w:rsidRPr="009945F7">
        <w:rPr>
          <w:rStyle w:val="BodyTextChar1"/>
          <w:sz w:val="20"/>
          <w:szCs w:val="20"/>
        </w:rPr>
        <w:t>validation rules.</w:t>
      </w:r>
    </w:p>
    <w:p w14:paraId="3C33489D" w14:textId="20522470" w:rsidR="00915580" w:rsidRDefault="00915580" w:rsidP="001B0F0F">
      <w:pPr>
        <w:pStyle w:val="Bullet2"/>
        <w:numPr>
          <w:ilvl w:val="0"/>
          <w:numId w:val="0"/>
        </w:numPr>
        <w:tabs>
          <w:tab w:val="left" w:pos="720"/>
        </w:tabs>
        <w:rPr>
          <w:rStyle w:val="BodyTextChar1"/>
          <w:sz w:val="20"/>
          <w:szCs w:val="20"/>
        </w:rPr>
      </w:pPr>
    </w:p>
    <w:p w14:paraId="0A4CA72B" w14:textId="77777777" w:rsidR="00915580" w:rsidRDefault="00915580" w:rsidP="001B0F0F">
      <w:pPr>
        <w:pStyle w:val="Bullet2"/>
        <w:numPr>
          <w:ilvl w:val="0"/>
          <w:numId w:val="0"/>
        </w:numPr>
        <w:tabs>
          <w:tab w:val="left" w:pos="720"/>
        </w:tabs>
        <w:rPr>
          <w:rStyle w:val="BodyTextChar1"/>
          <w:sz w:val="20"/>
          <w:szCs w:val="20"/>
        </w:rPr>
      </w:pPr>
    </w:p>
    <w:p w14:paraId="67CFB2A1" w14:textId="77777777" w:rsidR="001B0F0F" w:rsidRDefault="001B0F0F" w:rsidP="00D520A8">
      <w:pPr>
        <w:pStyle w:val="Head2"/>
        <w:numPr>
          <w:ilvl w:val="1"/>
          <w:numId w:val="19"/>
        </w:numPr>
        <w:rPr>
          <w:sz w:val="28"/>
        </w:rPr>
      </w:pPr>
      <w:bookmarkStart w:id="44" w:name="_Toc411501186"/>
      <w:bookmarkStart w:id="45" w:name="_Toc411524677"/>
      <w:bookmarkStart w:id="46" w:name="_Toc411593585"/>
      <w:bookmarkStart w:id="47" w:name="_Toc411501187"/>
      <w:bookmarkStart w:id="48" w:name="_Toc411524678"/>
      <w:bookmarkStart w:id="49" w:name="_Toc411593586"/>
      <w:bookmarkStart w:id="50" w:name="_Toc411501188"/>
      <w:bookmarkStart w:id="51" w:name="_Toc411524679"/>
      <w:bookmarkStart w:id="52" w:name="_Toc411593587"/>
      <w:bookmarkStart w:id="53" w:name="_Toc411501189"/>
      <w:bookmarkStart w:id="54" w:name="_Toc411524680"/>
      <w:bookmarkStart w:id="55" w:name="_Toc411593588"/>
      <w:bookmarkStart w:id="56" w:name="_Toc411501190"/>
      <w:bookmarkStart w:id="57" w:name="_Toc411524681"/>
      <w:bookmarkStart w:id="58" w:name="_Toc411593589"/>
      <w:bookmarkStart w:id="59" w:name="_Toc411501191"/>
      <w:bookmarkStart w:id="60" w:name="_Toc411524682"/>
      <w:bookmarkStart w:id="61" w:name="_Toc411593590"/>
      <w:bookmarkStart w:id="62" w:name="_Toc427056910"/>
      <w:bookmarkStart w:id="63" w:name="_Toc54181724"/>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Interactions</w:t>
      </w:r>
      <w:bookmarkEnd w:id="62"/>
      <w:bookmarkEnd w:id="63"/>
    </w:p>
    <w:p w14:paraId="2604B15E" w14:textId="77777777" w:rsidR="001B0F0F" w:rsidRDefault="001B0F0F" w:rsidP="001B0F0F">
      <w:pPr>
        <w:pStyle w:val="Bullet2"/>
        <w:numPr>
          <w:ilvl w:val="0"/>
          <w:numId w:val="0"/>
        </w:numPr>
        <w:tabs>
          <w:tab w:val="left" w:pos="720"/>
        </w:tabs>
        <w:jc w:val="both"/>
        <w:rPr>
          <w:rStyle w:val="BodyTextChar1"/>
          <w:sz w:val="20"/>
          <w:szCs w:val="20"/>
        </w:rPr>
      </w:pPr>
      <w:r>
        <w:rPr>
          <w:rStyle w:val="BodyTextChar1"/>
          <w:sz w:val="20"/>
          <w:szCs w:val="20"/>
        </w:rPr>
        <w:t xml:space="preserve">The </w:t>
      </w:r>
      <w:r w:rsidR="00D259AC" w:rsidRPr="009945F7">
        <w:rPr>
          <w:rStyle w:val="BodyTextChar1"/>
          <w:sz w:val="20"/>
          <w:szCs w:val="20"/>
        </w:rPr>
        <w:t>SMSFAR</w:t>
      </w:r>
      <w:r w:rsidRPr="009945F7">
        <w:rPr>
          <w:rStyle w:val="BodyTextChar1"/>
          <w:sz w:val="20"/>
          <w:szCs w:val="20"/>
        </w:rPr>
        <w:t xml:space="preserve"> lodgment</w:t>
      </w:r>
      <w:r>
        <w:rPr>
          <w:rStyle w:val="BodyTextChar1"/>
          <w:sz w:val="20"/>
          <w:szCs w:val="20"/>
        </w:rPr>
        <w:t xml:space="preserve">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1B0F0F" w14:paraId="09AF1CEC" w14:textId="77777777" w:rsidTr="00D259AC">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D1525B0" w14:textId="77777777" w:rsidR="001B0F0F" w:rsidRDefault="001B0F0F">
            <w:pPr>
              <w:pStyle w:val="Bullet2"/>
              <w:numPr>
                <w:ilvl w:val="0"/>
                <w:numId w:val="0"/>
              </w:numPr>
              <w:tabs>
                <w:tab w:val="left" w:pos="720"/>
              </w:tabs>
              <w:jc w:val="both"/>
              <w:rPr>
                <w:b/>
                <w:sz w:val="20"/>
                <w:szCs w:val="20"/>
              </w:rPr>
            </w:pPr>
            <w:r>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F538FCD"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3C09485"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E0EA57C"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32EF407E"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F89EF54" w14:textId="77777777" w:rsidR="001B0F0F" w:rsidRDefault="001B0F0F">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D520A8" w:rsidRPr="00806054" w14:paraId="03936A5F" w14:textId="77777777" w:rsidTr="00B13289">
        <w:tc>
          <w:tcPr>
            <w:tcW w:w="1729" w:type="dxa"/>
            <w:vMerge w:val="restart"/>
          </w:tcPr>
          <w:p w14:paraId="1DF52E14" w14:textId="77777777" w:rsidR="00D520A8" w:rsidRPr="009945F7" w:rsidRDefault="00D520A8" w:rsidP="00584184">
            <w:pPr>
              <w:pStyle w:val="Bullet2"/>
              <w:numPr>
                <w:ilvl w:val="0"/>
                <w:numId w:val="0"/>
              </w:numPr>
              <w:tabs>
                <w:tab w:val="left" w:pos="720"/>
              </w:tabs>
              <w:rPr>
                <w:rFonts w:cs="Arial"/>
                <w:bCs/>
                <w:color w:val="000000"/>
                <w:sz w:val="20"/>
                <w:szCs w:val="22"/>
              </w:rPr>
            </w:pPr>
            <w:r w:rsidRPr="009945F7">
              <w:rPr>
                <w:rStyle w:val="BodyTextChar1"/>
                <w:sz w:val="20"/>
                <w:szCs w:val="20"/>
              </w:rPr>
              <w:t>SMSFAR</w:t>
            </w:r>
          </w:p>
        </w:tc>
        <w:tc>
          <w:tcPr>
            <w:tcW w:w="2268" w:type="dxa"/>
          </w:tcPr>
          <w:p w14:paraId="61F56C69" w14:textId="77777777" w:rsidR="00D520A8" w:rsidRPr="009945F7" w:rsidRDefault="00D520A8"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.Prelodge</w:t>
            </w:r>
          </w:p>
          <w:p w14:paraId="1F4CEC5C" w14:textId="77777777" w:rsidR="00D520A8" w:rsidRPr="009945F7" w:rsidRDefault="00D520A8" w:rsidP="00584184">
            <w:pPr>
              <w:pStyle w:val="Bullet2"/>
              <w:numPr>
                <w:ilvl w:val="0"/>
                <w:numId w:val="0"/>
              </w:numPr>
              <w:tabs>
                <w:tab w:val="left" w:pos="720"/>
              </w:tabs>
              <w:rPr>
                <w:rStyle w:val="BodyTextChar1"/>
                <w:sz w:val="20"/>
                <w:szCs w:val="20"/>
              </w:rPr>
            </w:pPr>
          </w:p>
        </w:tc>
        <w:tc>
          <w:tcPr>
            <w:tcW w:w="2268" w:type="dxa"/>
          </w:tcPr>
          <w:p w14:paraId="651454B2" w14:textId="54EB2ECF" w:rsidR="00D520A8" w:rsidRPr="009945F7" w:rsidRDefault="00D520A8" w:rsidP="003151F8">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Validate </w:t>
            </w:r>
            <w:r w:rsidRPr="009945F7">
              <w:rPr>
                <w:rStyle w:val="BodyTextChar1"/>
                <w:sz w:val="20"/>
                <w:szCs w:val="20"/>
              </w:rPr>
              <w:t>SMSFAR</w:t>
            </w:r>
            <w:r w:rsidRPr="009945F7">
              <w:rPr>
                <w:rFonts w:cs="Arial"/>
                <w:color w:val="000000"/>
                <w:sz w:val="20"/>
                <w:szCs w:val="22"/>
              </w:rPr>
              <w:t xml:space="preserve"> message before lodgment (</w:t>
            </w:r>
            <w:r w:rsidR="00FC2456" w:rsidRPr="009945F7">
              <w:rPr>
                <w:rFonts w:cs="Arial"/>
                <w:color w:val="000000"/>
                <w:sz w:val="20"/>
                <w:szCs w:val="22"/>
              </w:rPr>
              <w:t>20</w:t>
            </w:r>
            <w:r w:rsidR="00FC2456">
              <w:rPr>
                <w:rFonts w:cs="Arial"/>
                <w:color w:val="000000"/>
                <w:sz w:val="20"/>
                <w:szCs w:val="22"/>
              </w:rPr>
              <w:t>20</w:t>
            </w:r>
            <w:r w:rsidRPr="009945F7">
              <w:rPr>
                <w:rFonts w:cs="Arial"/>
                <w:color w:val="000000"/>
                <w:sz w:val="20"/>
                <w:szCs w:val="22"/>
              </w:rPr>
              <w:t>)</w:t>
            </w:r>
          </w:p>
        </w:tc>
        <w:tc>
          <w:tcPr>
            <w:tcW w:w="992" w:type="dxa"/>
            <w:vAlign w:val="center"/>
            <w:hideMark/>
          </w:tcPr>
          <w:p w14:paraId="5802113F"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c>
          <w:tcPr>
            <w:tcW w:w="992" w:type="dxa"/>
            <w:vAlign w:val="center"/>
            <w:hideMark/>
          </w:tcPr>
          <w:p w14:paraId="625C7CE5"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c>
          <w:tcPr>
            <w:tcW w:w="1276" w:type="dxa"/>
            <w:vAlign w:val="center"/>
            <w:hideMark/>
          </w:tcPr>
          <w:p w14:paraId="11304352"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r>
      <w:tr w:rsidR="00D520A8" w:rsidRPr="00806054" w14:paraId="203D7920" w14:textId="77777777" w:rsidTr="00D520A8">
        <w:tc>
          <w:tcPr>
            <w:tcW w:w="1729" w:type="dxa"/>
            <w:vMerge/>
          </w:tcPr>
          <w:p w14:paraId="49648039" w14:textId="77777777" w:rsidR="00D520A8" w:rsidRPr="009945F7" w:rsidRDefault="00D520A8" w:rsidP="00584184">
            <w:pPr>
              <w:pStyle w:val="Bullet2"/>
              <w:numPr>
                <w:ilvl w:val="0"/>
                <w:numId w:val="0"/>
              </w:numPr>
              <w:tabs>
                <w:tab w:val="left" w:pos="720"/>
              </w:tabs>
              <w:rPr>
                <w:rFonts w:cs="Arial"/>
                <w:bCs/>
                <w:color w:val="000000"/>
                <w:sz w:val="20"/>
                <w:szCs w:val="22"/>
              </w:rPr>
            </w:pPr>
          </w:p>
        </w:tc>
        <w:tc>
          <w:tcPr>
            <w:tcW w:w="2268" w:type="dxa"/>
          </w:tcPr>
          <w:p w14:paraId="2F97F003" w14:textId="77777777" w:rsidR="00D520A8" w:rsidRPr="009945F7" w:rsidRDefault="00D520A8" w:rsidP="00584184">
            <w:pPr>
              <w:pStyle w:val="Bullet2"/>
              <w:numPr>
                <w:ilvl w:val="0"/>
                <w:numId w:val="0"/>
              </w:numPr>
              <w:tabs>
                <w:tab w:val="left" w:pos="720"/>
              </w:tabs>
              <w:rPr>
                <w:rFonts w:cs="Arial"/>
                <w:bCs/>
                <w:i/>
                <w:color w:val="000000"/>
                <w:sz w:val="20"/>
                <w:szCs w:val="22"/>
              </w:rPr>
            </w:pPr>
            <w:r w:rsidRPr="009945F7">
              <w:rPr>
                <w:rStyle w:val="BodyTextChar1"/>
                <w:sz w:val="20"/>
                <w:szCs w:val="20"/>
              </w:rPr>
              <w:t>SMSFAR</w:t>
            </w:r>
            <w:r w:rsidRPr="009945F7">
              <w:rPr>
                <w:rFonts w:cs="Arial"/>
                <w:bCs/>
                <w:i/>
                <w:color w:val="000000"/>
                <w:sz w:val="20"/>
                <w:szCs w:val="22"/>
              </w:rPr>
              <w:t>.Lodge</w:t>
            </w:r>
          </w:p>
          <w:p w14:paraId="72DF6CBE" w14:textId="77777777" w:rsidR="00D520A8" w:rsidRPr="009945F7" w:rsidRDefault="00D520A8" w:rsidP="00584184">
            <w:pPr>
              <w:pStyle w:val="Bullet2"/>
              <w:numPr>
                <w:ilvl w:val="0"/>
                <w:numId w:val="0"/>
              </w:numPr>
              <w:tabs>
                <w:tab w:val="left" w:pos="720"/>
              </w:tabs>
              <w:rPr>
                <w:rFonts w:cs="Arial"/>
                <w:color w:val="000000"/>
                <w:sz w:val="20"/>
                <w:szCs w:val="22"/>
              </w:rPr>
            </w:pPr>
          </w:p>
        </w:tc>
        <w:tc>
          <w:tcPr>
            <w:tcW w:w="2268" w:type="dxa"/>
          </w:tcPr>
          <w:p w14:paraId="005BA412" w14:textId="1EEE98B3" w:rsidR="00D520A8" w:rsidRPr="009945F7" w:rsidRDefault="00D520A8" w:rsidP="003151F8">
            <w:pPr>
              <w:pStyle w:val="Bullet2"/>
              <w:numPr>
                <w:ilvl w:val="0"/>
                <w:numId w:val="0"/>
              </w:numPr>
              <w:tabs>
                <w:tab w:val="left" w:pos="720"/>
              </w:tabs>
              <w:rPr>
                <w:rFonts w:cs="Arial"/>
                <w:color w:val="000000"/>
                <w:sz w:val="20"/>
                <w:szCs w:val="22"/>
              </w:rPr>
            </w:pPr>
            <w:r w:rsidRPr="009945F7">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w:t>
            </w:r>
            <w:r w:rsidR="00FC2456" w:rsidRPr="009945F7">
              <w:rPr>
                <w:rFonts w:cs="Arial"/>
                <w:color w:val="000000"/>
                <w:sz w:val="20"/>
                <w:szCs w:val="22"/>
              </w:rPr>
              <w:t>20</w:t>
            </w:r>
            <w:r w:rsidR="00FC2456">
              <w:rPr>
                <w:rFonts w:cs="Arial"/>
                <w:color w:val="000000"/>
                <w:sz w:val="20"/>
                <w:szCs w:val="22"/>
              </w:rPr>
              <w:t>20</w:t>
            </w:r>
            <w:r w:rsidRPr="009945F7">
              <w:rPr>
                <w:rFonts w:cs="Arial"/>
                <w:color w:val="000000"/>
                <w:sz w:val="20"/>
                <w:szCs w:val="22"/>
              </w:rPr>
              <w:t>)</w:t>
            </w:r>
          </w:p>
        </w:tc>
        <w:tc>
          <w:tcPr>
            <w:tcW w:w="992" w:type="dxa"/>
            <w:vAlign w:val="center"/>
          </w:tcPr>
          <w:p w14:paraId="56B20182"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c>
          <w:tcPr>
            <w:tcW w:w="992" w:type="dxa"/>
            <w:vAlign w:val="center"/>
          </w:tcPr>
          <w:p w14:paraId="05F0B033"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c>
          <w:tcPr>
            <w:tcW w:w="1276" w:type="dxa"/>
            <w:vAlign w:val="center"/>
          </w:tcPr>
          <w:p w14:paraId="7DA43977" w14:textId="77777777" w:rsidR="00D520A8" w:rsidRPr="00D520A8" w:rsidRDefault="00D520A8" w:rsidP="00D520A8">
            <w:pPr>
              <w:jc w:val="center"/>
              <w:rPr>
                <w:rFonts w:cs="Arial"/>
              </w:rPr>
            </w:pPr>
            <w:r w:rsidRPr="00D520A8">
              <w:rPr>
                <w:rFonts w:cs="Arial"/>
              </w:rPr>
              <w:t>No</w:t>
            </w:r>
          </w:p>
        </w:tc>
      </w:tr>
      <w:tr w:rsidR="00D520A8" w:rsidRPr="00806054" w14:paraId="481CA6BF" w14:textId="77777777" w:rsidTr="00D520A8">
        <w:tc>
          <w:tcPr>
            <w:tcW w:w="1729" w:type="dxa"/>
          </w:tcPr>
          <w:p w14:paraId="715C93DE" w14:textId="77777777" w:rsidR="00D520A8" w:rsidRPr="00806054" w:rsidRDefault="00D520A8" w:rsidP="0058418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Pr>
          <w:p w14:paraId="07A1A449" w14:textId="77777777" w:rsidR="00D520A8" w:rsidRPr="00806054" w:rsidRDefault="00D520A8" w:rsidP="0058418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14:paraId="5F284914" w14:textId="77777777" w:rsidR="00D520A8" w:rsidRPr="00806054" w:rsidRDefault="00D520A8" w:rsidP="00584184">
            <w:pPr>
              <w:pStyle w:val="Bullet2"/>
              <w:numPr>
                <w:ilvl w:val="0"/>
                <w:numId w:val="0"/>
              </w:numPr>
              <w:tabs>
                <w:tab w:val="left" w:pos="720"/>
              </w:tabs>
              <w:rPr>
                <w:rFonts w:cs="Arial"/>
                <w:color w:val="000000"/>
                <w:sz w:val="20"/>
                <w:szCs w:val="22"/>
              </w:rPr>
            </w:pPr>
          </w:p>
        </w:tc>
        <w:tc>
          <w:tcPr>
            <w:tcW w:w="2268" w:type="dxa"/>
          </w:tcPr>
          <w:p w14:paraId="278865D3" w14:textId="77777777" w:rsidR="00D520A8" w:rsidRPr="00806054" w:rsidRDefault="00D520A8" w:rsidP="00584184">
            <w:pPr>
              <w:pStyle w:val="Bullet2"/>
              <w:numPr>
                <w:ilvl w:val="0"/>
                <w:numId w:val="0"/>
              </w:numPr>
              <w:tabs>
                <w:tab w:val="left" w:pos="720"/>
              </w:tabs>
              <w:rPr>
                <w:rFonts w:cs="Arial"/>
                <w:color w:val="000000"/>
                <w:sz w:val="20"/>
                <w:szCs w:val="22"/>
              </w:rPr>
            </w:pPr>
            <w:r w:rsidRPr="00806054">
              <w:rPr>
                <w:rFonts w:cs="Arial"/>
                <w:color w:val="000000"/>
                <w:sz w:val="20"/>
                <w:szCs w:val="22"/>
              </w:rPr>
              <w:t xml:space="preserve">Lodge </w:t>
            </w:r>
            <w:r w:rsidRPr="009945F7">
              <w:rPr>
                <w:rStyle w:val="BodyTextChar1"/>
                <w:sz w:val="20"/>
                <w:szCs w:val="20"/>
              </w:rPr>
              <w:t>SMSFAR</w:t>
            </w:r>
            <w:r w:rsidRPr="009945F7">
              <w:rPr>
                <w:rFonts w:cs="Arial"/>
                <w:color w:val="000000"/>
                <w:sz w:val="20"/>
                <w:szCs w:val="22"/>
              </w:rPr>
              <w:t xml:space="preserve"> for prior</w:t>
            </w:r>
            <w:r w:rsidRPr="00806054">
              <w:rPr>
                <w:rFonts w:cs="Arial"/>
                <w:color w:val="000000"/>
                <w:sz w:val="20"/>
                <w:szCs w:val="22"/>
              </w:rPr>
              <w:t xml:space="preserve"> years as SBR message using ELS tag format</w:t>
            </w:r>
          </w:p>
        </w:tc>
        <w:tc>
          <w:tcPr>
            <w:tcW w:w="992" w:type="dxa"/>
            <w:vAlign w:val="center"/>
          </w:tcPr>
          <w:p w14:paraId="36B71629" w14:textId="77777777" w:rsidR="00D520A8" w:rsidRPr="00D520A8" w:rsidRDefault="00D520A8" w:rsidP="00D520A8">
            <w:pPr>
              <w:jc w:val="center"/>
              <w:rPr>
                <w:rFonts w:cs="Arial"/>
                <w:sz w:val="20"/>
                <w:szCs w:val="20"/>
              </w:rPr>
            </w:pPr>
            <w:r w:rsidRPr="00D520A8">
              <w:rPr>
                <w:rFonts w:cs="Arial"/>
                <w:sz w:val="20"/>
                <w:szCs w:val="20"/>
              </w:rPr>
              <w:t>No</w:t>
            </w:r>
          </w:p>
        </w:tc>
        <w:tc>
          <w:tcPr>
            <w:tcW w:w="992" w:type="dxa"/>
            <w:vAlign w:val="center"/>
          </w:tcPr>
          <w:p w14:paraId="28D9F9D0"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c>
          <w:tcPr>
            <w:tcW w:w="1276" w:type="dxa"/>
            <w:vAlign w:val="center"/>
          </w:tcPr>
          <w:p w14:paraId="4D516F03" w14:textId="77777777" w:rsidR="00D520A8" w:rsidRPr="00A34347" w:rsidRDefault="00D520A8" w:rsidP="00B13289">
            <w:pPr>
              <w:jc w:val="center"/>
              <w:rPr>
                <w:rFonts w:cs="Arial"/>
                <w:sz w:val="20"/>
                <w:szCs w:val="20"/>
              </w:rPr>
            </w:pPr>
            <w:r w:rsidRPr="00A34347">
              <w:rPr>
                <w:rFonts w:cs="Arial"/>
                <w:sz w:val="20"/>
                <w:szCs w:val="20"/>
              </w:rPr>
              <w:t>Y</w:t>
            </w:r>
            <w:r>
              <w:rPr>
                <w:rFonts w:cs="Arial"/>
                <w:sz w:val="20"/>
                <w:szCs w:val="20"/>
              </w:rPr>
              <w:t>es</w:t>
            </w:r>
          </w:p>
        </w:tc>
      </w:tr>
    </w:tbl>
    <w:p w14:paraId="0E35D35E" w14:textId="77777777" w:rsidR="00D259AC" w:rsidRPr="00806054" w:rsidRDefault="00D259AC" w:rsidP="00D259AC">
      <w:pPr>
        <w:pStyle w:val="Caption"/>
        <w:jc w:val="center"/>
      </w:pPr>
      <w:bookmarkStart w:id="64" w:name="_Toc445193681"/>
      <w:bookmarkStart w:id="65" w:name="_Toc445802282"/>
      <w:bookmarkStart w:id="66" w:name="_Toc54181384"/>
      <w:r w:rsidRPr="00806054">
        <w:t xml:space="preserve">Table </w:t>
      </w:r>
      <w:r w:rsidR="00EA4B40">
        <w:fldChar w:fldCharType="begin"/>
      </w:r>
      <w:r w:rsidR="00EA4B40">
        <w:instrText xml:space="preserve"> SEQ Table \* ARABIC </w:instrText>
      </w:r>
      <w:r w:rsidR="00EA4B40">
        <w:fldChar w:fldCharType="separate"/>
      </w:r>
      <w:r w:rsidR="00C46EEA">
        <w:rPr>
          <w:noProof/>
        </w:rPr>
        <w:t>2</w:t>
      </w:r>
      <w:r w:rsidR="00EA4B40">
        <w:rPr>
          <w:noProof/>
        </w:rPr>
        <w:fldChar w:fldCharType="end"/>
      </w:r>
      <w:r w:rsidRPr="00806054">
        <w:t xml:space="preserve">: Interactions available in the </w:t>
      </w:r>
      <w:r>
        <w:t>SMSFAR</w:t>
      </w:r>
      <w:r w:rsidRPr="00806054">
        <w:t xml:space="preserve"> lodgment process</w:t>
      </w:r>
      <w:bookmarkEnd w:id="64"/>
      <w:bookmarkEnd w:id="65"/>
      <w:bookmarkEnd w:id="66"/>
    </w:p>
    <w:p w14:paraId="41FA78CB" w14:textId="1675741F" w:rsidR="001B0F0F" w:rsidRDefault="001B0F0F" w:rsidP="001B0F0F">
      <w:pPr>
        <w:spacing w:after="120"/>
        <w:rPr>
          <w:sz w:val="20"/>
        </w:rPr>
      </w:pPr>
    </w:p>
    <w:p w14:paraId="32F48EDF" w14:textId="77777777" w:rsidR="00915580" w:rsidRPr="0090497B" w:rsidRDefault="00915580" w:rsidP="001B0F0F">
      <w:pPr>
        <w:spacing w:after="120"/>
        <w:rPr>
          <w:sz w:val="20"/>
        </w:rPr>
      </w:pPr>
    </w:p>
    <w:p w14:paraId="40F8CDB3" w14:textId="77777777" w:rsidR="001B0F0F" w:rsidRPr="009945F7" w:rsidRDefault="002F2148" w:rsidP="00D520A8">
      <w:pPr>
        <w:pStyle w:val="Head2"/>
        <w:numPr>
          <w:ilvl w:val="1"/>
          <w:numId w:val="7"/>
        </w:numPr>
      </w:pPr>
      <w:bookmarkStart w:id="67" w:name="_Toc410142394"/>
      <w:bookmarkStart w:id="68" w:name="_Toc410142395"/>
      <w:bookmarkStart w:id="69" w:name="_Toc410142396"/>
      <w:bookmarkStart w:id="70" w:name="_Toc410142397"/>
      <w:bookmarkStart w:id="71" w:name="_Toc54181725"/>
      <w:bookmarkEnd w:id="67"/>
      <w:bookmarkEnd w:id="68"/>
      <w:bookmarkEnd w:id="69"/>
      <w:bookmarkEnd w:id="70"/>
      <w:r w:rsidRPr="009945F7">
        <w:t>Channels</w:t>
      </w:r>
      <w:bookmarkEnd w:id="71"/>
    </w:p>
    <w:p w14:paraId="23F83095" w14:textId="77777777" w:rsidR="001B0F0F" w:rsidRPr="009945F7" w:rsidRDefault="001B0F0F" w:rsidP="001B0F0F">
      <w:pPr>
        <w:pStyle w:val="Bullet2"/>
        <w:numPr>
          <w:ilvl w:val="0"/>
          <w:numId w:val="0"/>
        </w:numPr>
        <w:jc w:val="both"/>
        <w:rPr>
          <w:rStyle w:val="BodyTextChar1"/>
          <w:sz w:val="20"/>
          <w:szCs w:val="20"/>
        </w:rPr>
      </w:pPr>
      <w:r w:rsidRPr="009945F7">
        <w:rPr>
          <w:rStyle w:val="BodyTextChar1"/>
          <w:sz w:val="20"/>
          <w:szCs w:val="20"/>
        </w:rPr>
        <w:t xml:space="preserve">The </w:t>
      </w:r>
      <w:r w:rsidR="002F2148" w:rsidRPr="00E929F8">
        <w:rPr>
          <w:sz w:val="20"/>
        </w:rPr>
        <w:t>SMSFAR</w:t>
      </w:r>
      <w:r w:rsidR="002F2148" w:rsidRPr="009945F7" w:rsidDel="002F2148">
        <w:rPr>
          <w:rStyle w:val="BodyTextChar1"/>
          <w:sz w:val="20"/>
          <w:szCs w:val="20"/>
        </w:rPr>
        <w:t xml:space="preserve"> </w:t>
      </w:r>
      <w:r w:rsidRPr="009945F7">
        <w:rPr>
          <w:rStyle w:val="BodyTextChar1"/>
          <w:sz w:val="20"/>
          <w:szCs w:val="20"/>
        </w:rPr>
        <w:t xml:space="preserve">interaction </w:t>
      </w:r>
      <w:r w:rsidR="002F2148" w:rsidRPr="009945F7">
        <w:rPr>
          <w:rStyle w:val="BodyTextChar1"/>
          <w:sz w:val="20"/>
          <w:szCs w:val="20"/>
        </w:rPr>
        <w:t xml:space="preserve">is </w:t>
      </w:r>
      <w:r w:rsidRPr="009945F7">
        <w:rPr>
          <w:rStyle w:val="BodyTextChar1"/>
          <w:sz w:val="20"/>
          <w:szCs w:val="20"/>
        </w:rPr>
        <w:t>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945F7" w14:paraId="03BFD8C9" w14:textId="77777777" w:rsidTr="00BA4DA2">
        <w:tc>
          <w:tcPr>
            <w:tcW w:w="2943" w:type="dxa"/>
            <w:shd w:val="clear" w:color="auto" w:fill="C6D9F1" w:themeFill="text2" w:themeFillTint="33"/>
          </w:tcPr>
          <w:p w14:paraId="036C94D5" w14:textId="77777777" w:rsidR="001B0F0F" w:rsidRPr="009945F7" w:rsidRDefault="001B0F0F" w:rsidP="00BA4DA2">
            <w:pPr>
              <w:pStyle w:val="Maintext"/>
              <w:keepNext/>
              <w:spacing w:before="40" w:after="40"/>
              <w:rPr>
                <w:rFonts w:cs="Arial"/>
                <w:b/>
                <w:sz w:val="20"/>
                <w:szCs w:val="22"/>
              </w:rPr>
            </w:pPr>
            <w:r w:rsidRPr="009945F7">
              <w:rPr>
                <w:rFonts w:cs="Arial"/>
                <w:b/>
                <w:sz w:val="20"/>
                <w:szCs w:val="22"/>
              </w:rPr>
              <w:t>Interaction</w:t>
            </w:r>
          </w:p>
        </w:tc>
        <w:tc>
          <w:tcPr>
            <w:tcW w:w="3402" w:type="dxa"/>
            <w:shd w:val="clear" w:color="auto" w:fill="C6D9F1" w:themeFill="text2" w:themeFillTint="33"/>
          </w:tcPr>
          <w:p w14:paraId="7796548A" w14:textId="77777777" w:rsidR="001B0F0F" w:rsidRPr="009945F7" w:rsidRDefault="001B0F0F" w:rsidP="00BA4DA2">
            <w:pPr>
              <w:pStyle w:val="Maintext"/>
              <w:spacing w:before="40" w:after="40"/>
              <w:rPr>
                <w:rFonts w:cs="Arial"/>
                <w:b/>
                <w:sz w:val="20"/>
                <w:szCs w:val="22"/>
              </w:rPr>
            </w:pPr>
            <w:r w:rsidRPr="009945F7">
              <w:rPr>
                <w:rFonts w:cs="Arial"/>
                <w:b/>
                <w:sz w:val="20"/>
                <w:szCs w:val="22"/>
              </w:rPr>
              <w:t>SBR Core Services</w:t>
            </w:r>
          </w:p>
        </w:tc>
        <w:tc>
          <w:tcPr>
            <w:tcW w:w="2977" w:type="dxa"/>
            <w:shd w:val="clear" w:color="auto" w:fill="C6D9F1" w:themeFill="text2" w:themeFillTint="33"/>
          </w:tcPr>
          <w:p w14:paraId="5D3635EE" w14:textId="77777777" w:rsidR="001B0F0F" w:rsidRPr="009945F7" w:rsidRDefault="001B0F0F" w:rsidP="00BA4DA2">
            <w:pPr>
              <w:pStyle w:val="Maintext"/>
              <w:spacing w:before="40" w:after="40"/>
              <w:rPr>
                <w:rFonts w:cs="Arial"/>
                <w:b/>
                <w:sz w:val="20"/>
                <w:szCs w:val="22"/>
              </w:rPr>
            </w:pPr>
            <w:r w:rsidRPr="009945F7">
              <w:rPr>
                <w:rFonts w:cs="Arial"/>
                <w:b/>
                <w:sz w:val="20"/>
                <w:szCs w:val="22"/>
              </w:rPr>
              <w:t>SBR ebMS3.0</w:t>
            </w:r>
          </w:p>
        </w:tc>
      </w:tr>
      <w:tr w:rsidR="001B0F0F" w:rsidRPr="009945F7" w14:paraId="1BC3F960" w14:textId="77777777" w:rsidTr="00BA4DA2">
        <w:tc>
          <w:tcPr>
            <w:tcW w:w="2943" w:type="dxa"/>
          </w:tcPr>
          <w:p w14:paraId="71EC4B04" w14:textId="77777777" w:rsidR="001B0F0F" w:rsidRPr="009945F7" w:rsidRDefault="002F2148" w:rsidP="00BA4DA2">
            <w:pPr>
              <w:spacing w:before="40" w:after="40"/>
              <w:rPr>
                <w:rFonts w:cs="Arial"/>
                <w:bCs/>
                <w:i/>
                <w:color w:val="000000"/>
                <w:sz w:val="20"/>
                <w:szCs w:val="20"/>
              </w:rPr>
            </w:pPr>
            <w:r w:rsidRPr="009945F7">
              <w:rPr>
                <w:sz w:val="20"/>
                <w:szCs w:val="20"/>
              </w:rPr>
              <w:t>SMSFAR</w:t>
            </w:r>
            <w:r w:rsidR="001B0F0F" w:rsidRPr="009945F7">
              <w:rPr>
                <w:rFonts w:cs="Arial"/>
                <w:bCs/>
                <w:i/>
                <w:color w:val="000000"/>
                <w:sz w:val="20"/>
                <w:szCs w:val="20"/>
              </w:rPr>
              <w:t>.Prelodge</w:t>
            </w:r>
          </w:p>
        </w:tc>
        <w:tc>
          <w:tcPr>
            <w:tcW w:w="3402" w:type="dxa"/>
          </w:tcPr>
          <w:p w14:paraId="1106DAE8" w14:textId="77777777" w:rsidR="001B0F0F"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c>
          <w:tcPr>
            <w:tcW w:w="2977" w:type="dxa"/>
          </w:tcPr>
          <w:p w14:paraId="4F08B2E6" w14:textId="77777777" w:rsidR="001B0F0F" w:rsidRPr="009945F7" w:rsidRDefault="001B0F0F"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r>
      <w:tr w:rsidR="002F2148" w:rsidRPr="0090497B" w14:paraId="09A37832" w14:textId="77777777" w:rsidTr="00BA4DA2">
        <w:tc>
          <w:tcPr>
            <w:tcW w:w="2943" w:type="dxa"/>
          </w:tcPr>
          <w:p w14:paraId="484286DB" w14:textId="77777777" w:rsidR="002F2148" w:rsidRPr="009945F7" w:rsidRDefault="002F2148" w:rsidP="009945F7">
            <w:pPr>
              <w:spacing w:before="40" w:after="40"/>
              <w:rPr>
                <w:rFonts w:cs="Arial"/>
                <w:bCs/>
                <w:i/>
                <w:color w:val="000000"/>
                <w:sz w:val="20"/>
                <w:szCs w:val="20"/>
              </w:rPr>
            </w:pPr>
            <w:r w:rsidRPr="009945F7">
              <w:rPr>
                <w:sz w:val="20"/>
                <w:szCs w:val="20"/>
              </w:rPr>
              <w:t>SMSFAR.</w:t>
            </w:r>
            <w:r w:rsidR="009945F7" w:rsidRPr="009945F7">
              <w:rPr>
                <w:i/>
                <w:sz w:val="20"/>
                <w:szCs w:val="20"/>
              </w:rPr>
              <w:t>Lodge</w:t>
            </w:r>
          </w:p>
        </w:tc>
        <w:tc>
          <w:tcPr>
            <w:tcW w:w="3402" w:type="dxa"/>
          </w:tcPr>
          <w:p w14:paraId="3B3C5521" w14:textId="77777777" w:rsidR="002F2148"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c>
          <w:tcPr>
            <w:tcW w:w="2977" w:type="dxa"/>
          </w:tcPr>
          <w:p w14:paraId="149A971A" w14:textId="77777777" w:rsidR="002F2148" w:rsidRPr="009945F7" w:rsidRDefault="002F2148" w:rsidP="00BA4DA2">
            <w:pPr>
              <w:spacing w:before="40" w:after="40"/>
              <w:rPr>
                <w:rFonts w:cs="Arial"/>
                <w:color w:val="000000"/>
                <w:sz w:val="20"/>
                <w:szCs w:val="20"/>
              </w:rPr>
            </w:pPr>
            <w:r w:rsidRPr="009945F7">
              <w:rPr>
                <w:rFonts w:cs="Arial"/>
                <w:color w:val="000000"/>
                <w:sz w:val="20"/>
                <w:szCs w:val="20"/>
              </w:rPr>
              <w:t>Y</w:t>
            </w:r>
            <w:r w:rsidR="00D520A8">
              <w:rPr>
                <w:rFonts w:cs="Arial"/>
                <w:color w:val="000000"/>
                <w:sz w:val="20"/>
                <w:szCs w:val="20"/>
              </w:rPr>
              <w:t>es</w:t>
            </w:r>
          </w:p>
        </w:tc>
      </w:tr>
    </w:tbl>
    <w:p w14:paraId="5F46CF08" w14:textId="77777777" w:rsidR="001B0F0F" w:rsidRDefault="001B0F0F" w:rsidP="001B0F0F">
      <w:pPr>
        <w:pStyle w:val="Caption"/>
        <w:jc w:val="center"/>
      </w:pPr>
      <w:bookmarkStart w:id="72" w:name="_Toc409794473"/>
      <w:bookmarkStart w:id="73" w:name="_Toc54181385"/>
      <w:r>
        <w:t xml:space="preserve">Table </w:t>
      </w:r>
      <w:r w:rsidR="00EA4B40">
        <w:fldChar w:fldCharType="begin"/>
      </w:r>
      <w:r w:rsidR="00EA4B40">
        <w:instrText xml:space="preserve"> SEQ Table \* ARABIC </w:instrText>
      </w:r>
      <w:r w:rsidR="00EA4B40">
        <w:fldChar w:fldCharType="separate"/>
      </w:r>
      <w:r w:rsidR="00C46EEA">
        <w:rPr>
          <w:noProof/>
        </w:rPr>
        <w:t>3</w:t>
      </w:r>
      <w:r w:rsidR="00EA4B40">
        <w:rPr>
          <w:noProof/>
        </w:rPr>
        <w:fldChar w:fldCharType="end"/>
      </w:r>
      <w:r>
        <w:t xml:space="preserve">: Channel availability of </w:t>
      </w:r>
      <w:r w:rsidR="002F2148">
        <w:t>SMSFAR</w:t>
      </w:r>
      <w:r>
        <w:t xml:space="preserve"> interactions</w:t>
      </w:r>
      <w:bookmarkEnd w:id="72"/>
      <w:bookmarkEnd w:id="73"/>
    </w:p>
    <w:p w14:paraId="3A8160F0" w14:textId="77777777" w:rsidR="001B0F0F" w:rsidRPr="00014833" w:rsidRDefault="001B0F0F" w:rsidP="001B0F0F">
      <w:pPr>
        <w:spacing w:after="120"/>
        <w:rPr>
          <w:sz w:val="20"/>
          <w:highlight w:val="yellow"/>
        </w:rPr>
      </w:pPr>
    </w:p>
    <w:p w14:paraId="1070BAC5" w14:textId="77777777" w:rsidR="00720B7A" w:rsidRPr="00014833" w:rsidRDefault="00720B7A" w:rsidP="0055475B">
      <w:pPr>
        <w:spacing w:after="120"/>
        <w:rPr>
          <w:sz w:val="20"/>
        </w:rPr>
      </w:pPr>
    </w:p>
    <w:p w14:paraId="4FB9DA67" w14:textId="77777777" w:rsidR="00A66A0C" w:rsidRDefault="00A66A0C" w:rsidP="00920D02">
      <w:pPr>
        <w:pStyle w:val="Head1"/>
      </w:pPr>
      <w:bookmarkStart w:id="74" w:name="_Toc405989456"/>
      <w:bookmarkStart w:id="75" w:name="_Toc405989504"/>
      <w:bookmarkStart w:id="76" w:name="_Toc405993405"/>
      <w:bookmarkStart w:id="77" w:name="_Toc405995092"/>
      <w:bookmarkStart w:id="78" w:name="_Toc405995237"/>
      <w:bookmarkStart w:id="79" w:name="_Toc405996900"/>
      <w:bookmarkStart w:id="80" w:name="_Toc405989457"/>
      <w:bookmarkStart w:id="81" w:name="_Toc405989505"/>
      <w:bookmarkStart w:id="82" w:name="_Toc405993406"/>
      <w:bookmarkStart w:id="83" w:name="_Toc405995093"/>
      <w:bookmarkStart w:id="84" w:name="_Toc405995238"/>
      <w:bookmarkStart w:id="85" w:name="_Toc405996901"/>
      <w:bookmarkStart w:id="86" w:name="_Toc405989458"/>
      <w:bookmarkStart w:id="87" w:name="_Toc405989506"/>
      <w:bookmarkStart w:id="88" w:name="_Toc405993407"/>
      <w:bookmarkStart w:id="89" w:name="_Toc405995094"/>
      <w:bookmarkStart w:id="90" w:name="_Toc405995239"/>
      <w:bookmarkStart w:id="91" w:name="_Toc405996902"/>
      <w:bookmarkStart w:id="92" w:name="_Toc411593595"/>
      <w:bookmarkStart w:id="93" w:name="_Toc5418172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lastRenderedPageBreak/>
        <w:t>Authorisation</w:t>
      </w:r>
      <w:bookmarkEnd w:id="92"/>
      <w:bookmarkEnd w:id="93"/>
    </w:p>
    <w:p w14:paraId="27FC7C28" w14:textId="6BC00A79" w:rsidR="00A66A0C" w:rsidRDefault="00A66A0C" w:rsidP="00D520A8">
      <w:pPr>
        <w:pStyle w:val="Head2"/>
        <w:numPr>
          <w:ilvl w:val="1"/>
          <w:numId w:val="7"/>
        </w:numPr>
      </w:pPr>
      <w:bookmarkStart w:id="94" w:name="_Toc411593596"/>
      <w:bookmarkStart w:id="95" w:name="_Toc54181727"/>
      <w:r>
        <w:t>Intermediary Relationship</w:t>
      </w:r>
      <w:bookmarkEnd w:id="94"/>
      <w:bookmarkEnd w:id="95"/>
    </w:p>
    <w:p w14:paraId="1C33E319" w14:textId="77777777" w:rsidR="00A66A0C" w:rsidRDefault="00556045" w:rsidP="00A66A0C">
      <w:pPr>
        <w:spacing w:after="120"/>
        <w:rPr>
          <w:rStyle w:val="BodyTextChar1"/>
          <w:sz w:val="20"/>
          <w:szCs w:val="20"/>
        </w:rPr>
      </w:pPr>
      <w:r w:rsidRPr="00556045">
        <w:rPr>
          <w:rStyle w:val="BodyTextChar1"/>
          <w:sz w:val="20"/>
          <w:szCs w:val="20"/>
        </w:rPr>
        <w:t>The SBR services an intermediary can use on behalf of their clients depends on the activity being undertaken and whether the intermediary has a relationship with the client.</w:t>
      </w:r>
      <w:r>
        <w:rPr>
          <w:rStyle w:val="BodyTextChar1"/>
          <w:sz w:val="20"/>
          <w:szCs w:val="20"/>
        </w:rPr>
        <w:t xml:space="preserve"> </w:t>
      </w:r>
      <w:r w:rsidR="006A730C">
        <w:rPr>
          <w:rStyle w:val="BodyTextChar1"/>
          <w:sz w:val="20"/>
          <w:szCs w:val="20"/>
        </w:rPr>
        <w:t>A</w:t>
      </w:r>
      <w:r w:rsidR="00A66A0C">
        <w:rPr>
          <w:rStyle w:val="BodyTextChar1"/>
          <w:sz w:val="20"/>
          <w:szCs w:val="20"/>
        </w:rPr>
        <w:t>n</w:t>
      </w:r>
      <w:r w:rsidR="00A66A0C" w:rsidRPr="00014833">
        <w:rPr>
          <w:rStyle w:val="BodyTextChar1"/>
          <w:sz w:val="20"/>
          <w:szCs w:val="20"/>
        </w:rPr>
        <w:t xml:space="preserve"> </w:t>
      </w:r>
      <w:r w:rsidR="00A66A0C">
        <w:rPr>
          <w:rStyle w:val="BodyTextChar1"/>
          <w:sz w:val="20"/>
          <w:szCs w:val="20"/>
        </w:rPr>
        <w:t>intermediary</w:t>
      </w:r>
      <w:r w:rsidR="006A730C">
        <w:rPr>
          <w:rStyle w:val="BodyTextChar1"/>
          <w:sz w:val="20"/>
          <w:szCs w:val="20"/>
        </w:rPr>
        <w:t xml:space="preserve"> must</w:t>
      </w:r>
      <w:r w:rsidR="00A66A0C">
        <w:rPr>
          <w:rStyle w:val="BodyTextChar1"/>
          <w:sz w:val="20"/>
          <w:szCs w:val="20"/>
        </w:rPr>
        <w:t xml:space="preserve"> </w:t>
      </w:r>
      <w:r w:rsidR="006A730C">
        <w:rPr>
          <w:rStyle w:val="BodyTextChar1"/>
          <w:sz w:val="20"/>
          <w:szCs w:val="20"/>
        </w:rPr>
        <w:t>have</w:t>
      </w:r>
      <w:r>
        <w:rPr>
          <w:rStyle w:val="BodyTextChar1"/>
          <w:sz w:val="20"/>
          <w:szCs w:val="20"/>
        </w:rPr>
        <w:t xml:space="preserve"> the</w:t>
      </w:r>
      <w:r w:rsidR="00A66A0C" w:rsidRPr="00014833">
        <w:rPr>
          <w:rStyle w:val="BodyTextChar1"/>
          <w:sz w:val="20"/>
          <w:szCs w:val="20"/>
        </w:rPr>
        <w:t xml:space="preserve"> appropriate </w:t>
      </w:r>
      <w:r w:rsidR="00A66A0C">
        <w:rPr>
          <w:rStyle w:val="BodyTextChar1"/>
          <w:sz w:val="20"/>
          <w:szCs w:val="20"/>
        </w:rPr>
        <w:t>authorisation</w:t>
      </w:r>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14:paraId="0D9C0463" w14:textId="77777777" w:rsidR="00700D7D" w:rsidRPr="00806054" w:rsidRDefault="00700D7D" w:rsidP="00700D7D">
      <w:pPr>
        <w:rPr>
          <w:rStyle w:val="BodyTextChar1"/>
          <w:sz w:val="20"/>
          <w:szCs w:val="20"/>
        </w:rPr>
      </w:pPr>
      <w:r w:rsidRPr="00806054">
        <w:rPr>
          <w:rStyle w:val="BodyTextChar1"/>
          <w:sz w:val="20"/>
          <w:szCs w:val="20"/>
        </w:rPr>
        <w:t xml:space="preserve">To use the </w:t>
      </w:r>
      <w:r>
        <w:rPr>
          <w:rStyle w:val="BodyTextChar1"/>
          <w:sz w:val="20"/>
          <w:szCs w:val="20"/>
        </w:rPr>
        <w:t>SMSFAR</w:t>
      </w:r>
      <w:r w:rsidRPr="00806054">
        <w:rPr>
          <w:rStyle w:val="BodyTextChar1"/>
          <w:sz w:val="20"/>
          <w:szCs w:val="20"/>
        </w:rPr>
        <w:t xml:space="preserve"> interaction, a business intermediary must be appointed by a business in Access Manager to use the available services on their behalf.</w:t>
      </w:r>
    </w:p>
    <w:p w14:paraId="3560F653"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436BC2E6" w14:textId="77777777" w:rsidTr="00BA4DA2">
        <w:trPr>
          <w:trHeight w:val="320"/>
        </w:trPr>
        <w:tc>
          <w:tcPr>
            <w:tcW w:w="769" w:type="dxa"/>
          </w:tcPr>
          <w:p w14:paraId="63D69602" w14:textId="77777777" w:rsidR="00920D02" w:rsidRDefault="00920D02" w:rsidP="00BA4DA2">
            <w:pPr>
              <w:spacing w:before="60"/>
              <w:jc w:val="center"/>
            </w:pPr>
            <w:r>
              <w:rPr>
                <w:noProof/>
              </w:rPr>
              <w:drawing>
                <wp:inline distT="0" distB="0" distL="0" distR="0" wp14:anchorId="00ECABE4" wp14:editId="128AF25E">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3A45ABFC" w14:textId="6FD0E704" w:rsidR="00920D02" w:rsidRPr="00014833" w:rsidRDefault="00E428B9" w:rsidP="00BA4DA2">
            <w:pPr>
              <w:pStyle w:val="Maintext"/>
              <w:rPr>
                <w:sz w:val="20"/>
              </w:rPr>
            </w:pPr>
            <w:r>
              <w:rPr>
                <w:sz w:val="20"/>
              </w:rPr>
              <w:t xml:space="preserve">A </w:t>
            </w:r>
            <w:r w:rsidR="00920D02">
              <w:rPr>
                <w:sz w:val="20"/>
              </w:rPr>
              <w:t>tax agent to taxpayer</w:t>
            </w:r>
            <w:r w:rsidR="00920D02" w:rsidRPr="00014833">
              <w:rPr>
                <w:sz w:val="20"/>
              </w:rPr>
              <w:t xml:space="preserve"> relationship is a fundamental precondition to </w:t>
            </w:r>
            <w:r w:rsidR="00920D02">
              <w:rPr>
                <w:sz w:val="20"/>
              </w:rPr>
              <w:t>intera</w:t>
            </w:r>
            <w:r w:rsidR="0043401E">
              <w:rPr>
                <w:sz w:val="20"/>
              </w:rPr>
              <w:t>cting with SBR for SMSFAR</w:t>
            </w:r>
            <w:r w:rsidR="00920D02">
              <w:rPr>
                <w:sz w:val="20"/>
              </w:rPr>
              <w:t xml:space="preserve"> interactions</w:t>
            </w:r>
            <w:r w:rsidR="00A01C6A">
              <w:rPr>
                <w:sz w:val="20"/>
              </w:rPr>
              <w:t>.</w:t>
            </w:r>
          </w:p>
          <w:p w14:paraId="1DE3B38C" w14:textId="77777777" w:rsidR="00920D02" w:rsidRPr="003D65CE" w:rsidRDefault="00920D02" w:rsidP="00BA4DA2">
            <w:pPr>
              <w:spacing w:before="60" w:after="60"/>
              <w:rPr>
                <w:szCs w:val="22"/>
              </w:rPr>
            </w:pPr>
          </w:p>
        </w:tc>
      </w:tr>
    </w:tbl>
    <w:p w14:paraId="1820BE82"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 xml:space="preserve">. </w:t>
      </w:r>
      <w:r>
        <w:rPr>
          <w:rStyle w:val="BodyTextChar1"/>
          <w:sz w:val="20"/>
          <w:szCs w:val="20"/>
        </w:rPr>
        <w:t xml:space="preserve"> See</w:t>
      </w:r>
      <w:r w:rsidRPr="00014833">
        <w:rPr>
          <w:rStyle w:val="BodyTextChar1"/>
          <w:sz w:val="20"/>
          <w:szCs w:val="20"/>
        </w:rPr>
        <w:t xml:space="preserve"> the Client Update Business Implementation Guide and Client Update Message Implementation Guide for further information.</w:t>
      </w:r>
    </w:p>
    <w:p w14:paraId="3B39499C" w14:textId="4264DA14" w:rsidR="00A66A0C" w:rsidRDefault="00A66A0C" w:rsidP="00D520A8">
      <w:pPr>
        <w:pStyle w:val="Head2"/>
        <w:numPr>
          <w:ilvl w:val="1"/>
          <w:numId w:val="7"/>
        </w:numPr>
      </w:pPr>
      <w:bookmarkStart w:id="96" w:name="_Toc406148438"/>
      <w:bookmarkStart w:id="97" w:name="_Toc406149433"/>
      <w:bookmarkStart w:id="98" w:name="_Toc406149482"/>
      <w:bookmarkStart w:id="99" w:name="_Toc406157912"/>
      <w:bookmarkStart w:id="100" w:name="_Toc406158123"/>
      <w:bookmarkStart w:id="101" w:name="_Toc406162489"/>
      <w:bookmarkStart w:id="102" w:name="_Toc406162511"/>
      <w:bookmarkStart w:id="103" w:name="_Toc411497066"/>
      <w:bookmarkStart w:id="104" w:name="_Toc411500292"/>
      <w:bookmarkStart w:id="105" w:name="_Toc411501221"/>
      <w:bookmarkStart w:id="106" w:name="_Toc411593597"/>
      <w:bookmarkStart w:id="107" w:name="_Toc54181728"/>
      <w:bookmarkEnd w:id="96"/>
      <w:bookmarkEnd w:id="97"/>
      <w:bookmarkEnd w:id="98"/>
      <w:bookmarkEnd w:id="99"/>
      <w:bookmarkEnd w:id="100"/>
      <w:bookmarkEnd w:id="101"/>
      <w:bookmarkEnd w:id="102"/>
      <w:bookmarkEnd w:id="103"/>
      <w:bookmarkEnd w:id="104"/>
      <w:bookmarkEnd w:id="105"/>
      <w:r>
        <w:t xml:space="preserve">Access </w:t>
      </w:r>
      <w:bookmarkStart w:id="108" w:name="_Toc406148440"/>
      <w:bookmarkStart w:id="109" w:name="_Toc406149435"/>
      <w:bookmarkStart w:id="110" w:name="_Toc406149484"/>
      <w:bookmarkStart w:id="111" w:name="_Toc406157914"/>
      <w:bookmarkStart w:id="112" w:name="_Toc406158125"/>
      <w:bookmarkStart w:id="113" w:name="_Toc406162491"/>
      <w:bookmarkStart w:id="114" w:name="_Toc406162513"/>
      <w:bookmarkStart w:id="115" w:name="_Toc406148441"/>
      <w:bookmarkStart w:id="116" w:name="_Toc406149436"/>
      <w:bookmarkStart w:id="117" w:name="_Toc406149485"/>
      <w:bookmarkStart w:id="118" w:name="_Toc406157915"/>
      <w:bookmarkStart w:id="119" w:name="_Toc406158126"/>
      <w:bookmarkStart w:id="120" w:name="_Toc406162492"/>
      <w:bookmarkStart w:id="121" w:name="_Toc406162514"/>
      <w:bookmarkStart w:id="122" w:name="_Toc406148442"/>
      <w:bookmarkStart w:id="123" w:name="_Toc406149437"/>
      <w:bookmarkStart w:id="124" w:name="_Toc406149486"/>
      <w:bookmarkStart w:id="125" w:name="_Toc406157916"/>
      <w:bookmarkStart w:id="126" w:name="_Toc406158127"/>
      <w:bookmarkStart w:id="127" w:name="_Toc406162493"/>
      <w:bookmarkStart w:id="128" w:name="_Toc406162515"/>
      <w:bookmarkEnd w:id="10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0079524F">
        <w:t>and initiating parties</w:t>
      </w:r>
      <w:bookmarkEnd w:id="107"/>
    </w:p>
    <w:p w14:paraId="16B139B3" w14:textId="70D3AF20" w:rsidR="00A66A0C" w:rsidRDefault="0079524F" w:rsidP="00A66A0C">
      <w:pPr>
        <w:spacing w:after="120"/>
        <w:rPr>
          <w:rStyle w:val="BodyTextChar1"/>
          <w:sz w:val="20"/>
          <w:szCs w:val="20"/>
        </w:rPr>
      </w:pPr>
      <w:r>
        <w:rPr>
          <w:rStyle w:val="BodyTextChar1"/>
          <w:sz w:val="20"/>
          <w:szCs w:val="20"/>
        </w:rPr>
        <w:t xml:space="preserve">Refer to Section 3, Access in the </w:t>
      </w:r>
      <w:r>
        <w:rPr>
          <w:sz w:val="20"/>
          <w:szCs w:val="20"/>
        </w:rPr>
        <w:t>Common Business Implementation and Taxpayer Declaration Guide.</w:t>
      </w:r>
      <w:r w:rsidR="00A66A0C">
        <w:rPr>
          <w:rStyle w:val="BodyTextChar1"/>
          <w:sz w:val="20"/>
          <w:szCs w:val="20"/>
        </w:rPr>
        <w:t xml:space="preserve">The table below displays the interactions available to each initiating party via SBR for </w:t>
      </w:r>
      <w:r w:rsidR="00700D7D">
        <w:rPr>
          <w:rStyle w:val="BodyTextChar1"/>
          <w:sz w:val="20"/>
          <w:szCs w:val="20"/>
        </w:rPr>
        <w:t>SMSFAR and ELStagFormat:</w:t>
      </w:r>
    </w:p>
    <w:p w14:paraId="680EDDD0" w14:textId="77777777" w:rsidR="00915580" w:rsidRDefault="00915580" w:rsidP="00A66A0C">
      <w:pPr>
        <w:spacing w:after="120"/>
        <w:rPr>
          <w:rStyle w:val="BodyTextChar1"/>
          <w:szCs w:val="20"/>
        </w:rPr>
      </w:pPr>
    </w:p>
    <w:tbl>
      <w:tblPr>
        <w:tblStyle w:val="ATOTable"/>
        <w:tblW w:w="9498" w:type="dxa"/>
        <w:tblInd w:w="170" w:type="dxa"/>
        <w:tblLayout w:type="fixed"/>
        <w:tblLook w:val="04A0" w:firstRow="1" w:lastRow="0" w:firstColumn="1" w:lastColumn="0" w:noHBand="0" w:noVBand="1"/>
      </w:tblPr>
      <w:tblGrid>
        <w:gridCol w:w="1701"/>
        <w:gridCol w:w="2268"/>
        <w:gridCol w:w="2694"/>
        <w:gridCol w:w="708"/>
        <w:gridCol w:w="709"/>
        <w:gridCol w:w="709"/>
        <w:gridCol w:w="709"/>
      </w:tblGrid>
      <w:tr w:rsidR="00A66A0C" w:rsidRPr="00014833" w14:paraId="23F6C561" w14:textId="77777777" w:rsidTr="001866D4">
        <w:trPr>
          <w:cantSplit/>
          <w:trHeight w:val="1557"/>
          <w:tblHeader/>
        </w:trPr>
        <w:tc>
          <w:tcPr>
            <w:tcW w:w="1701" w:type="dxa"/>
            <w:shd w:val="clear" w:color="auto" w:fill="C6D9F1" w:themeFill="text2" w:themeFillTint="33"/>
            <w:vAlign w:val="center"/>
          </w:tcPr>
          <w:p w14:paraId="27FF4BB0"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2268" w:type="dxa"/>
            <w:shd w:val="clear" w:color="auto" w:fill="C6D9F1" w:themeFill="text2" w:themeFillTint="33"/>
            <w:vAlign w:val="center"/>
          </w:tcPr>
          <w:p w14:paraId="0807799B"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2694" w:type="dxa"/>
            <w:shd w:val="clear" w:color="auto" w:fill="C6D9F1" w:themeFill="text2" w:themeFillTint="33"/>
            <w:vAlign w:val="center"/>
          </w:tcPr>
          <w:p w14:paraId="21D0DA8B"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645CD8EA"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58FA81B7"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1D4F3B39"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039FC936"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700D7D" w:rsidRPr="00014833" w14:paraId="76EC694C" w14:textId="77777777" w:rsidTr="001866D4">
        <w:trPr>
          <w:trHeight w:val="600"/>
        </w:trPr>
        <w:tc>
          <w:tcPr>
            <w:tcW w:w="1701" w:type="dxa"/>
            <w:vMerge w:val="restart"/>
            <w:hideMark/>
          </w:tcPr>
          <w:p w14:paraId="4CFEECE2" w14:textId="77777777" w:rsidR="00700D7D" w:rsidRPr="00584184" w:rsidRDefault="00700D7D" w:rsidP="00671D22">
            <w:pPr>
              <w:spacing w:before="0" w:after="0"/>
              <w:rPr>
                <w:rFonts w:cs="Arial"/>
                <w:sz w:val="20"/>
                <w:szCs w:val="20"/>
              </w:rPr>
            </w:pPr>
            <w:r w:rsidRPr="00700D7D">
              <w:rPr>
                <w:rStyle w:val="BodyTextChar1"/>
                <w:sz w:val="20"/>
                <w:szCs w:val="20"/>
              </w:rPr>
              <w:t>SMSFAR</w:t>
            </w:r>
          </w:p>
        </w:tc>
        <w:tc>
          <w:tcPr>
            <w:tcW w:w="2268" w:type="dxa"/>
          </w:tcPr>
          <w:p w14:paraId="6AD2815A" w14:textId="77777777" w:rsidR="00700D7D" w:rsidRPr="00584184" w:rsidRDefault="00700D7D" w:rsidP="00671D22">
            <w:pPr>
              <w:spacing w:before="0" w:after="0"/>
              <w:rPr>
                <w:rFonts w:cs="Arial"/>
                <w:i/>
                <w:sz w:val="20"/>
                <w:szCs w:val="20"/>
              </w:rPr>
            </w:pPr>
            <w:r w:rsidRPr="00700D7D">
              <w:rPr>
                <w:rStyle w:val="BodyTextChar1"/>
                <w:sz w:val="20"/>
                <w:szCs w:val="20"/>
              </w:rPr>
              <w:t>SMSFAR</w:t>
            </w:r>
            <w:r w:rsidRPr="00584184">
              <w:rPr>
                <w:rFonts w:cs="Arial"/>
                <w:i/>
                <w:sz w:val="20"/>
                <w:szCs w:val="20"/>
              </w:rPr>
              <w:t>.Prelodge</w:t>
            </w:r>
          </w:p>
        </w:tc>
        <w:tc>
          <w:tcPr>
            <w:tcW w:w="2694" w:type="dxa"/>
          </w:tcPr>
          <w:p w14:paraId="28B93F13" w14:textId="77777777" w:rsidR="00700D7D" w:rsidRPr="00584184" w:rsidRDefault="00700D7D" w:rsidP="00671D22">
            <w:pPr>
              <w:spacing w:before="0" w:after="0"/>
              <w:rPr>
                <w:rFonts w:cs="Arial"/>
                <w:sz w:val="20"/>
                <w:szCs w:val="20"/>
              </w:rPr>
            </w:pPr>
            <w:r w:rsidRPr="00584184">
              <w:rPr>
                <w:rFonts w:cs="Arial"/>
                <w:sz w:val="20"/>
                <w:szCs w:val="20"/>
              </w:rPr>
              <w:t xml:space="preserve">Validate data inputted into </w:t>
            </w:r>
            <w:r w:rsidRPr="00700D7D">
              <w:rPr>
                <w:rStyle w:val="BodyTextChar1"/>
                <w:sz w:val="20"/>
                <w:szCs w:val="20"/>
              </w:rPr>
              <w:t>SMSFAR</w:t>
            </w:r>
            <w:r w:rsidRPr="00584184">
              <w:rPr>
                <w:rFonts w:cs="Arial"/>
                <w:sz w:val="20"/>
                <w:szCs w:val="20"/>
              </w:rPr>
              <w:t xml:space="preserve"> before submitting for processing</w:t>
            </w:r>
          </w:p>
        </w:tc>
        <w:tc>
          <w:tcPr>
            <w:tcW w:w="708" w:type="dxa"/>
            <w:vAlign w:val="center"/>
          </w:tcPr>
          <w:p w14:paraId="65B58C99" w14:textId="77777777" w:rsidR="00700D7D" w:rsidRPr="00584184" w:rsidRDefault="00700D7D" w:rsidP="00671D22">
            <w:pPr>
              <w:pStyle w:val="ReportDescription"/>
              <w:rPr>
                <w:rFonts w:cs="Arial"/>
                <w:szCs w:val="32"/>
              </w:rPr>
            </w:pPr>
            <w:r w:rsidRPr="00584184">
              <w:rPr>
                <w:rFonts w:cs="Arial"/>
                <w:szCs w:val="32"/>
              </w:rPr>
              <w:sym w:font="Wingdings" w:char="F0FC"/>
            </w:r>
          </w:p>
        </w:tc>
        <w:tc>
          <w:tcPr>
            <w:tcW w:w="709" w:type="dxa"/>
          </w:tcPr>
          <w:p w14:paraId="00DFBB7A" w14:textId="77777777" w:rsidR="00700D7D" w:rsidRPr="00B24A4E" w:rsidRDefault="00700D7D" w:rsidP="00671D22">
            <w:pPr>
              <w:rPr>
                <w:rFonts w:cs="Arial"/>
                <w:sz w:val="20"/>
                <w:szCs w:val="20"/>
              </w:rPr>
            </w:pPr>
          </w:p>
        </w:tc>
        <w:tc>
          <w:tcPr>
            <w:tcW w:w="709" w:type="dxa"/>
          </w:tcPr>
          <w:p w14:paraId="2227EE65" w14:textId="77777777"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14:paraId="70F15F92" w14:textId="77777777"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14:paraId="2102FA50" w14:textId="77777777" w:rsidTr="001866D4">
        <w:trPr>
          <w:trHeight w:val="600"/>
        </w:trPr>
        <w:tc>
          <w:tcPr>
            <w:tcW w:w="1701" w:type="dxa"/>
            <w:vMerge/>
          </w:tcPr>
          <w:p w14:paraId="66907793" w14:textId="77777777" w:rsidR="00700D7D" w:rsidRPr="00584184" w:rsidRDefault="00700D7D" w:rsidP="00671D22">
            <w:pPr>
              <w:rPr>
                <w:rFonts w:cs="Arial"/>
                <w:sz w:val="20"/>
                <w:szCs w:val="20"/>
              </w:rPr>
            </w:pPr>
          </w:p>
        </w:tc>
        <w:tc>
          <w:tcPr>
            <w:tcW w:w="2268" w:type="dxa"/>
          </w:tcPr>
          <w:p w14:paraId="4F48430E" w14:textId="77777777" w:rsidR="00700D7D" w:rsidRPr="00584184" w:rsidRDefault="00700D7D" w:rsidP="00671D22">
            <w:pPr>
              <w:rPr>
                <w:rFonts w:cs="Arial"/>
                <w:i/>
                <w:sz w:val="20"/>
                <w:szCs w:val="20"/>
              </w:rPr>
            </w:pPr>
            <w:r w:rsidRPr="00700D7D">
              <w:rPr>
                <w:rStyle w:val="BodyTextChar1"/>
                <w:sz w:val="20"/>
                <w:szCs w:val="20"/>
              </w:rPr>
              <w:t>SMSFAR</w:t>
            </w:r>
            <w:r w:rsidRPr="00584184">
              <w:rPr>
                <w:rFonts w:cs="Arial"/>
                <w:i/>
                <w:sz w:val="20"/>
                <w:szCs w:val="20"/>
              </w:rPr>
              <w:t>.Lodge</w:t>
            </w:r>
          </w:p>
        </w:tc>
        <w:tc>
          <w:tcPr>
            <w:tcW w:w="2694" w:type="dxa"/>
          </w:tcPr>
          <w:p w14:paraId="22414535" w14:textId="77777777"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w:t>
            </w:r>
            <w:r w:rsidRPr="00584184">
              <w:rPr>
                <w:rFonts w:cs="Arial"/>
                <w:sz w:val="20"/>
                <w:szCs w:val="20"/>
              </w:rPr>
              <w:t xml:space="preserve"> for processing</w:t>
            </w:r>
          </w:p>
        </w:tc>
        <w:tc>
          <w:tcPr>
            <w:tcW w:w="708" w:type="dxa"/>
            <w:vAlign w:val="center"/>
          </w:tcPr>
          <w:p w14:paraId="3D08C2EB" w14:textId="77777777"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14:paraId="142A81D9" w14:textId="77777777" w:rsidR="00700D7D" w:rsidRPr="00B24A4E" w:rsidRDefault="00700D7D" w:rsidP="00671D22">
            <w:pPr>
              <w:rPr>
                <w:rFonts w:cs="Arial"/>
                <w:sz w:val="20"/>
                <w:szCs w:val="20"/>
              </w:rPr>
            </w:pPr>
          </w:p>
        </w:tc>
        <w:tc>
          <w:tcPr>
            <w:tcW w:w="709" w:type="dxa"/>
          </w:tcPr>
          <w:p w14:paraId="3DC41875" w14:textId="77777777" w:rsidR="00700D7D" w:rsidRPr="009945F7" w:rsidRDefault="00700D7D" w:rsidP="00671D22">
            <w:pPr>
              <w:rPr>
                <w:rFonts w:cs="Arial"/>
                <w:sz w:val="20"/>
                <w:szCs w:val="20"/>
              </w:rPr>
            </w:pPr>
            <w:r w:rsidRPr="009945F7">
              <w:rPr>
                <w:rFonts w:cs="Arial"/>
                <w:sz w:val="32"/>
                <w:szCs w:val="32"/>
              </w:rPr>
              <w:sym w:font="Wingdings" w:char="F0FC"/>
            </w:r>
          </w:p>
        </w:tc>
        <w:tc>
          <w:tcPr>
            <w:tcW w:w="709" w:type="dxa"/>
          </w:tcPr>
          <w:p w14:paraId="26EB03F1" w14:textId="77777777" w:rsidR="00700D7D" w:rsidRPr="009945F7" w:rsidRDefault="00700D7D" w:rsidP="00671D22">
            <w:pPr>
              <w:rPr>
                <w:rFonts w:cs="Arial"/>
                <w:sz w:val="20"/>
                <w:szCs w:val="20"/>
              </w:rPr>
            </w:pPr>
            <w:r w:rsidRPr="009945F7">
              <w:rPr>
                <w:rFonts w:cs="Arial"/>
                <w:sz w:val="32"/>
                <w:szCs w:val="32"/>
              </w:rPr>
              <w:sym w:font="Wingdings" w:char="F0FC"/>
            </w:r>
          </w:p>
        </w:tc>
      </w:tr>
      <w:tr w:rsidR="00700D7D" w:rsidRPr="00014833" w14:paraId="63EAEFB3" w14:textId="77777777" w:rsidTr="001866D4">
        <w:trPr>
          <w:trHeight w:val="600"/>
        </w:trPr>
        <w:tc>
          <w:tcPr>
            <w:tcW w:w="1701" w:type="dxa"/>
          </w:tcPr>
          <w:p w14:paraId="0A4986AA" w14:textId="77777777" w:rsidR="00700D7D" w:rsidRPr="00584184" w:rsidRDefault="00700D7D" w:rsidP="00671D22">
            <w:pPr>
              <w:rPr>
                <w:rFonts w:cs="Arial"/>
                <w:sz w:val="20"/>
                <w:szCs w:val="20"/>
              </w:rPr>
            </w:pPr>
            <w:r w:rsidRPr="00584184">
              <w:rPr>
                <w:rFonts w:cs="Arial"/>
                <w:sz w:val="20"/>
                <w:szCs w:val="20"/>
              </w:rPr>
              <w:t>ELStagFormat</w:t>
            </w:r>
          </w:p>
        </w:tc>
        <w:tc>
          <w:tcPr>
            <w:tcW w:w="2268" w:type="dxa"/>
          </w:tcPr>
          <w:p w14:paraId="41BFD2B1" w14:textId="77777777" w:rsidR="00700D7D" w:rsidRPr="00584184" w:rsidRDefault="00700D7D" w:rsidP="00671D22">
            <w:pPr>
              <w:rPr>
                <w:rFonts w:cs="Arial"/>
                <w:i/>
                <w:sz w:val="20"/>
                <w:szCs w:val="20"/>
              </w:rPr>
            </w:pPr>
            <w:r w:rsidRPr="00584184">
              <w:rPr>
                <w:rFonts w:cs="Arial"/>
                <w:i/>
                <w:sz w:val="20"/>
                <w:szCs w:val="20"/>
              </w:rPr>
              <w:t>ELStagFormat.Lodge</w:t>
            </w:r>
          </w:p>
        </w:tc>
        <w:tc>
          <w:tcPr>
            <w:tcW w:w="2694" w:type="dxa"/>
          </w:tcPr>
          <w:p w14:paraId="7702AD35" w14:textId="77777777" w:rsidR="00700D7D" w:rsidRPr="00584184" w:rsidRDefault="00700D7D" w:rsidP="00671D22">
            <w:pPr>
              <w:rPr>
                <w:rFonts w:cs="Arial"/>
                <w:sz w:val="20"/>
                <w:szCs w:val="20"/>
              </w:rPr>
            </w:pPr>
            <w:r w:rsidRPr="00584184">
              <w:rPr>
                <w:rFonts w:cs="Arial"/>
                <w:sz w:val="20"/>
                <w:szCs w:val="20"/>
              </w:rPr>
              <w:t xml:space="preserve">Lodge </w:t>
            </w:r>
            <w:r w:rsidRPr="00700D7D">
              <w:rPr>
                <w:rStyle w:val="BodyTextChar1"/>
                <w:sz w:val="20"/>
                <w:szCs w:val="20"/>
              </w:rPr>
              <w:t>SMSFAR for prior years as a SBR message using ELS tag format</w:t>
            </w:r>
          </w:p>
        </w:tc>
        <w:tc>
          <w:tcPr>
            <w:tcW w:w="708" w:type="dxa"/>
            <w:vAlign w:val="center"/>
          </w:tcPr>
          <w:p w14:paraId="3CBBD373" w14:textId="77777777" w:rsidR="00700D7D" w:rsidRPr="00584184" w:rsidRDefault="00700D7D" w:rsidP="00671D22">
            <w:pPr>
              <w:rPr>
                <w:rFonts w:cs="Arial"/>
                <w:sz w:val="32"/>
                <w:szCs w:val="32"/>
              </w:rPr>
            </w:pPr>
            <w:r w:rsidRPr="00584184">
              <w:rPr>
                <w:rFonts w:cs="Arial"/>
                <w:sz w:val="32"/>
                <w:szCs w:val="32"/>
              </w:rPr>
              <w:sym w:font="Wingdings" w:char="F0FC"/>
            </w:r>
          </w:p>
        </w:tc>
        <w:tc>
          <w:tcPr>
            <w:tcW w:w="709" w:type="dxa"/>
          </w:tcPr>
          <w:p w14:paraId="0CABACBC" w14:textId="77777777" w:rsidR="00700D7D" w:rsidRPr="00B24A4E" w:rsidRDefault="00700D7D" w:rsidP="00671D22">
            <w:pPr>
              <w:rPr>
                <w:rFonts w:cs="Arial"/>
                <w:sz w:val="20"/>
                <w:szCs w:val="20"/>
              </w:rPr>
            </w:pPr>
          </w:p>
        </w:tc>
        <w:tc>
          <w:tcPr>
            <w:tcW w:w="709" w:type="dxa"/>
          </w:tcPr>
          <w:p w14:paraId="310E667D" w14:textId="77777777" w:rsidR="00700D7D" w:rsidRPr="00B24A4E" w:rsidRDefault="00700D7D" w:rsidP="00671D22">
            <w:pPr>
              <w:rPr>
                <w:rFonts w:cs="Arial"/>
                <w:sz w:val="20"/>
                <w:szCs w:val="20"/>
              </w:rPr>
            </w:pPr>
          </w:p>
        </w:tc>
        <w:tc>
          <w:tcPr>
            <w:tcW w:w="709" w:type="dxa"/>
          </w:tcPr>
          <w:p w14:paraId="107E9A1C" w14:textId="77777777" w:rsidR="00700D7D" w:rsidRPr="00B24A4E" w:rsidRDefault="00700D7D" w:rsidP="00671D22">
            <w:pPr>
              <w:rPr>
                <w:rFonts w:cs="Arial"/>
                <w:sz w:val="20"/>
                <w:szCs w:val="20"/>
              </w:rPr>
            </w:pPr>
          </w:p>
        </w:tc>
      </w:tr>
    </w:tbl>
    <w:p w14:paraId="46FA8376" w14:textId="77777777" w:rsidR="00A66A0C" w:rsidRDefault="00A66A0C" w:rsidP="00A66A0C">
      <w:pPr>
        <w:pStyle w:val="Caption"/>
        <w:jc w:val="center"/>
      </w:pPr>
      <w:bookmarkStart w:id="129" w:name="_Toc411518747"/>
      <w:bookmarkStart w:id="130" w:name="_Toc54181386"/>
      <w:r>
        <w:t xml:space="preserve">Table </w:t>
      </w:r>
      <w:r w:rsidR="00EA4B40">
        <w:fldChar w:fldCharType="begin"/>
      </w:r>
      <w:r w:rsidR="00EA4B40">
        <w:instrText xml:space="preserve"> SEQ Table \* ARABIC </w:instrText>
      </w:r>
      <w:r w:rsidR="00EA4B40">
        <w:fldChar w:fldCharType="separate"/>
      </w:r>
      <w:r w:rsidR="00C46EEA">
        <w:rPr>
          <w:noProof/>
        </w:rPr>
        <w:t>4</w:t>
      </w:r>
      <w:r w:rsidR="00EA4B40">
        <w:rPr>
          <w:noProof/>
        </w:rPr>
        <w:fldChar w:fldCharType="end"/>
      </w:r>
      <w:r>
        <w:t xml:space="preserve">: </w:t>
      </w:r>
      <w:bookmarkEnd w:id="129"/>
      <w:r w:rsidR="00700D7D">
        <w:t>SMSFAR Permissions</w:t>
      </w:r>
      <w:bookmarkEnd w:id="130"/>
    </w:p>
    <w:p w14:paraId="53F92D45" w14:textId="77777777" w:rsidR="00915580" w:rsidRDefault="00915580" w:rsidP="00A66A0C"/>
    <w:p w14:paraId="7F3C8E34" w14:textId="51286C08" w:rsidR="00D337F9" w:rsidRDefault="00D337F9" w:rsidP="00A66A0C"/>
    <w:p w14:paraId="6ABFB2EE" w14:textId="141B3900" w:rsidR="00A66A0C" w:rsidRPr="00014833" w:rsidRDefault="00A66A0C" w:rsidP="00A66A0C">
      <w:pPr>
        <w:spacing w:after="120"/>
        <w:rPr>
          <w:sz w:val="20"/>
          <w:szCs w:val="22"/>
        </w:rPr>
      </w:pPr>
      <w:r>
        <w:rPr>
          <w:sz w:val="20"/>
          <w:szCs w:val="22"/>
        </w:rPr>
        <w:t>A user must be assigned the appropriate authorisation permissions to use the</w:t>
      </w:r>
      <w:r w:rsidRPr="00A34347">
        <w:rPr>
          <w:sz w:val="20"/>
          <w:szCs w:val="20"/>
        </w:rPr>
        <w:t xml:space="preserve"> </w:t>
      </w:r>
      <w:r w:rsidR="00700D7D" w:rsidRPr="00A34347">
        <w:rPr>
          <w:sz w:val="20"/>
          <w:szCs w:val="20"/>
        </w:rPr>
        <w:t>SMSFAR</w:t>
      </w:r>
      <w:r w:rsidR="00700D7D" w:rsidDel="00700D7D">
        <w:rPr>
          <w:sz w:val="20"/>
          <w:szCs w:val="22"/>
        </w:rPr>
        <w:t xml:space="preserve"> </w:t>
      </w:r>
      <w:r>
        <w:rPr>
          <w:sz w:val="20"/>
          <w:szCs w:val="22"/>
        </w:rPr>
        <w:t xml:space="preserve">service. </w:t>
      </w:r>
      <w:r w:rsidRPr="00014833">
        <w:rPr>
          <w:sz w:val="20"/>
          <w:szCs w:val="22"/>
        </w:rPr>
        <w:t>The below table references the SBR service to the relevant permission in Access Manager:</w:t>
      </w:r>
    </w:p>
    <w:tbl>
      <w:tblPr>
        <w:tblStyle w:val="ATOTable"/>
        <w:tblW w:w="9498" w:type="dxa"/>
        <w:tblInd w:w="170" w:type="dxa"/>
        <w:tblLook w:val="04A0" w:firstRow="1" w:lastRow="0" w:firstColumn="1" w:lastColumn="0" w:noHBand="0" w:noVBand="1"/>
      </w:tblPr>
      <w:tblGrid>
        <w:gridCol w:w="4587"/>
        <w:gridCol w:w="4911"/>
      </w:tblGrid>
      <w:tr w:rsidR="00A66A0C" w:rsidRPr="00014833" w14:paraId="633BE909" w14:textId="77777777" w:rsidTr="009915EF">
        <w:trPr>
          <w:tblHeader/>
        </w:trPr>
        <w:tc>
          <w:tcPr>
            <w:tcW w:w="4587" w:type="dxa"/>
            <w:shd w:val="clear" w:color="auto" w:fill="C6D9F1" w:themeFill="text2" w:themeFillTint="33"/>
          </w:tcPr>
          <w:p w14:paraId="574034AB" w14:textId="77777777"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14:paraId="553166A7" w14:textId="77777777" w:rsidR="00A66A0C" w:rsidRPr="005C58E8" w:rsidRDefault="00A66A0C" w:rsidP="00671D22">
            <w:pPr>
              <w:rPr>
                <w:b/>
                <w:sz w:val="20"/>
                <w:szCs w:val="22"/>
              </w:rPr>
            </w:pPr>
            <w:r w:rsidRPr="005C58E8">
              <w:rPr>
                <w:b/>
                <w:sz w:val="20"/>
                <w:szCs w:val="22"/>
              </w:rPr>
              <w:t>Access Manager Permission</w:t>
            </w:r>
          </w:p>
        </w:tc>
      </w:tr>
      <w:tr w:rsidR="00A66A0C" w:rsidRPr="00014833" w14:paraId="1E9AEAE5" w14:textId="77777777" w:rsidTr="00671D22">
        <w:tc>
          <w:tcPr>
            <w:tcW w:w="4587" w:type="dxa"/>
          </w:tcPr>
          <w:p w14:paraId="0C67EC58" w14:textId="77777777" w:rsidR="00A66A0C" w:rsidRPr="00440DD5" w:rsidRDefault="00700D7D" w:rsidP="00596F0B">
            <w:pPr>
              <w:pStyle w:val="Content"/>
              <w:spacing w:before="60" w:after="60"/>
            </w:pPr>
            <w:r>
              <w:t>SMSFAR</w:t>
            </w:r>
          </w:p>
        </w:tc>
        <w:tc>
          <w:tcPr>
            <w:tcW w:w="4911" w:type="dxa"/>
          </w:tcPr>
          <w:p w14:paraId="09E298EE" w14:textId="77777777" w:rsidR="00A66A0C" w:rsidRPr="009945F7" w:rsidRDefault="00700D7D" w:rsidP="00671D22">
            <w:pPr>
              <w:rPr>
                <w:sz w:val="20"/>
                <w:szCs w:val="22"/>
              </w:rPr>
            </w:pPr>
            <w:r w:rsidRPr="009945F7">
              <w:rPr>
                <w:sz w:val="20"/>
                <w:szCs w:val="22"/>
              </w:rPr>
              <w:t>Self-managed superannuation fund annual return</w:t>
            </w:r>
          </w:p>
          <w:p w14:paraId="55119556" w14:textId="77777777" w:rsidR="00A66A0C" w:rsidRPr="00B24A4E" w:rsidRDefault="00A66A0C" w:rsidP="00C326B5">
            <w:pPr>
              <w:pStyle w:val="ListParagraph"/>
              <w:numPr>
                <w:ilvl w:val="0"/>
                <w:numId w:val="18"/>
              </w:numPr>
              <w:rPr>
                <w:rFonts w:ascii="Arial" w:hAnsi="Arial" w:cs="Arial"/>
                <w:sz w:val="20"/>
                <w:szCs w:val="22"/>
              </w:rPr>
            </w:pPr>
            <w:r w:rsidRPr="009945F7">
              <w:rPr>
                <w:rFonts w:ascii="Arial" w:hAnsi="Arial" w:cs="Arial"/>
                <w:i/>
                <w:sz w:val="20"/>
                <w:szCs w:val="22"/>
              </w:rPr>
              <w:t xml:space="preserve">Lodge </w:t>
            </w:r>
            <w:r w:rsidRPr="009945F7">
              <w:rPr>
                <w:rFonts w:ascii="Arial" w:hAnsi="Arial" w:cs="Arial"/>
                <w:sz w:val="20"/>
                <w:szCs w:val="22"/>
              </w:rPr>
              <w:t>check box</w:t>
            </w:r>
          </w:p>
        </w:tc>
      </w:tr>
    </w:tbl>
    <w:p w14:paraId="38322730" w14:textId="77777777" w:rsidR="00596F0B" w:rsidRDefault="00A66A0C" w:rsidP="009945F7">
      <w:pPr>
        <w:pStyle w:val="Caption"/>
        <w:jc w:val="center"/>
      </w:pPr>
      <w:bookmarkStart w:id="131" w:name="_Toc411518748"/>
      <w:bookmarkStart w:id="132" w:name="_Toc54181387"/>
      <w:r>
        <w:t xml:space="preserve">Table </w:t>
      </w:r>
      <w:r w:rsidR="00EA4B40">
        <w:fldChar w:fldCharType="begin"/>
      </w:r>
      <w:r w:rsidR="00EA4B40">
        <w:instrText xml:space="preserve"> SEQ Table \* ARABIC </w:instrText>
      </w:r>
      <w:r w:rsidR="00EA4B40">
        <w:fldChar w:fldCharType="separate"/>
      </w:r>
      <w:r w:rsidR="00C46EEA">
        <w:rPr>
          <w:noProof/>
        </w:rPr>
        <w:t>5</w:t>
      </w:r>
      <w:r w:rsidR="00EA4B40">
        <w:rPr>
          <w:noProof/>
        </w:rPr>
        <w:fldChar w:fldCharType="end"/>
      </w:r>
      <w:r>
        <w:t>: Access Manager Permissions</w:t>
      </w:r>
      <w:bookmarkEnd w:id="131"/>
      <w:bookmarkEnd w:id="132"/>
    </w:p>
    <w:p w14:paraId="771627AA" w14:textId="77777777" w:rsidR="001B3690" w:rsidRDefault="004F3600" w:rsidP="00920D02">
      <w:pPr>
        <w:pStyle w:val="Head1"/>
      </w:pPr>
      <w:bookmarkStart w:id="133" w:name="_Toc54181729"/>
      <w:r>
        <w:lastRenderedPageBreak/>
        <w:t>Constraints</w:t>
      </w:r>
      <w:r w:rsidR="00583359">
        <w:t xml:space="preserve"> and Known Issues</w:t>
      </w:r>
      <w:bookmarkEnd w:id="133"/>
    </w:p>
    <w:p w14:paraId="27FC8CAF" w14:textId="34E1802F" w:rsidR="007F7489" w:rsidRDefault="00851D6E" w:rsidP="00D520A8">
      <w:pPr>
        <w:pStyle w:val="Head2"/>
        <w:numPr>
          <w:ilvl w:val="1"/>
          <w:numId w:val="7"/>
        </w:numPr>
      </w:pPr>
      <w:bookmarkStart w:id="134" w:name="_Toc405989462"/>
      <w:bookmarkStart w:id="135" w:name="_Toc405989510"/>
      <w:bookmarkStart w:id="136" w:name="_Toc405993411"/>
      <w:bookmarkStart w:id="137" w:name="_Toc405995098"/>
      <w:bookmarkStart w:id="138" w:name="_Toc405995243"/>
      <w:bookmarkStart w:id="139" w:name="_Toc405996906"/>
      <w:bookmarkStart w:id="140" w:name="_Toc405989463"/>
      <w:bookmarkStart w:id="141" w:name="_Toc405989511"/>
      <w:bookmarkStart w:id="142" w:name="_Toc405993412"/>
      <w:bookmarkStart w:id="143" w:name="_Toc405995099"/>
      <w:bookmarkStart w:id="144" w:name="_Toc405995244"/>
      <w:bookmarkStart w:id="145" w:name="_Toc405996907"/>
      <w:bookmarkStart w:id="146" w:name="_Toc405989464"/>
      <w:bookmarkStart w:id="147" w:name="_Toc405989512"/>
      <w:bookmarkStart w:id="148" w:name="_Toc405993413"/>
      <w:bookmarkStart w:id="149" w:name="_Toc405995100"/>
      <w:bookmarkStart w:id="150" w:name="_Toc405995245"/>
      <w:bookmarkStart w:id="151" w:name="_Toc405996908"/>
      <w:bookmarkStart w:id="152" w:name="_Toc405989465"/>
      <w:bookmarkStart w:id="153" w:name="_Toc405989513"/>
      <w:bookmarkStart w:id="154" w:name="_Toc405993414"/>
      <w:bookmarkStart w:id="155" w:name="_Toc405995101"/>
      <w:bookmarkStart w:id="156" w:name="_Toc405995246"/>
      <w:bookmarkStart w:id="157" w:name="_Toc405996909"/>
      <w:bookmarkStart w:id="158" w:name="_Toc54181730"/>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C</w:t>
      </w:r>
      <w:r w:rsidR="006720FE">
        <w:t>o</w:t>
      </w:r>
      <w:r>
        <w:t xml:space="preserve">nstraints </w:t>
      </w:r>
      <w:r w:rsidR="00583359">
        <w:t>When</w:t>
      </w:r>
      <w:r w:rsidR="00B536B4">
        <w:t xml:space="preserve"> </w:t>
      </w:r>
      <w:r w:rsidR="00210B7C">
        <w:t>U</w:t>
      </w:r>
      <w:r w:rsidR="00B536B4">
        <w:t>sing This Service</w:t>
      </w:r>
      <w:bookmarkEnd w:id="158"/>
    </w:p>
    <w:p w14:paraId="1EADED05" w14:textId="77777777" w:rsidR="00F373D4" w:rsidRPr="00806054" w:rsidRDefault="00DA0E7F" w:rsidP="00F373D4">
      <w:pPr>
        <w:spacing w:after="120"/>
        <w:rPr>
          <w:sz w:val="20"/>
        </w:rPr>
      </w:pPr>
      <w:r>
        <w:rPr>
          <w:sz w:val="20"/>
        </w:rPr>
        <w:t>Not applicable.</w:t>
      </w:r>
    </w:p>
    <w:p w14:paraId="116A8B52" w14:textId="77777777" w:rsidR="00F373D4" w:rsidRPr="00F373D4" w:rsidRDefault="00F373D4" w:rsidP="00584184"/>
    <w:p w14:paraId="3F6F8C99" w14:textId="05C289E1" w:rsidR="00583359" w:rsidRDefault="00B13289" w:rsidP="00D520A8">
      <w:pPr>
        <w:pStyle w:val="Head2"/>
        <w:numPr>
          <w:ilvl w:val="1"/>
          <w:numId w:val="7"/>
        </w:numPr>
      </w:pPr>
      <w:bookmarkStart w:id="159" w:name="_Toc410142405"/>
      <w:bookmarkStart w:id="160" w:name="_Toc54181731"/>
      <w:bookmarkEnd w:id="159"/>
      <w:r>
        <w:t>usage restrictions</w:t>
      </w:r>
      <w:bookmarkEnd w:id="160"/>
    </w:p>
    <w:p w14:paraId="3571B22F" w14:textId="5C79C49A" w:rsidR="00B13289" w:rsidRDefault="00D34A02" w:rsidP="00B13289">
      <w:pPr>
        <w:rPr>
          <w:rFonts w:cs="Arial"/>
          <w:sz w:val="20"/>
          <w:szCs w:val="20"/>
        </w:rPr>
      </w:pPr>
      <w:r>
        <w:rPr>
          <w:sz w:val="20"/>
        </w:rPr>
        <w:t>D</w:t>
      </w:r>
      <w:r w:rsidR="00B13289">
        <w:rPr>
          <w:rFonts w:cs="Arial"/>
          <w:sz w:val="20"/>
          <w:szCs w:val="20"/>
        </w:rPr>
        <w:t>igital service providers (DSPs) should be aware of the usage restrictions, which are described within the Reasonable Use policy. The ATO actively monitors the use of services and will notify DSPs that contravene this policy. Continued breaches may result in de-whitelisting.</w:t>
      </w:r>
    </w:p>
    <w:p w14:paraId="57ECB432" w14:textId="2EC9BACE" w:rsidR="003A6397" w:rsidRDefault="003A6397" w:rsidP="00B13289">
      <w:pPr>
        <w:rPr>
          <w:rFonts w:cs="Arial"/>
          <w:sz w:val="20"/>
          <w:szCs w:val="20"/>
        </w:rPr>
      </w:pPr>
    </w:p>
    <w:p w14:paraId="675E4868" w14:textId="77777777" w:rsidR="003A6397" w:rsidRDefault="00EA4B40" w:rsidP="003A6397">
      <w:hyperlink r:id="rId24" w:anchor="Reasonableuse" w:history="1">
        <w:r w:rsidR="003A6397" w:rsidRPr="00A01653">
          <w:rPr>
            <w:rStyle w:val="Hyperlink"/>
            <w:sz w:val="20"/>
            <w:szCs w:val="20"/>
          </w:rPr>
          <w:t>For more information, refer to the Reasonable Use policy.</w:t>
        </w:r>
      </w:hyperlink>
    </w:p>
    <w:p w14:paraId="5820E990" w14:textId="46781E56" w:rsidR="00B13289" w:rsidRPr="00F00397" w:rsidRDefault="00B13289" w:rsidP="00F00397">
      <w:pPr>
        <w:rPr>
          <w:rFonts w:cs="Arial"/>
          <w:sz w:val="20"/>
          <w:szCs w:val="20"/>
        </w:rPr>
      </w:pPr>
    </w:p>
    <w:p w14:paraId="01AD0C90" w14:textId="77777777" w:rsidR="00B13289" w:rsidRDefault="00B13289" w:rsidP="00B13289">
      <w:pPr>
        <w:pStyle w:val="Head2"/>
        <w:numPr>
          <w:ilvl w:val="1"/>
          <w:numId w:val="7"/>
        </w:numPr>
      </w:pPr>
      <w:bookmarkStart w:id="161" w:name="_Toc54181732"/>
      <w:r>
        <w:t>Known Issues</w:t>
      </w:r>
      <w:bookmarkEnd w:id="161"/>
    </w:p>
    <w:p w14:paraId="66C79C38" w14:textId="77777777" w:rsidR="00B13289" w:rsidRPr="00806054" w:rsidRDefault="00B13289" w:rsidP="00B13289">
      <w:pPr>
        <w:spacing w:after="120"/>
        <w:rPr>
          <w:sz w:val="20"/>
        </w:rPr>
      </w:pPr>
      <w:r>
        <w:rPr>
          <w:sz w:val="20"/>
        </w:rPr>
        <w:t>Not applicable.</w:t>
      </w:r>
    </w:p>
    <w:p w14:paraId="12C0FB1F" w14:textId="77777777" w:rsidR="00B13289" w:rsidRPr="00806054" w:rsidRDefault="00B13289" w:rsidP="00F373D4">
      <w:pPr>
        <w:spacing w:after="120"/>
        <w:rPr>
          <w:sz w:val="20"/>
        </w:rPr>
      </w:pPr>
    </w:p>
    <w:p w14:paraId="106E9886" w14:textId="77777777" w:rsidR="00E95114" w:rsidRPr="00510750" w:rsidRDefault="006720FE" w:rsidP="00920D02">
      <w:pPr>
        <w:pStyle w:val="Head1"/>
      </w:pPr>
      <w:bookmarkStart w:id="162" w:name="_Toc54181733"/>
      <w:r w:rsidRPr="00510750">
        <w:lastRenderedPageBreak/>
        <w:t>Taxpayer Declarations</w:t>
      </w:r>
      <w:bookmarkEnd w:id="162"/>
      <w:r w:rsidR="00E95114" w:rsidRPr="00510750">
        <w:t xml:space="preserve"> </w:t>
      </w:r>
    </w:p>
    <w:p w14:paraId="7DDE125C" w14:textId="77777777" w:rsidR="00153FF6" w:rsidRPr="00510750" w:rsidRDefault="00153FF6" w:rsidP="001153BF">
      <w:pPr>
        <w:spacing w:after="120"/>
        <w:rPr>
          <w:rFonts w:cs="Arial"/>
          <w:color w:val="000000"/>
          <w:sz w:val="20"/>
          <w:szCs w:val="22"/>
        </w:rPr>
      </w:pPr>
    </w:p>
    <w:p w14:paraId="4B7350C7"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21EEB7CA"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5E0D7D86" w14:textId="77777777"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14:paraId="3379EFFC" w14:textId="77777777" w:rsidTr="00BA4DA2">
        <w:trPr>
          <w:trHeight w:val="320"/>
        </w:trPr>
        <w:tc>
          <w:tcPr>
            <w:tcW w:w="769" w:type="dxa"/>
          </w:tcPr>
          <w:p w14:paraId="46955FE9" w14:textId="77777777" w:rsidR="00087930" w:rsidRDefault="00087930" w:rsidP="00BA4DA2">
            <w:pPr>
              <w:spacing w:before="60"/>
              <w:jc w:val="center"/>
            </w:pPr>
            <w:r>
              <w:rPr>
                <w:noProof/>
              </w:rPr>
              <w:drawing>
                <wp:inline distT="0" distB="0" distL="0" distR="0" wp14:anchorId="7780BDE3" wp14:editId="2101AC95">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6B8D4C80" w14:textId="301EA79F" w:rsidR="00087930" w:rsidRPr="00510750" w:rsidRDefault="00087930" w:rsidP="00BA4DA2">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r w:rsidR="00A01C6A">
              <w:rPr>
                <w:sz w:val="20"/>
              </w:rPr>
              <w:t>.</w:t>
            </w:r>
          </w:p>
          <w:p w14:paraId="26BCC90E" w14:textId="77777777" w:rsidR="00087930" w:rsidRPr="003D65CE" w:rsidRDefault="00087930" w:rsidP="00BA4DA2">
            <w:pPr>
              <w:spacing w:before="60" w:after="60"/>
              <w:rPr>
                <w:szCs w:val="22"/>
              </w:rPr>
            </w:pPr>
          </w:p>
        </w:tc>
      </w:tr>
    </w:tbl>
    <w:p w14:paraId="67F85E7A" w14:textId="77777777" w:rsidR="00D91F1F" w:rsidRPr="002F0ECC" w:rsidRDefault="00D91F1F" w:rsidP="00D91F1F">
      <w:pPr>
        <w:spacing w:after="120"/>
        <w:rPr>
          <w:sz w:val="20"/>
          <w:szCs w:val="20"/>
        </w:rPr>
      </w:pPr>
      <w:r w:rsidRPr="002F0ECC">
        <w:rPr>
          <w:sz w:val="20"/>
          <w:szCs w:val="20"/>
        </w:rPr>
        <w:t xml:space="preserve">These declarations apply, not just for original lodgments, but when lodging amendments to </w:t>
      </w:r>
      <w:r w:rsidR="00F373D4">
        <w:rPr>
          <w:sz w:val="20"/>
          <w:szCs w:val="20"/>
        </w:rPr>
        <w:t>Self-managed Superannuation Fund Annual Return.</w:t>
      </w:r>
    </w:p>
    <w:p w14:paraId="21276FA1" w14:textId="0930B3A5" w:rsidR="007C44A9" w:rsidRDefault="00D91F1F" w:rsidP="00421F41">
      <w:pPr>
        <w:spacing w:after="120"/>
        <w:rPr>
          <w:sz w:val="20"/>
          <w:szCs w:val="20"/>
        </w:rPr>
      </w:pPr>
      <w:r>
        <w:rPr>
          <w:sz w:val="20"/>
          <w:szCs w:val="20"/>
        </w:rPr>
        <w:t xml:space="preserve">For information on the retention of declarations and frequently asked questions, refer to the </w:t>
      </w:r>
      <w:hyperlink r:id="rId25" w:history="1">
        <w:r w:rsidRPr="006B4DA1">
          <w:rPr>
            <w:rStyle w:val="Hyperlink"/>
            <w:noProof w:val="0"/>
            <w:sz w:val="20"/>
          </w:rPr>
          <w:t>ATO website</w:t>
        </w:r>
      </w:hyperlink>
      <w:r>
        <w:rPr>
          <w:sz w:val="20"/>
          <w:szCs w:val="20"/>
        </w:rPr>
        <w:t>.</w:t>
      </w:r>
      <w:r w:rsidR="00516F4C">
        <w:rPr>
          <w:rFonts w:cs="Arial"/>
          <w:color w:val="000000"/>
          <w:sz w:val="20"/>
          <w:szCs w:val="22"/>
        </w:rPr>
        <w:t xml:space="preserve">  </w:t>
      </w:r>
      <w:r w:rsidR="007C44A9">
        <w:rPr>
          <w:rFonts w:cs="Arial"/>
          <w:color w:val="000000"/>
          <w:sz w:val="20"/>
          <w:szCs w:val="22"/>
        </w:rPr>
        <w:t xml:space="preserve">Refer to Section 6 in the </w:t>
      </w:r>
      <w:r w:rsidR="007C44A9">
        <w:rPr>
          <w:sz w:val="20"/>
          <w:szCs w:val="20"/>
        </w:rPr>
        <w:t>Common Business Implementation and Taxpayer Declaration Guide for suggested wording.</w:t>
      </w:r>
      <w:r w:rsidR="007C44A9">
        <w:rPr>
          <w:rFonts w:cs="Arial"/>
          <w:color w:val="000000"/>
          <w:sz w:val="20"/>
          <w:szCs w:val="22"/>
        </w:rPr>
        <w:t xml:space="preserve"> </w:t>
      </w:r>
      <w:bookmarkStart w:id="163" w:name="_Toc411418811"/>
      <w:bookmarkStart w:id="164" w:name="_Toc411497117"/>
      <w:bookmarkStart w:id="165" w:name="_Toc411500343"/>
      <w:bookmarkStart w:id="166" w:name="_Toc411501272"/>
      <w:bookmarkStart w:id="167" w:name="_Toc411524701"/>
      <w:bookmarkStart w:id="168" w:name="_Toc411593609"/>
      <w:bookmarkStart w:id="169" w:name="_Toc411851234"/>
      <w:bookmarkStart w:id="170" w:name="_Toc411851285"/>
      <w:bookmarkStart w:id="171" w:name="_Toc412121258"/>
      <w:bookmarkStart w:id="172" w:name="_Toc412129823"/>
      <w:bookmarkStart w:id="173" w:name="_Toc411418813"/>
      <w:bookmarkEnd w:id="163"/>
      <w:bookmarkEnd w:id="164"/>
      <w:bookmarkEnd w:id="165"/>
      <w:bookmarkEnd w:id="166"/>
      <w:bookmarkEnd w:id="167"/>
      <w:bookmarkEnd w:id="168"/>
      <w:bookmarkEnd w:id="169"/>
      <w:bookmarkEnd w:id="170"/>
      <w:bookmarkEnd w:id="171"/>
      <w:bookmarkEnd w:id="172"/>
      <w:bookmarkEnd w:id="173"/>
    </w:p>
    <w:p w14:paraId="40976168" w14:textId="77777777" w:rsidR="007C44A9" w:rsidRDefault="007C44A9" w:rsidP="00D91F1F">
      <w:pPr>
        <w:spacing w:after="120"/>
        <w:rPr>
          <w:sz w:val="20"/>
          <w:szCs w:val="20"/>
        </w:rPr>
      </w:pPr>
    </w:p>
    <w:p w14:paraId="37FE05BD" w14:textId="31A2811F" w:rsidR="00DC64B6" w:rsidRDefault="00DC64B6" w:rsidP="00F00397">
      <w:pPr>
        <w:pStyle w:val="Head2"/>
        <w:numPr>
          <w:ilvl w:val="0"/>
          <w:numId w:val="0"/>
        </w:numPr>
        <w:ind w:left="851" w:hanging="851"/>
      </w:pPr>
    </w:p>
    <w:p w14:paraId="354B8C8A" w14:textId="77777777" w:rsidR="00E95114" w:rsidRPr="00510750" w:rsidRDefault="00E95114" w:rsidP="00785F2D">
      <w:pPr>
        <w:spacing w:after="120"/>
        <w:rPr>
          <w:sz w:val="20"/>
        </w:rPr>
      </w:pPr>
    </w:p>
    <w:p w14:paraId="2E5B61F3" w14:textId="50461F5A" w:rsidR="00D40FF3" w:rsidRDefault="00D40FF3" w:rsidP="00785F2D">
      <w:pPr>
        <w:spacing w:after="120"/>
        <w:rPr>
          <w:sz w:val="20"/>
        </w:rPr>
      </w:pPr>
    </w:p>
    <w:p w14:paraId="2D2DA646" w14:textId="4B509875" w:rsidR="007C44A9" w:rsidRDefault="007C44A9" w:rsidP="00785F2D">
      <w:pPr>
        <w:spacing w:after="120"/>
        <w:rPr>
          <w:sz w:val="20"/>
        </w:rPr>
      </w:pPr>
    </w:p>
    <w:p w14:paraId="6DF58FDA" w14:textId="77777777" w:rsidR="007C44A9" w:rsidRPr="00510750" w:rsidRDefault="007C44A9" w:rsidP="00785F2D">
      <w:pPr>
        <w:spacing w:after="120"/>
        <w:rPr>
          <w:sz w:val="20"/>
        </w:rPr>
      </w:pPr>
    </w:p>
    <w:p w14:paraId="02C97CA0" w14:textId="77777777" w:rsidR="0021701A" w:rsidRDefault="00F373D4" w:rsidP="00920D02">
      <w:pPr>
        <w:pStyle w:val="Head1"/>
      </w:pPr>
      <w:bookmarkStart w:id="174" w:name="_Toc54181734"/>
      <w:r>
        <w:lastRenderedPageBreak/>
        <w:t>SMSFAR</w:t>
      </w:r>
      <w:r w:rsidR="00BA7042">
        <w:t xml:space="preserve"> </w:t>
      </w:r>
      <w:r w:rsidR="006720FE">
        <w:t>Guidance</w:t>
      </w:r>
      <w:bookmarkEnd w:id="174"/>
      <w:r w:rsidR="00943267">
        <w:t xml:space="preserve"> </w:t>
      </w:r>
    </w:p>
    <w:p w14:paraId="06BEB555" w14:textId="382E190B" w:rsidR="00C326B5" w:rsidRPr="00584184" w:rsidRDefault="00C326B5" w:rsidP="00D520A8">
      <w:pPr>
        <w:pStyle w:val="Head2"/>
        <w:numPr>
          <w:ilvl w:val="1"/>
          <w:numId w:val="19"/>
        </w:numPr>
      </w:pPr>
      <w:bookmarkStart w:id="175" w:name="_Toc427056924"/>
      <w:bookmarkStart w:id="176" w:name="_Toc54181735"/>
      <w:r w:rsidRPr="00584184">
        <w:t xml:space="preserve">Prior year </w:t>
      </w:r>
      <w:r w:rsidR="00EA7E3A">
        <w:t>SMSFAR</w:t>
      </w:r>
      <w:r w:rsidRPr="00584184">
        <w:t xml:space="preserve"> lodgment through SBR</w:t>
      </w:r>
      <w:bookmarkEnd w:id="175"/>
      <w:bookmarkEnd w:id="176"/>
    </w:p>
    <w:p w14:paraId="5D3F41FD" w14:textId="77777777" w:rsidR="00C326B5" w:rsidRPr="00584184" w:rsidRDefault="00C326B5" w:rsidP="00C326B5">
      <w:pPr>
        <w:spacing w:after="120"/>
        <w:rPr>
          <w:rFonts w:cs="Arial"/>
          <w:color w:val="000000"/>
          <w:sz w:val="20"/>
          <w:szCs w:val="22"/>
        </w:rPr>
      </w:pPr>
      <w:r w:rsidRPr="00584184">
        <w:rPr>
          <w:rFonts w:cs="Arial"/>
          <w:color w:val="000000"/>
          <w:sz w:val="20"/>
          <w:szCs w:val="22"/>
        </w:rPr>
        <w:t>In order to support prior year lodgments before 201</w:t>
      </w:r>
      <w:r w:rsidR="00772699">
        <w:rPr>
          <w:rFonts w:cs="Arial"/>
          <w:color w:val="000000"/>
          <w:sz w:val="20"/>
          <w:szCs w:val="22"/>
        </w:rPr>
        <w:t>7</w:t>
      </w:r>
      <w:r w:rsidRPr="00584184">
        <w:rPr>
          <w:rFonts w:cs="Arial"/>
          <w:color w:val="000000"/>
          <w:sz w:val="20"/>
          <w:szCs w:val="22"/>
        </w:rPr>
        <w:t xml:space="preserve"> via SBR, lodgment of </w:t>
      </w:r>
      <w:r w:rsidR="00F373D4" w:rsidRPr="00584184">
        <w:rPr>
          <w:rFonts w:cs="Arial"/>
          <w:color w:val="000000"/>
          <w:sz w:val="20"/>
          <w:szCs w:val="22"/>
        </w:rPr>
        <w:t xml:space="preserve">SMSFAR </w:t>
      </w:r>
      <w:r w:rsidRPr="00584184">
        <w:rPr>
          <w:rFonts w:cs="Arial"/>
          <w:color w:val="000000"/>
          <w:sz w:val="20"/>
          <w:szCs w:val="22"/>
        </w:rPr>
        <w:t xml:space="preserve">is possible using the </w:t>
      </w:r>
      <w:r w:rsidRPr="00584184">
        <w:rPr>
          <w:rFonts w:cs="Arial"/>
          <w:i/>
          <w:color w:val="000000"/>
          <w:sz w:val="20"/>
          <w:szCs w:val="22"/>
        </w:rPr>
        <w:t>ELStagFormat</w:t>
      </w:r>
      <w:r w:rsidRPr="00584184">
        <w:rPr>
          <w:rFonts w:cs="Arial"/>
          <w:color w:val="000000"/>
          <w:sz w:val="20"/>
          <w:szCs w:val="22"/>
        </w:rPr>
        <w:t xml:space="preserve"> service.</w:t>
      </w:r>
      <w:r w:rsidRPr="00584184">
        <w:rPr>
          <w:rFonts w:cs="Arial"/>
          <w:sz w:val="20"/>
          <w:szCs w:val="22"/>
        </w:rPr>
        <w:t xml:space="preserve">  </w:t>
      </w:r>
      <w:r w:rsidRPr="00584184">
        <w:rPr>
          <w:rFonts w:cs="Arial"/>
          <w:i/>
          <w:sz w:val="20"/>
          <w:szCs w:val="22"/>
        </w:rPr>
        <w:t>ELStagFormat</w:t>
      </w:r>
      <w:r w:rsidRPr="00584184">
        <w:rPr>
          <w:rFonts w:cs="Arial"/>
          <w:sz w:val="20"/>
          <w:szCs w:val="22"/>
        </w:rPr>
        <w:t xml:space="preserve"> is envisaged to be used for prior year </w:t>
      </w:r>
      <w:r w:rsidR="00F373D4" w:rsidRPr="00584184">
        <w:rPr>
          <w:rFonts w:cs="Arial"/>
          <w:sz w:val="20"/>
          <w:szCs w:val="22"/>
        </w:rPr>
        <w:t xml:space="preserve">SMSFAR </w:t>
      </w:r>
      <w:r w:rsidRPr="00584184">
        <w:rPr>
          <w:rFonts w:cs="Arial"/>
          <w:sz w:val="20"/>
          <w:szCs w:val="22"/>
        </w:rPr>
        <w:t xml:space="preserve">lodgments from </w:t>
      </w:r>
      <w:r w:rsidR="00E929F8">
        <w:rPr>
          <w:rFonts w:cs="Arial"/>
          <w:sz w:val="20"/>
          <w:szCs w:val="22"/>
        </w:rPr>
        <w:t>2008</w:t>
      </w:r>
      <w:r w:rsidRPr="00584184">
        <w:rPr>
          <w:rFonts w:cs="Arial"/>
          <w:sz w:val="20"/>
          <w:szCs w:val="22"/>
        </w:rPr>
        <w:t>-201</w:t>
      </w:r>
      <w:r w:rsidR="000E1CF8">
        <w:rPr>
          <w:rFonts w:cs="Arial"/>
          <w:sz w:val="20"/>
          <w:szCs w:val="22"/>
        </w:rPr>
        <w:t>6</w:t>
      </w:r>
      <w:r w:rsidRPr="00584184">
        <w:rPr>
          <w:rFonts w:cs="Arial"/>
          <w:sz w:val="20"/>
          <w:szCs w:val="22"/>
        </w:rPr>
        <w:t xml:space="preserve">.  </w:t>
      </w:r>
      <w:r w:rsidRPr="00584184">
        <w:rPr>
          <w:rFonts w:cs="Arial"/>
          <w:color w:val="000000"/>
          <w:sz w:val="20"/>
          <w:szCs w:val="22"/>
        </w:rPr>
        <w:t xml:space="preserve">ELS formatted data can be submitted as an SBR ebMS3 message using the ELS tag, which encapsulates the legacy ELS message.  </w:t>
      </w:r>
      <w:r w:rsidRPr="00584184">
        <w:rPr>
          <w:rFonts w:cs="Arial"/>
          <w:i/>
          <w:color w:val="000000"/>
          <w:sz w:val="20"/>
          <w:szCs w:val="22"/>
        </w:rPr>
        <w:t>ELStagFormat</w:t>
      </w:r>
      <w:r w:rsidRPr="00584184">
        <w:rPr>
          <w:rFonts w:cs="Arial"/>
          <w:color w:val="000000"/>
          <w:sz w:val="20"/>
          <w:szCs w:val="22"/>
        </w:rPr>
        <w:t xml:space="preserve"> is only available as a batch lodgment.  </w:t>
      </w:r>
    </w:p>
    <w:p w14:paraId="5ED37C03" w14:textId="27439179" w:rsidR="00C326B5" w:rsidRPr="00584184" w:rsidRDefault="00DA3224" w:rsidP="00C326B5">
      <w:pPr>
        <w:pStyle w:val="Maintext"/>
        <w:rPr>
          <w:sz w:val="20"/>
          <w:szCs w:val="20"/>
        </w:rPr>
      </w:pPr>
      <w:r>
        <w:rPr>
          <w:sz w:val="20"/>
          <w:szCs w:val="20"/>
        </w:rPr>
        <w:t>R</w:t>
      </w:r>
      <w:r w:rsidR="00C326B5" w:rsidRPr="00584184">
        <w:rPr>
          <w:sz w:val="20"/>
          <w:szCs w:val="20"/>
        </w:rPr>
        <w:t xml:space="preserve">efer to the A06_DIS_SBR specification from the ELS suite of artefacts, available from the ATO </w:t>
      </w:r>
      <w:hyperlink r:id="rId26" w:history="1">
        <w:r w:rsidR="00C326B5" w:rsidRPr="00584184">
          <w:rPr>
            <w:rStyle w:val="Hyperlink"/>
            <w:sz w:val="20"/>
            <w:szCs w:val="20"/>
          </w:rPr>
          <w:t>software developer website</w:t>
        </w:r>
      </w:hyperlink>
      <w:r w:rsidR="00C326B5" w:rsidRPr="00584184">
        <w:rPr>
          <w:sz w:val="20"/>
          <w:szCs w:val="20"/>
        </w:rPr>
        <w:t>.</w:t>
      </w:r>
    </w:p>
    <w:p w14:paraId="72496C55" w14:textId="77777777" w:rsidR="00465BED" w:rsidRPr="00C326B5" w:rsidRDefault="00465BED" w:rsidP="00785F2D">
      <w:pPr>
        <w:spacing w:after="120"/>
        <w:rPr>
          <w:sz w:val="20"/>
          <w:szCs w:val="20"/>
          <w:highlight w:val="yellow"/>
        </w:rPr>
      </w:pPr>
    </w:p>
    <w:p w14:paraId="05CDF2A4" w14:textId="77777777" w:rsidR="00C326B5" w:rsidRPr="00584184" w:rsidRDefault="00C326B5" w:rsidP="00D520A8">
      <w:pPr>
        <w:pStyle w:val="Head2"/>
        <w:numPr>
          <w:ilvl w:val="1"/>
          <w:numId w:val="19"/>
        </w:numPr>
      </w:pPr>
      <w:bookmarkStart w:id="177" w:name="_Toc427056926"/>
      <w:bookmarkStart w:id="178" w:name="_Toc54181736"/>
      <w:r w:rsidRPr="00584184">
        <w:t>Using the additional free text field</w:t>
      </w:r>
      <w:bookmarkEnd w:id="177"/>
      <w:bookmarkEnd w:id="178"/>
    </w:p>
    <w:p w14:paraId="48E2377F" w14:textId="77777777" w:rsidR="00C326B5" w:rsidRPr="00584184" w:rsidRDefault="00C326B5" w:rsidP="00C326B5">
      <w:pPr>
        <w:spacing w:after="120"/>
        <w:rPr>
          <w:rFonts w:cs="Arial"/>
          <w:color w:val="000000"/>
          <w:sz w:val="20"/>
          <w:szCs w:val="22"/>
        </w:rPr>
      </w:pPr>
      <w:r w:rsidRPr="00584184">
        <w:rPr>
          <w:rFonts w:cs="Arial"/>
          <w:color w:val="000000"/>
          <w:sz w:val="20"/>
          <w:szCs w:val="22"/>
        </w:rPr>
        <w:t xml:space="preserve">The </w:t>
      </w:r>
      <w:r w:rsidR="00F373D4" w:rsidRPr="00584184">
        <w:rPr>
          <w:rFonts w:cs="Arial"/>
          <w:color w:val="000000"/>
          <w:sz w:val="20"/>
          <w:szCs w:val="22"/>
        </w:rPr>
        <w:t>SMSFAR</w:t>
      </w:r>
      <w:r w:rsidRPr="00584184">
        <w:rPr>
          <w:rFonts w:cs="Arial"/>
          <w:color w:val="000000"/>
          <w:sz w:val="20"/>
          <w:szCs w:val="22"/>
        </w:rPr>
        <w:t xml:space="preserve"> message contains a free text field, </w:t>
      </w:r>
      <w:r w:rsidRPr="00584184">
        <w:rPr>
          <w:rFonts w:cs="Arial"/>
          <w:i/>
          <w:color w:val="000000"/>
          <w:sz w:val="20"/>
          <w:szCs w:val="22"/>
        </w:rPr>
        <w:t>Additional information</w:t>
      </w:r>
      <w:r w:rsidRPr="00584184">
        <w:rPr>
          <w:rFonts w:cs="Arial"/>
          <w:color w:val="000000"/>
          <w:sz w:val="20"/>
          <w:szCs w:val="22"/>
        </w:rPr>
        <w:t xml:space="preserve"> (SBR alias: </w:t>
      </w:r>
      <w:r w:rsidR="00F373D4" w:rsidRPr="00584184">
        <w:rPr>
          <w:rFonts w:cs="Arial"/>
          <w:color w:val="000000"/>
          <w:sz w:val="20"/>
          <w:szCs w:val="22"/>
        </w:rPr>
        <w:t>SMSFAR</w:t>
      </w:r>
      <w:r w:rsidR="00F373D4" w:rsidRPr="00584184" w:rsidDel="00F373D4">
        <w:rPr>
          <w:rFonts w:cs="Arial"/>
          <w:color w:val="000000"/>
          <w:sz w:val="20"/>
          <w:szCs w:val="22"/>
        </w:rPr>
        <w:t xml:space="preserve"> </w:t>
      </w:r>
      <w:r w:rsidR="00604A33" w:rsidRPr="00584184">
        <w:rPr>
          <w:rFonts w:cs="Arial"/>
          <w:color w:val="000000"/>
          <w:sz w:val="20"/>
          <w:szCs w:val="22"/>
        </w:rPr>
        <w:t>355</w:t>
      </w:r>
      <w:r w:rsidRPr="00584184">
        <w:rPr>
          <w:rFonts w:cs="Arial"/>
          <w:color w:val="000000"/>
          <w:sz w:val="20"/>
          <w:szCs w:val="22"/>
        </w:rPr>
        <w:t xml:space="preserve"> / ELS tag: AEB), to enable appropriate information to be added to a return for assessment.</w:t>
      </w:r>
    </w:p>
    <w:p w14:paraId="2977ECA3" w14:textId="77777777" w:rsidR="00C326B5" w:rsidRPr="00584184" w:rsidRDefault="00C326B5" w:rsidP="00C326B5">
      <w:pPr>
        <w:spacing w:after="120"/>
        <w:rPr>
          <w:rFonts w:cs="Arial"/>
          <w:color w:val="000000"/>
          <w:sz w:val="20"/>
          <w:szCs w:val="22"/>
        </w:rPr>
      </w:pPr>
      <w:r w:rsidRPr="0058418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78BDF976" w14:textId="2C6871B9"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Free text content should be clear, concise and necessary to determine the outcome of the assessment for the return being </w:t>
      </w:r>
      <w:r w:rsidR="007D1BC4" w:rsidRPr="00584184">
        <w:rPr>
          <w:rStyle w:val="BodyTextChar1"/>
          <w:sz w:val="20"/>
          <w:szCs w:val="20"/>
        </w:rPr>
        <w:t>lodged and</w:t>
      </w:r>
      <w:r w:rsidRPr="00584184">
        <w:rPr>
          <w:rStyle w:val="BodyTextChar1"/>
          <w:sz w:val="20"/>
          <w:szCs w:val="20"/>
        </w:rPr>
        <w:t xml:space="preserve"> should only be used under the correct circumstances.  Information entered </w:t>
      </w:r>
      <w:r w:rsidR="00E428B9">
        <w:rPr>
          <w:rStyle w:val="BodyTextChar1"/>
          <w:sz w:val="20"/>
          <w:szCs w:val="20"/>
        </w:rPr>
        <w:t>that</w:t>
      </w:r>
      <w:r w:rsidRPr="00584184">
        <w:rPr>
          <w:rStyle w:val="BodyTextChar1"/>
          <w:sz w:val="20"/>
          <w:szCs w:val="20"/>
        </w:rPr>
        <w:t xml:space="preserve"> does not meet these criteria will cause processing</w:t>
      </w:r>
      <w:r w:rsidR="00F373D4" w:rsidRPr="00584184">
        <w:rPr>
          <w:rStyle w:val="BodyTextChar1"/>
          <w:sz w:val="20"/>
          <w:szCs w:val="20"/>
        </w:rPr>
        <w:t xml:space="preserve"> delays</w:t>
      </w:r>
      <w:r w:rsidRPr="00584184">
        <w:rPr>
          <w:rStyle w:val="BodyTextChar1"/>
          <w:sz w:val="20"/>
          <w:szCs w:val="20"/>
        </w:rPr>
        <w:t>.</w:t>
      </w:r>
    </w:p>
    <w:p w14:paraId="2B181250" w14:textId="77777777" w:rsidR="00C326B5" w:rsidRPr="00584184" w:rsidRDefault="00C326B5" w:rsidP="00C326B5">
      <w:pPr>
        <w:pStyle w:val="Bullet2"/>
        <w:numPr>
          <w:ilvl w:val="0"/>
          <w:numId w:val="24"/>
        </w:numPr>
        <w:tabs>
          <w:tab w:val="left" w:pos="720"/>
        </w:tabs>
        <w:rPr>
          <w:rStyle w:val="BodyTextChar1"/>
          <w:sz w:val="20"/>
          <w:szCs w:val="20"/>
        </w:rPr>
      </w:pPr>
      <w:r w:rsidRPr="00584184">
        <w:rPr>
          <w:rStyle w:val="BodyTextChar1"/>
          <w:sz w:val="20"/>
          <w:szCs w:val="20"/>
        </w:rPr>
        <w:t xml:space="preserve">Software developers should consider whether a ‘help’ or informational message concerning use of this field would be beneficial for tax agents. </w:t>
      </w:r>
    </w:p>
    <w:p w14:paraId="55835703" w14:textId="77777777" w:rsidR="00C326B5" w:rsidRPr="00584184" w:rsidRDefault="00C326B5" w:rsidP="00C326B5">
      <w:pPr>
        <w:pStyle w:val="Bullet2"/>
        <w:numPr>
          <w:ilvl w:val="0"/>
          <w:numId w:val="0"/>
        </w:numPr>
        <w:tabs>
          <w:tab w:val="left" w:pos="720"/>
        </w:tabs>
      </w:pPr>
      <w:r w:rsidRPr="00584184">
        <w:rPr>
          <w:rStyle w:val="BodyTextChar1"/>
          <w:sz w:val="20"/>
          <w:szCs w:val="20"/>
        </w:rPr>
        <w:t>The following are key examples of where the field should be used, the type of business information that should be included, and the quality, tone and language of the information.</w:t>
      </w:r>
    </w:p>
    <w:p w14:paraId="2AADE0AA" w14:textId="77777777" w:rsidR="00C326B5" w:rsidRPr="00584184" w:rsidRDefault="00C326B5" w:rsidP="00C326B5">
      <w:pPr>
        <w:spacing w:after="120"/>
        <w:rPr>
          <w:rFonts w:cs="Arial"/>
          <w:b/>
          <w:color w:val="000000"/>
          <w:sz w:val="20"/>
          <w:szCs w:val="22"/>
        </w:rPr>
      </w:pPr>
      <w:r w:rsidRPr="0058418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4379"/>
      </w:tblGrid>
      <w:tr w:rsidR="00C326B5" w:rsidRPr="00604A33" w14:paraId="1A044F95"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B9093AD" w14:textId="77777777" w:rsidR="00C326B5" w:rsidRPr="00584184" w:rsidRDefault="00C326B5">
            <w:pPr>
              <w:pStyle w:val="Maintext"/>
              <w:rPr>
                <w:sz w:val="20"/>
              </w:rPr>
            </w:pPr>
            <w:r w:rsidRPr="0058418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47E3D59" w14:textId="77777777" w:rsidR="00C326B5" w:rsidRPr="00584184" w:rsidRDefault="00C326B5">
            <w:pPr>
              <w:pStyle w:val="Maintext"/>
              <w:rPr>
                <w:b/>
                <w:sz w:val="20"/>
              </w:rPr>
            </w:pPr>
            <w:r w:rsidRPr="00584184">
              <w:rPr>
                <w:b/>
                <w:sz w:val="20"/>
              </w:rPr>
              <w:t>Additional free text field content</w:t>
            </w:r>
          </w:p>
        </w:tc>
      </w:tr>
      <w:tr w:rsidR="00C326B5" w:rsidRPr="00604A33" w14:paraId="27093F82"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326DCF36" w14:textId="66308A26" w:rsidR="00C326B5" w:rsidRPr="00584184" w:rsidRDefault="007139BE">
            <w:pPr>
              <w:pStyle w:val="Maintext"/>
              <w:rPr>
                <w:sz w:val="20"/>
              </w:rPr>
            </w:pPr>
            <w:r>
              <w:rPr>
                <w:sz w:val="20"/>
              </w:rPr>
              <w:t xml:space="preserve">Reporting </w:t>
            </w:r>
            <w:r w:rsidRPr="007139BE">
              <w:rPr>
                <w:sz w:val="20"/>
              </w:rPr>
              <w:t>net foreign income sourced from a treaty country</w:t>
            </w:r>
            <w:r w:rsidR="00A01C6A">
              <w:rPr>
                <w:sz w:val="20"/>
              </w:rPr>
              <w:t>.</w:t>
            </w:r>
          </w:p>
        </w:tc>
        <w:tc>
          <w:tcPr>
            <w:tcW w:w="4394" w:type="dxa"/>
            <w:tcBorders>
              <w:top w:val="single" w:sz="4" w:space="0" w:color="auto"/>
              <w:left w:val="single" w:sz="4" w:space="0" w:color="auto"/>
              <w:bottom w:val="single" w:sz="4" w:space="0" w:color="auto"/>
              <w:right w:val="single" w:sz="4" w:space="0" w:color="auto"/>
            </w:tcBorders>
          </w:tcPr>
          <w:p w14:paraId="39B31A6B" w14:textId="77777777" w:rsidR="00C326B5" w:rsidRPr="007139BE" w:rsidRDefault="007139BE" w:rsidP="00324F3B">
            <w:r w:rsidRPr="007139BE">
              <w:rPr>
                <w:sz w:val="20"/>
              </w:rPr>
              <w:t>Treaty country net foreign income sourced in tax treaty country $</w:t>
            </w:r>
            <w:r w:rsidR="00324F3B">
              <w:rPr>
                <w:sz w:val="20"/>
              </w:rPr>
              <w:t>$</w:t>
            </w:r>
            <w:r w:rsidRPr="007139BE">
              <w:rPr>
                <w:sz w:val="20"/>
              </w:rPr>
              <w:t xml:space="preserve"> foreign income tax paid in tax treaty country foreign income tax paid in non-tax treaty country</w:t>
            </w:r>
            <w:r w:rsidR="00E428B9">
              <w:rPr>
                <w:sz w:val="20"/>
              </w:rPr>
              <w:t>.</w:t>
            </w:r>
          </w:p>
        </w:tc>
      </w:tr>
      <w:tr w:rsidR="00C326B5" w:rsidRPr="00604A33" w14:paraId="182F69C6" w14:textId="77777777" w:rsidTr="007139BE">
        <w:trPr>
          <w:cantSplit/>
          <w:tblHeader/>
        </w:trPr>
        <w:tc>
          <w:tcPr>
            <w:tcW w:w="4928" w:type="dxa"/>
            <w:tcBorders>
              <w:top w:val="single" w:sz="4" w:space="0" w:color="auto"/>
              <w:left w:val="single" w:sz="4" w:space="0" w:color="auto"/>
              <w:bottom w:val="single" w:sz="4" w:space="0" w:color="auto"/>
              <w:right w:val="single" w:sz="4" w:space="0" w:color="auto"/>
            </w:tcBorders>
          </w:tcPr>
          <w:p w14:paraId="28D62064" w14:textId="77777777" w:rsidR="00C326B5" w:rsidRPr="00584184" w:rsidRDefault="007139BE">
            <w:pPr>
              <w:pStyle w:val="Maintext"/>
              <w:rPr>
                <w:sz w:val="20"/>
              </w:rPr>
            </w:pPr>
            <w:r>
              <w:rPr>
                <w:sz w:val="20"/>
              </w:rPr>
              <w:t>Reporting why a field was blank, especially for member closing balances.</w:t>
            </w:r>
          </w:p>
        </w:tc>
        <w:tc>
          <w:tcPr>
            <w:tcW w:w="4394" w:type="dxa"/>
            <w:tcBorders>
              <w:top w:val="single" w:sz="4" w:space="0" w:color="auto"/>
              <w:left w:val="single" w:sz="4" w:space="0" w:color="auto"/>
              <w:bottom w:val="single" w:sz="4" w:space="0" w:color="auto"/>
              <w:right w:val="single" w:sz="4" w:space="0" w:color="auto"/>
            </w:tcBorders>
          </w:tcPr>
          <w:p w14:paraId="39A55EB7" w14:textId="77777777" w:rsidR="00C326B5" w:rsidRPr="00584184" w:rsidRDefault="007139BE" w:rsidP="00324F3B">
            <w:pPr>
              <w:pStyle w:val="Maintext"/>
              <w:rPr>
                <w:sz w:val="20"/>
              </w:rPr>
            </w:pPr>
            <w:r w:rsidRPr="007139BE">
              <w:rPr>
                <w:sz w:val="20"/>
              </w:rPr>
              <w:t>Member 1 closing account balance was $</w:t>
            </w:r>
            <w:r w:rsidR="00324F3B">
              <w:rPr>
                <w:sz w:val="20"/>
              </w:rPr>
              <w:t>$$</w:t>
            </w:r>
            <w:r w:rsidRPr="007139BE">
              <w:rPr>
                <w:sz w:val="20"/>
              </w:rPr>
              <w:t>/l left field blank as system will not accept negative figures member 2 closing account balance was $</w:t>
            </w:r>
            <w:r w:rsidR="00324F3B">
              <w:rPr>
                <w:sz w:val="20"/>
              </w:rPr>
              <w:t>$$$</w:t>
            </w:r>
            <w:r w:rsidRPr="007139BE">
              <w:rPr>
                <w:sz w:val="20"/>
              </w:rPr>
              <w:t>/l left field blank as system will not accept negative figures</w:t>
            </w:r>
            <w:r w:rsidR="00E428B9">
              <w:rPr>
                <w:sz w:val="20"/>
              </w:rPr>
              <w:t>.</w:t>
            </w:r>
          </w:p>
        </w:tc>
      </w:tr>
    </w:tbl>
    <w:p w14:paraId="6DF99BDB" w14:textId="77777777" w:rsidR="00C326B5" w:rsidRPr="00584184" w:rsidRDefault="00C326B5" w:rsidP="00C326B5">
      <w:pPr>
        <w:pStyle w:val="Caption"/>
        <w:jc w:val="center"/>
      </w:pPr>
      <w:bookmarkStart w:id="179" w:name="_Toc427056940"/>
      <w:bookmarkStart w:id="180" w:name="_Toc54181388"/>
      <w:r w:rsidRPr="00584184">
        <w:t xml:space="preserve">Table </w:t>
      </w:r>
      <w:r w:rsidR="00EA4B40">
        <w:fldChar w:fldCharType="begin"/>
      </w:r>
      <w:r w:rsidR="00EA4B40">
        <w:instrText xml:space="preserve"> SEQ Table \* ARABIC </w:instrText>
      </w:r>
      <w:r w:rsidR="00EA4B40">
        <w:fldChar w:fldCharType="separate"/>
      </w:r>
      <w:r w:rsidR="00C46EEA">
        <w:rPr>
          <w:noProof/>
        </w:rPr>
        <w:t>6</w:t>
      </w:r>
      <w:r w:rsidR="00EA4B40">
        <w:rPr>
          <w:noProof/>
        </w:rPr>
        <w:fldChar w:fldCharType="end"/>
      </w:r>
      <w:r w:rsidRPr="00584184">
        <w:t>: Examples of helpful free text scenarios</w:t>
      </w:r>
      <w:bookmarkEnd w:id="179"/>
      <w:bookmarkEnd w:id="180"/>
    </w:p>
    <w:p w14:paraId="1BDD12FA" w14:textId="77777777" w:rsidR="00C326B5" w:rsidRPr="00584184" w:rsidRDefault="00C326B5" w:rsidP="00C326B5">
      <w:pPr>
        <w:rPr>
          <w:sz w:val="20"/>
        </w:rPr>
      </w:pPr>
    </w:p>
    <w:p w14:paraId="0B2DC263" w14:textId="77777777" w:rsidR="00C326B5" w:rsidRPr="00584184" w:rsidRDefault="00C326B5" w:rsidP="00C326B5">
      <w:pPr>
        <w:rPr>
          <w:sz w:val="20"/>
        </w:rPr>
      </w:pPr>
      <w:r w:rsidRPr="00584184">
        <w:rPr>
          <w:sz w:val="20"/>
        </w:rPr>
        <w:t>For further information on the additi</w:t>
      </w:r>
      <w:r w:rsidR="006564B5">
        <w:rPr>
          <w:sz w:val="20"/>
        </w:rPr>
        <w:t xml:space="preserve">onal information field, see the </w:t>
      </w:r>
      <w:hyperlink r:id="rId27" w:anchor="TaxTime_Before_Situations_MR" w:history="1">
        <w:r w:rsidR="006564B5" w:rsidRPr="006E4984">
          <w:rPr>
            <w:rStyle w:val="Hyperlink"/>
            <w:noProof w:val="0"/>
            <w:sz w:val="20"/>
          </w:rPr>
          <w:t>ATO website</w:t>
        </w:r>
      </w:hyperlink>
      <w:r w:rsidR="00E428B9">
        <w:rPr>
          <w:rStyle w:val="Hyperlink"/>
          <w:noProof w:val="0"/>
          <w:sz w:val="20"/>
        </w:rPr>
        <w:t>.</w:t>
      </w:r>
    </w:p>
    <w:p w14:paraId="758700F7" w14:textId="77777777" w:rsidR="00C326B5" w:rsidRPr="00584184" w:rsidRDefault="00C326B5" w:rsidP="00D520A8">
      <w:pPr>
        <w:pStyle w:val="Head2"/>
        <w:numPr>
          <w:ilvl w:val="1"/>
          <w:numId w:val="19"/>
        </w:numPr>
      </w:pPr>
      <w:bookmarkStart w:id="181" w:name="_Toc416181655"/>
      <w:bookmarkStart w:id="182" w:name="_Toc416179727"/>
      <w:bookmarkStart w:id="183" w:name="_Toc416181656"/>
      <w:bookmarkStart w:id="184" w:name="_Toc416179728"/>
      <w:bookmarkStart w:id="185" w:name="_Toc416181657"/>
      <w:bookmarkStart w:id="186" w:name="_Toc416179729"/>
      <w:bookmarkStart w:id="187" w:name="_Toc416181658"/>
      <w:bookmarkStart w:id="188" w:name="_Toc416179742"/>
      <w:bookmarkStart w:id="189" w:name="_Toc416181671"/>
      <w:bookmarkStart w:id="190" w:name="_Toc416179743"/>
      <w:bookmarkStart w:id="191" w:name="_Toc416181672"/>
      <w:bookmarkStart w:id="192" w:name="_Toc416179744"/>
      <w:bookmarkStart w:id="193" w:name="_Toc416181673"/>
      <w:bookmarkStart w:id="194" w:name="_Toc427056928"/>
      <w:bookmarkStart w:id="195" w:name="_Toc54181737"/>
      <w:bookmarkEnd w:id="181"/>
      <w:bookmarkEnd w:id="182"/>
      <w:bookmarkEnd w:id="183"/>
      <w:bookmarkEnd w:id="184"/>
      <w:bookmarkEnd w:id="185"/>
      <w:bookmarkEnd w:id="186"/>
      <w:bookmarkEnd w:id="187"/>
      <w:bookmarkEnd w:id="188"/>
      <w:bookmarkEnd w:id="189"/>
      <w:bookmarkEnd w:id="190"/>
      <w:bookmarkEnd w:id="191"/>
      <w:bookmarkEnd w:id="192"/>
      <w:bookmarkEnd w:id="193"/>
      <w:r w:rsidRPr="00584184">
        <w:t>TFN and ABN algorithm validation</w:t>
      </w:r>
      <w:bookmarkEnd w:id="194"/>
      <w:bookmarkEnd w:id="195"/>
    </w:p>
    <w:p w14:paraId="573CFBFD" w14:textId="77777777" w:rsidR="00C326B5" w:rsidRPr="00584184" w:rsidRDefault="00C326B5" w:rsidP="00C326B5">
      <w:pPr>
        <w:pStyle w:val="Maintext"/>
        <w:rPr>
          <w:rStyle w:val="Hyperlink"/>
          <w:sz w:val="20"/>
          <w:szCs w:val="20"/>
        </w:rPr>
      </w:pPr>
      <w:r w:rsidRPr="00584184">
        <w:rPr>
          <w:sz w:val="20"/>
          <w:szCs w:val="20"/>
        </w:rPr>
        <w:t>To obtain access to the algorithm to validate TFNs in a BMS product, refer to the ATO software developer page on this topic:</w:t>
      </w:r>
      <w:r w:rsidRPr="00584184">
        <w:t xml:space="preserve"> </w:t>
      </w:r>
      <w:hyperlink r:id="rId28" w:history="1">
        <w:r w:rsidRPr="00584184">
          <w:rPr>
            <w:rStyle w:val="Hyperlink"/>
            <w:sz w:val="20"/>
            <w:szCs w:val="20"/>
          </w:rPr>
          <w:t>http://softwaredevelopers.ato.gov.au/obtainTFNalgorithm</w:t>
        </w:r>
      </w:hyperlink>
      <w:r w:rsidR="00E428B9">
        <w:rPr>
          <w:rStyle w:val="Hyperlink"/>
          <w:sz w:val="20"/>
          <w:szCs w:val="20"/>
        </w:rPr>
        <w:t>.</w:t>
      </w:r>
    </w:p>
    <w:p w14:paraId="599C0747" w14:textId="77777777" w:rsidR="00C326B5" w:rsidRPr="00584184" w:rsidRDefault="00C326B5" w:rsidP="00C326B5">
      <w:pPr>
        <w:pStyle w:val="Maintext"/>
        <w:rPr>
          <w:rStyle w:val="Hyperlink"/>
          <w:sz w:val="20"/>
          <w:szCs w:val="20"/>
        </w:rPr>
      </w:pPr>
    </w:p>
    <w:p w14:paraId="51D01DFC" w14:textId="77777777" w:rsidR="00C326B5" w:rsidRPr="00584184" w:rsidRDefault="00C326B5" w:rsidP="00C326B5">
      <w:pPr>
        <w:pStyle w:val="Maintext"/>
        <w:rPr>
          <w:rStyle w:val="Hyperlink"/>
          <w:sz w:val="20"/>
          <w:szCs w:val="20"/>
        </w:rPr>
      </w:pPr>
      <w:r w:rsidRPr="00584184">
        <w:rPr>
          <w:sz w:val="20"/>
          <w:szCs w:val="20"/>
        </w:rPr>
        <w:t xml:space="preserve">For information on </w:t>
      </w:r>
      <w:r w:rsidR="00DA0E7F">
        <w:rPr>
          <w:sz w:val="20"/>
          <w:szCs w:val="20"/>
        </w:rPr>
        <w:t>Australian Business Number (</w:t>
      </w:r>
      <w:r w:rsidRPr="00584184">
        <w:rPr>
          <w:sz w:val="20"/>
          <w:szCs w:val="20"/>
        </w:rPr>
        <w:t>ABN</w:t>
      </w:r>
      <w:r w:rsidR="00DA0E7F">
        <w:rPr>
          <w:sz w:val="20"/>
          <w:szCs w:val="20"/>
        </w:rPr>
        <w:t>)</w:t>
      </w:r>
      <w:r w:rsidRPr="00584184">
        <w:rPr>
          <w:sz w:val="20"/>
          <w:szCs w:val="20"/>
        </w:rPr>
        <w:t xml:space="preserve"> validation see this page:</w:t>
      </w:r>
      <w:r w:rsidRPr="00584184">
        <w:rPr>
          <w:b/>
        </w:rPr>
        <w:t xml:space="preserve"> </w:t>
      </w:r>
      <w:hyperlink r:id="rId29" w:history="1">
        <w:r w:rsidRPr="00584184">
          <w:rPr>
            <w:rStyle w:val="Hyperlink"/>
            <w:sz w:val="20"/>
            <w:szCs w:val="20"/>
          </w:rPr>
          <w:t>http://softwaredevelopers.ato.gov.au/ABNformat</w:t>
        </w:r>
      </w:hyperlink>
      <w:r w:rsidR="00E428B9">
        <w:rPr>
          <w:rStyle w:val="Hyperlink"/>
          <w:sz w:val="20"/>
          <w:szCs w:val="20"/>
        </w:rPr>
        <w:t>.</w:t>
      </w:r>
    </w:p>
    <w:p w14:paraId="381B3BAB" w14:textId="77777777" w:rsidR="00C326B5" w:rsidRPr="00C326B5" w:rsidRDefault="00C326B5" w:rsidP="00785F2D">
      <w:pPr>
        <w:spacing w:after="120"/>
        <w:rPr>
          <w:sz w:val="20"/>
          <w:szCs w:val="20"/>
          <w:highlight w:val="yellow"/>
        </w:rPr>
      </w:pPr>
    </w:p>
    <w:p w14:paraId="07CCD0E9" w14:textId="77777777" w:rsidR="00465BED" w:rsidRPr="00C326B5" w:rsidRDefault="00465BED" w:rsidP="00785F2D">
      <w:pPr>
        <w:spacing w:after="120"/>
        <w:rPr>
          <w:sz w:val="20"/>
          <w:szCs w:val="20"/>
          <w:highlight w:val="yellow"/>
        </w:rPr>
      </w:pPr>
    </w:p>
    <w:p w14:paraId="5777408D" w14:textId="77777777" w:rsidR="00604A33" w:rsidRPr="00806054" w:rsidRDefault="00604A33" w:rsidP="00D520A8">
      <w:pPr>
        <w:pStyle w:val="Head2"/>
        <w:numPr>
          <w:ilvl w:val="1"/>
          <w:numId w:val="19"/>
        </w:numPr>
      </w:pPr>
      <w:bookmarkStart w:id="196" w:name="_Toc445193679"/>
      <w:bookmarkStart w:id="197" w:name="_Toc445802281"/>
      <w:bookmarkStart w:id="198" w:name="_Toc54181738"/>
      <w:r w:rsidRPr="00806054">
        <w:lastRenderedPageBreak/>
        <w:t>Future years</w:t>
      </w:r>
      <w:bookmarkEnd w:id="196"/>
      <w:bookmarkEnd w:id="197"/>
      <w:bookmarkEnd w:id="198"/>
    </w:p>
    <w:p w14:paraId="14F44D1F" w14:textId="77777777" w:rsidR="00604A33" w:rsidRPr="00806054" w:rsidRDefault="00604A33" w:rsidP="00604A33">
      <w:pPr>
        <w:pStyle w:val="Maintext"/>
        <w:rPr>
          <w:sz w:val="20"/>
          <w:szCs w:val="20"/>
        </w:rPr>
      </w:pPr>
      <w:r w:rsidRPr="00806054">
        <w:rPr>
          <w:sz w:val="20"/>
          <w:szCs w:val="20"/>
        </w:rPr>
        <w:t xml:space="preserve">The functionality to enable lodgment of future year (early lodged) returns is available as part of this service. </w:t>
      </w:r>
    </w:p>
    <w:p w14:paraId="7B3F6750" w14:textId="77777777" w:rsidR="00604A33" w:rsidRPr="00806054" w:rsidRDefault="00604A33" w:rsidP="00604A33">
      <w:pPr>
        <w:pStyle w:val="Maintext"/>
        <w:rPr>
          <w:sz w:val="20"/>
          <w:szCs w:val="20"/>
        </w:rPr>
      </w:pPr>
    </w:p>
    <w:p w14:paraId="4A6B6C16" w14:textId="65F9B497" w:rsidR="00604A33" w:rsidRPr="00806054" w:rsidRDefault="00604A33" w:rsidP="00604A33">
      <w:pPr>
        <w:pStyle w:val="Maintext"/>
        <w:rPr>
          <w:sz w:val="20"/>
          <w:szCs w:val="20"/>
        </w:rPr>
      </w:pPr>
      <w:r w:rsidRPr="00806054">
        <w:rPr>
          <w:sz w:val="20"/>
          <w:szCs w:val="20"/>
        </w:rPr>
        <w:t>A future year return is a lodgment by a client or their authorised intermediary prior to the end of the current reporting period (</w:t>
      </w:r>
      <w:r w:rsidR="00AC22A8">
        <w:rPr>
          <w:sz w:val="20"/>
          <w:szCs w:val="20"/>
        </w:rPr>
        <w:t>for example,</w:t>
      </w:r>
      <w:r w:rsidRPr="00806054">
        <w:rPr>
          <w:sz w:val="20"/>
          <w:szCs w:val="20"/>
        </w:rPr>
        <w:t xml:space="preserve"> a client lodging their </w:t>
      </w:r>
      <w:r w:rsidR="00E4479F" w:rsidRPr="00806054">
        <w:rPr>
          <w:sz w:val="20"/>
          <w:szCs w:val="20"/>
        </w:rPr>
        <w:t>20</w:t>
      </w:r>
      <w:r w:rsidR="00E4479F">
        <w:rPr>
          <w:sz w:val="20"/>
          <w:szCs w:val="20"/>
        </w:rPr>
        <w:t>20</w:t>
      </w:r>
      <w:r w:rsidRPr="00806054">
        <w:rPr>
          <w:sz w:val="20"/>
          <w:szCs w:val="20"/>
        </w:rPr>
        <w:t>-</w:t>
      </w:r>
      <w:r w:rsidR="00E4479F">
        <w:rPr>
          <w:sz w:val="20"/>
          <w:szCs w:val="20"/>
        </w:rPr>
        <w:t>21</w:t>
      </w:r>
      <w:r w:rsidR="00E4479F" w:rsidRPr="00806054">
        <w:rPr>
          <w:sz w:val="20"/>
          <w:szCs w:val="20"/>
        </w:rPr>
        <w:t xml:space="preserve"> </w:t>
      </w:r>
      <w:r w:rsidRPr="00806054">
        <w:rPr>
          <w:sz w:val="20"/>
          <w:szCs w:val="20"/>
        </w:rPr>
        <w:t xml:space="preserve">income tax returns before the end of the </w:t>
      </w:r>
      <w:r>
        <w:rPr>
          <w:sz w:val="20"/>
          <w:szCs w:val="20"/>
        </w:rPr>
        <w:t>SMSF</w:t>
      </w:r>
      <w:r w:rsidRPr="00806054">
        <w:rPr>
          <w:sz w:val="20"/>
          <w:szCs w:val="20"/>
        </w:rPr>
        <w:t xml:space="preserve"> year of </w:t>
      </w:r>
      <w:r w:rsidR="007139BE">
        <w:rPr>
          <w:sz w:val="20"/>
          <w:szCs w:val="20"/>
        </w:rPr>
        <w:t>30 June</w:t>
      </w:r>
      <w:r w:rsidRPr="00806054">
        <w:rPr>
          <w:sz w:val="20"/>
          <w:szCs w:val="20"/>
        </w:rPr>
        <w:t xml:space="preserve"> </w:t>
      </w:r>
      <w:r w:rsidR="00E4479F" w:rsidRPr="00806054">
        <w:rPr>
          <w:sz w:val="20"/>
          <w:szCs w:val="20"/>
        </w:rPr>
        <w:t>20</w:t>
      </w:r>
      <w:r w:rsidR="00E4479F">
        <w:rPr>
          <w:sz w:val="20"/>
          <w:szCs w:val="20"/>
        </w:rPr>
        <w:t>21</w:t>
      </w:r>
      <w:r w:rsidRPr="00806054">
        <w:rPr>
          <w:sz w:val="20"/>
          <w:szCs w:val="20"/>
        </w:rPr>
        <w:t xml:space="preserve">). </w:t>
      </w:r>
    </w:p>
    <w:p w14:paraId="161E63EF" w14:textId="77777777" w:rsidR="00604A33" w:rsidRPr="00806054" w:rsidRDefault="00604A33" w:rsidP="00604A33">
      <w:pPr>
        <w:pStyle w:val="Maintext"/>
        <w:rPr>
          <w:sz w:val="20"/>
          <w:szCs w:val="20"/>
        </w:rPr>
      </w:pPr>
    </w:p>
    <w:p w14:paraId="26EC766E" w14:textId="77777777" w:rsidR="00604A33" w:rsidRDefault="00604A33" w:rsidP="00604A33">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14:paraId="5888330D" w14:textId="77777777" w:rsidR="00465BED" w:rsidRPr="00014833" w:rsidRDefault="00465BED" w:rsidP="00785F2D">
      <w:pPr>
        <w:spacing w:after="120"/>
        <w:rPr>
          <w:sz w:val="20"/>
          <w:szCs w:val="20"/>
        </w:rPr>
      </w:pPr>
    </w:p>
    <w:p w14:paraId="7C1B526F" w14:textId="3DDF8333" w:rsidR="008C1A01" w:rsidRDefault="000325AA" w:rsidP="00D520A8">
      <w:pPr>
        <w:pStyle w:val="Head2"/>
        <w:numPr>
          <w:ilvl w:val="1"/>
          <w:numId w:val="19"/>
        </w:numPr>
      </w:pPr>
      <w:bookmarkStart w:id="199" w:name="_Toc461715316"/>
      <w:bookmarkStart w:id="200" w:name="_Toc462060750"/>
      <w:bookmarkStart w:id="201" w:name="_Toc54181739"/>
      <w:r>
        <w:t xml:space="preserve">TRUNcating </w:t>
      </w:r>
      <w:r w:rsidR="008C1A01">
        <w:t>amounts</w:t>
      </w:r>
      <w:bookmarkEnd w:id="199"/>
      <w:bookmarkEnd w:id="200"/>
      <w:bookmarkEnd w:id="201"/>
    </w:p>
    <w:p w14:paraId="3F366EED" w14:textId="7F18F2FE" w:rsidR="008C1A01" w:rsidRPr="00112266" w:rsidRDefault="008C1A01" w:rsidP="008C1A01">
      <w:pPr>
        <w:pStyle w:val="Maintext"/>
        <w:rPr>
          <w:sz w:val="20"/>
          <w:szCs w:val="20"/>
        </w:rPr>
      </w:pPr>
      <w:r w:rsidRPr="00112266">
        <w:rPr>
          <w:sz w:val="20"/>
          <w:szCs w:val="20"/>
        </w:rPr>
        <w:t xml:space="preserve">To ensure users of your software products </w:t>
      </w:r>
      <w:r>
        <w:rPr>
          <w:sz w:val="20"/>
          <w:szCs w:val="20"/>
        </w:rPr>
        <w:t xml:space="preserve">complete Self-managed superannuation fund annual returns correctly, only whole dollars should be shown (do not show cents). The following examples show how to </w:t>
      </w:r>
      <w:r w:rsidR="000325AA">
        <w:rPr>
          <w:sz w:val="20"/>
          <w:szCs w:val="20"/>
        </w:rPr>
        <w:t xml:space="preserve">truncate </w:t>
      </w:r>
      <w:r>
        <w:rPr>
          <w:sz w:val="20"/>
          <w:szCs w:val="20"/>
        </w:rPr>
        <w:t>amounts:</w:t>
      </w:r>
    </w:p>
    <w:p w14:paraId="264A44A7" w14:textId="77777777" w:rsidR="008C1A01" w:rsidRPr="00112266" w:rsidRDefault="008C1A01" w:rsidP="008C1A01">
      <w:pPr>
        <w:rPr>
          <w:sz w:val="20"/>
          <w:szCs w:val="20"/>
        </w:rPr>
      </w:pPr>
    </w:p>
    <w:p w14:paraId="0A388A3F" w14:textId="534C17A7" w:rsidR="008C1A01" w:rsidRPr="006D6A95" w:rsidRDefault="008C1A01" w:rsidP="008C1A01">
      <w:pPr>
        <w:tabs>
          <w:tab w:val="left" w:pos="1843"/>
        </w:tabs>
        <w:spacing w:after="120"/>
        <w:ind w:left="465"/>
        <w:rPr>
          <w:b/>
          <w:sz w:val="20"/>
          <w:szCs w:val="20"/>
        </w:rPr>
      </w:pPr>
      <w:r w:rsidRPr="00112266">
        <w:rPr>
          <w:b/>
          <w:sz w:val="20"/>
          <w:szCs w:val="20"/>
        </w:rPr>
        <w:t>Example 1:</w:t>
      </w:r>
      <w:r w:rsidRPr="00112266">
        <w:rPr>
          <w:b/>
          <w:sz w:val="20"/>
          <w:szCs w:val="20"/>
        </w:rPr>
        <w:tab/>
      </w:r>
      <w:r w:rsidRPr="006D6A95">
        <w:rPr>
          <w:sz w:val="20"/>
          <w:szCs w:val="20"/>
        </w:rPr>
        <w:t xml:space="preserve">$24.37 would be </w:t>
      </w:r>
      <w:r w:rsidR="000325AA" w:rsidRPr="006D6A95">
        <w:rPr>
          <w:sz w:val="20"/>
          <w:szCs w:val="20"/>
        </w:rPr>
        <w:t>r</w:t>
      </w:r>
      <w:r w:rsidR="000325AA">
        <w:rPr>
          <w:sz w:val="20"/>
          <w:szCs w:val="20"/>
        </w:rPr>
        <w:t>eported as</w:t>
      </w:r>
      <w:r w:rsidRPr="006D6A95">
        <w:rPr>
          <w:sz w:val="20"/>
          <w:szCs w:val="20"/>
        </w:rPr>
        <w:t xml:space="preserve"> $24</w:t>
      </w:r>
    </w:p>
    <w:p w14:paraId="361C429E" w14:textId="29343836" w:rsidR="008C1A01" w:rsidRPr="006D6A95" w:rsidRDefault="008C1A01" w:rsidP="008C1A01">
      <w:pPr>
        <w:tabs>
          <w:tab w:val="left" w:pos="1843"/>
        </w:tabs>
        <w:spacing w:after="120"/>
        <w:ind w:left="465"/>
        <w:rPr>
          <w:b/>
          <w:sz w:val="20"/>
          <w:szCs w:val="20"/>
        </w:rPr>
      </w:pPr>
      <w:r w:rsidRPr="00112266">
        <w:rPr>
          <w:b/>
          <w:sz w:val="20"/>
          <w:szCs w:val="20"/>
        </w:rPr>
        <w:t>Example 2:</w:t>
      </w:r>
      <w:r w:rsidRPr="00112266">
        <w:rPr>
          <w:b/>
          <w:sz w:val="20"/>
          <w:szCs w:val="20"/>
        </w:rPr>
        <w:tab/>
      </w:r>
      <w:r w:rsidRPr="006D6A95">
        <w:rPr>
          <w:sz w:val="20"/>
          <w:szCs w:val="20"/>
        </w:rPr>
        <w:t xml:space="preserve">$12.89 would be </w:t>
      </w:r>
      <w:r w:rsidR="000325AA">
        <w:rPr>
          <w:sz w:val="20"/>
          <w:szCs w:val="20"/>
        </w:rPr>
        <w:t>reported as</w:t>
      </w:r>
      <w:r w:rsidRPr="006D6A95">
        <w:rPr>
          <w:sz w:val="20"/>
          <w:szCs w:val="20"/>
        </w:rPr>
        <w:t xml:space="preserve"> $13</w:t>
      </w:r>
    </w:p>
    <w:p w14:paraId="753475EC" w14:textId="3BAA0CC1" w:rsidR="008C1A01" w:rsidRPr="006D6A95" w:rsidRDefault="008C1A01" w:rsidP="008C1A01">
      <w:pPr>
        <w:tabs>
          <w:tab w:val="left" w:pos="1843"/>
        </w:tabs>
        <w:spacing w:after="120"/>
        <w:ind w:left="465"/>
        <w:rPr>
          <w:b/>
          <w:sz w:val="20"/>
          <w:szCs w:val="20"/>
        </w:rPr>
      </w:pPr>
      <w:r w:rsidRPr="00112266">
        <w:rPr>
          <w:b/>
          <w:sz w:val="20"/>
          <w:szCs w:val="20"/>
        </w:rPr>
        <w:t>Example 3:</w:t>
      </w:r>
      <w:r w:rsidRPr="00112266">
        <w:rPr>
          <w:b/>
          <w:sz w:val="20"/>
          <w:szCs w:val="20"/>
        </w:rPr>
        <w:tab/>
      </w:r>
      <w:r w:rsidRPr="006D6A95">
        <w:rPr>
          <w:sz w:val="20"/>
          <w:szCs w:val="20"/>
        </w:rPr>
        <w:t xml:space="preserve">$6.50 could be </w:t>
      </w:r>
      <w:r w:rsidR="000325AA">
        <w:rPr>
          <w:sz w:val="20"/>
          <w:szCs w:val="20"/>
        </w:rPr>
        <w:t>reported as</w:t>
      </w:r>
      <w:r w:rsidRPr="006D6A95">
        <w:rPr>
          <w:sz w:val="20"/>
          <w:szCs w:val="20"/>
        </w:rPr>
        <w:t xml:space="preserve"> $6</w:t>
      </w:r>
      <w:r w:rsidR="0089348C">
        <w:rPr>
          <w:sz w:val="20"/>
          <w:szCs w:val="20"/>
        </w:rPr>
        <w:t>.</w:t>
      </w:r>
    </w:p>
    <w:p w14:paraId="789CC65B" w14:textId="77777777" w:rsidR="008C1A01" w:rsidRPr="00112266" w:rsidRDefault="008C1A01" w:rsidP="008C1A01">
      <w:pPr>
        <w:rPr>
          <w:sz w:val="20"/>
          <w:szCs w:val="20"/>
        </w:rPr>
      </w:pPr>
    </w:p>
    <w:p w14:paraId="3172995B" w14:textId="05852D99" w:rsidR="008C1A01" w:rsidRPr="00112266" w:rsidRDefault="008C1A01" w:rsidP="008C1A01">
      <w:pPr>
        <w:rPr>
          <w:sz w:val="20"/>
          <w:szCs w:val="20"/>
        </w:rPr>
      </w:pPr>
      <w:r w:rsidRPr="00112266">
        <w:rPr>
          <w:sz w:val="20"/>
          <w:szCs w:val="20"/>
        </w:rPr>
        <w:t xml:space="preserve">Once </w:t>
      </w:r>
      <w:r w:rsidR="000325AA">
        <w:rPr>
          <w:sz w:val="20"/>
          <w:szCs w:val="20"/>
        </w:rPr>
        <w:t>truncation</w:t>
      </w:r>
      <w:r w:rsidR="000325AA" w:rsidRPr="00112266">
        <w:rPr>
          <w:sz w:val="20"/>
          <w:szCs w:val="20"/>
        </w:rPr>
        <w:t xml:space="preserve"> </w:t>
      </w:r>
      <w:r w:rsidRPr="00112266">
        <w:rPr>
          <w:sz w:val="20"/>
          <w:szCs w:val="20"/>
        </w:rPr>
        <w:t xml:space="preserve">has been performed, the </w:t>
      </w:r>
      <w:r w:rsidR="000325AA">
        <w:rPr>
          <w:sz w:val="20"/>
          <w:szCs w:val="20"/>
        </w:rPr>
        <w:t>truncated</w:t>
      </w:r>
      <w:r w:rsidR="000325AA" w:rsidRPr="00112266">
        <w:rPr>
          <w:sz w:val="20"/>
          <w:szCs w:val="20"/>
        </w:rPr>
        <w:t xml:space="preserve"> </w:t>
      </w:r>
      <w:r w:rsidRPr="00112266">
        <w:rPr>
          <w:sz w:val="20"/>
          <w:szCs w:val="20"/>
        </w:rPr>
        <w:t>amount should be used in any calculation rather than the original amount (including the cents).</w:t>
      </w:r>
    </w:p>
    <w:p w14:paraId="1471FB1F" w14:textId="77777777" w:rsidR="00352E3F" w:rsidRPr="00C74A79" w:rsidRDefault="00352E3F" w:rsidP="00352E3F">
      <w:pPr>
        <w:spacing w:after="120"/>
      </w:pPr>
    </w:p>
    <w:p w14:paraId="73BB9D8A" w14:textId="0469B349" w:rsidR="00465BED" w:rsidRPr="00792FE5" w:rsidRDefault="00792FE5" w:rsidP="00792FE5">
      <w:pPr>
        <w:pStyle w:val="Caption"/>
        <w:spacing w:before="440" w:after="220"/>
        <w:ind w:left="465" w:hanging="465"/>
        <w:outlineLvl w:val="1"/>
        <w:rPr>
          <w:rFonts w:cs="Arial"/>
          <w:bCs w:val="0"/>
          <w:caps/>
          <w:color w:val="1F497D" w:themeColor="text2"/>
          <w:kern w:val="36"/>
          <w:sz w:val="24"/>
          <w:szCs w:val="24"/>
        </w:rPr>
      </w:pPr>
      <w:bookmarkStart w:id="202" w:name="_Toc54181740"/>
      <w:r w:rsidRPr="00792FE5">
        <w:rPr>
          <w:rFonts w:cs="Arial"/>
          <w:bCs w:val="0"/>
          <w:caps/>
          <w:color w:val="1F497D" w:themeColor="text2"/>
          <w:kern w:val="36"/>
          <w:sz w:val="24"/>
          <w:szCs w:val="24"/>
        </w:rPr>
        <w:t>6.6 Auditor Information</w:t>
      </w:r>
      <w:bookmarkEnd w:id="202"/>
    </w:p>
    <w:p w14:paraId="333BFEAA" w14:textId="6913BDB7" w:rsidR="00792FE5" w:rsidRPr="00792FE5" w:rsidRDefault="00792FE5" w:rsidP="00792FE5">
      <w:pPr>
        <w:rPr>
          <w:rFonts w:cs="Arial"/>
          <w:sz w:val="20"/>
          <w:szCs w:val="20"/>
        </w:rPr>
      </w:pPr>
      <w:r w:rsidRPr="00792FE5">
        <w:rPr>
          <w:rFonts w:cs="Arial"/>
          <w:sz w:val="20"/>
          <w:szCs w:val="20"/>
        </w:rPr>
        <w:t>SMSF Auditor Information Guidance (label 6), take note of the following;</w:t>
      </w:r>
    </w:p>
    <w:p w14:paraId="1FA57D5A" w14:textId="77777777" w:rsidR="00792FE5" w:rsidRPr="00792FE5" w:rsidRDefault="00792FE5" w:rsidP="00792FE5">
      <w:pPr>
        <w:pStyle w:val="ListParagraph"/>
        <w:numPr>
          <w:ilvl w:val="0"/>
          <w:numId w:val="31"/>
        </w:numPr>
        <w:contextualSpacing w:val="0"/>
        <w:rPr>
          <w:rFonts w:ascii="Arial" w:hAnsi="Arial" w:cs="Arial"/>
          <w:color w:val="000000"/>
          <w:sz w:val="20"/>
          <w:szCs w:val="20"/>
        </w:rPr>
      </w:pPr>
      <w:r w:rsidRPr="00792FE5">
        <w:rPr>
          <w:rFonts w:ascii="Arial" w:hAnsi="Arial" w:cs="Arial"/>
          <w:color w:val="000000"/>
          <w:sz w:val="20"/>
          <w:szCs w:val="20"/>
        </w:rPr>
        <w:t xml:space="preserve">the audit completion date at Question 6 Label A, information should not be rolled over from the previous financial year or prepopulated with a date the SAR is completed. This label should be left blank each year for user input. </w:t>
      </w:r>
    </w:p>
    <w:p w14:paraId="2AC6A503" w14:textId="52DE88D8" w:rsidR="00792FE5" w:rsidRPr="00792FE5" w:rsidRDefault="00792FE5" w:rsidP="00792FE5">
      <w:pPr>
        <w:pStyle w:val="ListParagraph"/>
        <w:numPr>
          <w:ilvl w:val="0"/>
          <w:numId w:val="31"/>
        </w:numPr>
        <w:contextualSpacing w:val="0"/>
        <w:rPr>
          <w:rFonts w:ascii="Arial" w:hAnsi="Arial" w:cs="Arial"/>
          <w:color w:val="000000"/>
          <w:sz w:val="20"/>
          <w:szCs w:val="20"/>
        </w:rPr>
      </w:pPr>
      <w:r w:rsidRPr="00792FE5">
        <w:rPr>
          <w:rFonts w:ascii="Arial" w:hAnsi="Arial" w:cs="Arial"/>
          <w:color w:val="000000"/>
          <w:sz w:val="20"/>
          <w:szCs w:val="20"/>
        </w:rPr>
        <w:t xml:space="preserve">Labels B, C or D at Question 6 </w:t>
      </w:r>
      <w:r>
        <w:rPr>
          <w:rFonts w:ascii="Arial" w:hAnsi="Arial" w:cs="Arial"/>
          <w:color w:val="000000"/>
          <w:sz w:val="20"/>
          <w:szCs w:val="20"/>
        </w:rPr>
        <w:t xml:space="preserve">should </w:t>
      </w:r>
      <w:r w:rsidRPr="00792FE5">
        <w:rPr>
          <w:rFonts w:ascii="Arial" w:hAnsi="Arial" w:cs="Arial"/>
          <w:color w:val="000000"/>
          <w:sz w:val="20"/>
          <w:szCs w:val="20"/>
        </w:rPr>
        <w:t>also not roll over information from the previous financial year or prepopulate with a ‘NO’ as these could change from year to year. This ensures the user completes these labels correctly</w:t>
      </w:r>
    </w:p>
    <w:p w14:paraId="21B52A3A" w14:textId="3561F803" w:rsidR="00792FE5" w:rsidRPr="00792FE5" w:rsidRDefault="00792FE5" w:rsidP="00792FE5">
      <w:pPr>
        <w:pStyle w:val="ListParagraph"/>
        <w:numPr>
          <w:ilvl w:val="0"/>
          <w:numId w:val="31"/>
        </w:numPr>
        <w:contextualSpacing w:val="0"/>
        <w:rPr>
          <w:rFonts w:ascii="Arial" w:hAnsi="Arial" w:cs="Arial"/>
          <w:color w:val="000000"/>
          <w:sz w:val="20"/>
          <w:szCs w:val="20"/>
        </w:rPr>
      </w:pPr>
      <w:r w:rsidRPr="00792FE5">
        <w:rPr>
          <w:rFonts w:ascii="Arial" w:hAnsi="Arial" w:cs="Arial"/>
          <w:color w:val="000000"/>
          <w:sz w:val="20"/>
          <w:szCs w:val="20"/>
        </w:rPr>
        <w:t>while the auditors detail’s including name, SAN, phone number and address can be rolled over from the previous financial year, your software should require the user to confirm this information prior to lodgment. The ATO has seen many incidences where the previous year’s auditors details are rolled over and the new auditor details are not updated by the user.</w:t>
      </w:r>
    </w:p>
    <w:p w14:paraId="3E21A725" w14:textId="7ED90D23" w:rsidR="00792FE5" w:rsidRPr="00792FE5" w:rsidRDefault="00792FE5" w:rsidP="00792FE5">
      <w:pPr>
        <w:pStyle w:val="ListParagraph"/>
        <w:numPr>
          <w:ilvl w:val="0"/>
          <w:numId w:val="31"/>
        </w:numPr>
        <w:contextualSpacing w:val="0"/>
        <w:rPr>
          <w:rFonts w:ascii="Arial" w:hAnsi="Arial" w:cs="Arial"/>
          <w:sz w:val="20"/>
          <w:szCs w:val="20"/>
        </w:rPr>
      </w:pPr>
      <w:r w:rsidRPr="00792FE5">
        <w:rPr>
          <w:rFonts w:ascii="Arial" w:hAnsi="Arial" w:cs="Arial"/>
          <w:color w:val="000000"/>
          <w:sz w:val="20"/>
          <w:szCs w:val="20"/>
        </w:rPr>
        <w:t>if the user needs to change the SMSF Auditor number, by default it is highly recommended that all other details that were rolled over for the previous auditor should automatically empt</w:t>
      </w:r>
      <w:r w:rsidR="00E545D6">
        <w:rPr>
          <w:rFonts w:ascii="Arial" w:hAnsi="Arial" w:cs="Arial"/>
          <w:color w:val="000000"/>
          <w:sz w:val="20"/>
          <w:szCs w:val="20"/>
        </w:rPr>
        <w:t>y</w:t>
      </w:r>
      <w:r w:rsidRPr="00792FE5">
        <w:rPr>
          <w:rFonts w:ascii="Arial" w:hAnsi="Arial" w:cs="Arial"/>
          <w:color w:val="000000"/>
          <w:sz w:val="20"/>
          <w:szCs w:val="20"/>
        </w:rPr>
        <w:t xml:space="preserve"> to ensure the name, address and contact details for the new auditor are also correct. This is because we often find a mismatch </w:t>
      </w:r>
      <w:r w:rsidRPr="00792FE5">
        <w:rPr>
          <w:rFonts w:ascii="Arial" w:hAnsi="Arial" w:cs="Arial"/>
          <w:sz w:val="20"/>
          <w:szCs w:val="20"/>
        </w:rPr>
        <w:t xml:space="preserve">between the auditor’s name and SMSF Auditor number when reviewing SARs </w:t>
      </w:r>
      <w:r w:rsidR="00A01C6A">
        <w:rPr>
          <w:rFonts w:ascii="Arial" w:hAnsi="Arial" w:cs="Arial"/>
          <w:sz w:val="20"/>
          <w:szCs w:val="20"/>
        </w:rPr>
        <w:t xml:space="preserve">that </w:t>
      </w:r>
      <w:r w:rsidRPr="00792FE5">
        <w:rPr>
          <w:rFonts w:ascii="Arial" w:hAnsi="Arial" w:cs="Arial"/>
          <w:sz w:val="20"/>
          <w:szCs w:val="20"/>
        </w:rPr>
        <w:t>trigger manual intervention or audit requirements.</w:t>
      </w:r>
    </w:p>
    <w:p w14:paraId="2C161980" w14:textId="77777777" w:rsidR="00792FE5" w:rsidRDefault="00792FE5" w:rsidP="00792FE5">
      <w:pPr>
        <w:rPr>
          <w:rFonts w:eastAsiaTheme="minorHAnsi"/>
        </w:rPr>
      </w:pPr>
    </w:p>
    <w:p w14:paraId="3EAB8751" w14:textId="77777777" w:rsidR="00792FE5" w:rsidRPr="00792FE5" w:rsidRDefault="00792FE5" w:rsidP="00792FE5"/>
    <w:sectPr w:rsidR="00792FE5" w:rsidRPr="00792FE5" w:rsidSect="00087930">
      <w:headerReference w:type="even" r:id="rId30"/>
      <w:headerReference w:type="first" r:id="rId31"/>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42854" w14:textId="77777777" w:rsidR="00551088" w:rsidRDefault="00551088">
      <w:r>
        <w:separator/>
      </w:r>
    </w:p>
  </w:endnote>
  <w:endnote w:type="continuationSeparator" w:id="0">
    <w:p w14:paraId="3401146F" w14:textId="77777777" w:rsidR="00551088" w:rsidRDefault="0055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A04C" w14:textId="77777777" w:rsidR="003A6397" w:rsidRPr="00F00397" w:rsidRDefault="003A6397" w:rsidP="00306AE8">
    <w:pPr>
      <w:pStyle w:val="FooterPortrait"/>
      <w:pBdr>
        <w:top w:val="single" w:sz="4" w:space="1" w:color="auto"/>
      </w:pBdr>
      <w:tabs>
        <w:tab w:val="clear" w:pos="1021"/>
        <w:tab w:val="left" w:pos="0"/>
        <w:tab w:val="center" w:pos="4649"/>
        <w:tab w:val="right" w:pos="9299"/>
      </w:tabs>
      <w:rPr>
        <w:sz w:val="16"/>
        <w:szCs w:val="16"/>
      </w:rPr>
    </w:pPr>
    <w:r w:rsidRPr="00F00397">
      <w:rPr>
        <w:sz w:val="16"/>
        <w:szCs w:val="16"/>
      </w:rPr>
      <w:t>Version 1.0</w:t>
    </w:r>
    <w:r w:rsidRPr="00F00397">
      <w:rPr>
        <w:sz w:val="16"/>
        <w:szCs w:val="16"/>
      </w:rPr>
      <w:tab/>
    </w:r>
    <w:r w:rsidRPr="00F00397">
      <w:rPr>
        <w:sz w:val="16"/>
        <w:szCs w:val="16"/>
      </w:rPr>
      <w:fldChar w:fldCharType="begin"/>
    </w:r>
    <w:r w:rsidRPr="00F00397">
      <w:rPr>
        <w:sz w:val="16"/>
        <w:szCs w:val="16"/>
      </w:rPr>
      <w:instrText xml:space="preserve"> bkmkCLASSIFICATION  \* MERGEFORMAT </w:instrText>
    </w:r>
    <w:r w:rsidRPr="00F00397">
      <w:rPr>
        <w:sz w:val="16"/>
        <w:szCs w:val="16"/>
      </w:rPr>
      <w:fldChar w:fldCharType="separate"/>
    </w:r>
    <w:r w:rsidRPr="00F00397">
      <w:rPr>
        <w:sz w:val="16"/>
        <w:szCs w:val="16"/>
      </w:rPr>
      <w:t>Unclassified</w:t>
    </w:r>
    <w:r w:rsidRPr="00F00397">
      <w:rPr>
        <w:sz w:val="16"/>
        <w:szCs w:val="16"/>
      </w:rPr>
      <w:fldChar w:fldCharType="end"/>
    </w:r>
    <w:r w:rsidRPr="00F00397">
      <w:rPr>
        <w:sz w:val="16"/>
        <w:szCs w:val="16"/>
      </w:rPr>
      <w:tab/>
      <w:t>PAGE</w:t>
    </w:r>
    <w:r w:rsidRPr="00F00397">
      <w:rPr>
        <w:spacing w:val="20"/>
        <w:sz w:val="16"/>
        <w:szCs w:val="16"/>
      </w:rPr>
      <w:t xml:space="preserve"> </w:t>
    </w:r>
    <w:r w:rsidRPr="00F00397">
      <w:rPr>
        <w:sz w:val="16"/>
        <w:szCs w:val="16"/>
      </w:rPr>
      <w:fldChar w:fldCharType="begin"/>
    </w:r>
    <w:r w:rsidRPr="00F00397">
      <w:rPr>
        <w:sz w:val="16"/>
        <w:szCs w:val="16"/>
      </w:rPr>
      <w:instrText xml:space="preserve"> PAGE   \* MERGEFORMAT </w:instrText>
    </w:r>
    <w:r w:rsidRPr="00F00397">
      <w:rPr>
        <w:sz w:val="16"/>
        <w:szCs w:val="16"/>
      </w:rPr>
      <w:fldChar w:fldCharType="separate"/>
    </w:r>
    <w:r w:rsidRPr="00F00397">
      <w:rPr>
        <w:noProof/>
        <w:sz w:val="16"/>
        <w:szCs w:val="16"/>
      </w:rPr>
      <w:t>2</w:t>
    </w:r>
    <w:r w:rsidRPr="00F00397">
      <w:rPr>
        <w:sz w:val="16"/>
        <w:szCs w:val="16"/>
      </w:rPr>
      <w:fldChar w:fldCharType="end"/>
    </w:r>
    <w:r w:rsidRPr="00F00397">
      <w:rPr>
        <w:sz w:val="16"/>
        <w:szCs w:val="16"/>
      </w:rPr>
      <w:t xml:space="preserve"> OF </w:t>
    </w:r>
    <w:r w:rsidRPr="00F00397">
      <w:rPr>
        <w:sz w:val="16"/>
        <w:szCs w:val="16"/>
      </w:rPr>
      <w:fldChar w:fldCharType="begin"/>
    </w:r>
    <w:r w:rsidRPr="00F00397">
      <w:rPr>
        <w:sz w:val="16"/>
        <w:szCs w:val="16"/>
      </w:rPr>
      <w:instrText xml:space="preserve"> NUMPAGES   \* MERGEFORMAT </w:instrText>
    </w:r>
    <w:r w:rsidRPr="00F00397">
      <w:rPr>
        <w:sz w:val="16"/>
        <w:szCs w:val="16"/>
      </w:rPr>
      <w:fldChar w:fldCharType="separate"/>
    </w:r>
    <w:r w:rsidRPr="00F00397">
      <w:rPr>
        <w:noProof/>
        <w:sz w:val="16"/>
        <w:szCs w:val="16"/>
      </w:rPr>
      <w:t>12</w:t>
    </w:r>
    <w:r w:rsidRPr="00F00397">
      <w:rPr>
        <w:noProof/>
        <w:sz w:val="16"/>
        <w:szCs w:val="16"/>
      </w:rPr>
      <w:fldChar w:fldCharType="end"/>
    </w:r>
  </w:p>
  <w:p w14:paraId="6D177413" w14:textId="77777777" w:rsidR="003A6397" w:rsidRPr="009E2CEE" w:rsidRDefault="003A6397"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9CE78" w14:textId="77777777" w:rsidR="00551088" w:rsidRDefault="00551088">
      <w:r>
        <w:separator/>
      </w:r>
    </w:p>
  </w:footnote>
  <w:footnote w:type="continuationSeparator" w:id="0">
    <w:p w14:paraId="302B6BA0" w14:textId="77777777" w:rsidR="00551088" w:rsidRDefault="00551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7EAF2" w14:textId="3033E241" w:rsidR="003A6397" w:rsidRPr="00F00397" w:rsidRDefault="003A6397" w:rsidP="00257E9E">
    <w:pPr>
      <w:pStyle w:val="Header"/>
      <w:pBdr>
        <w:bottom w:val="single" w:sz="4" w:space="1" w:color="auto"/>
      </w:pBdr>
      <w:tabs>
        <w:tab w:val="left" w:pos="0"/>
        <w:tab w:val="right" w:pos="9299"/>
      </w:tabs>
      <w:rPr>
        <w:sz w:val="16"/>
        <w:szCs w:val="16"/>
      </w:rPr>
    </w:pPr>
    <w:r w:rsidRPr="00F00397">
      <w:rPr>
        <w:sz w:val="16"/>
        <w:szCs w:val="16"/>
      </w:rPr>
      <w:t xml:space="preserve">Standard business reporting </w:t>
    </w:r>
    <w:r w:rsidRPr="00F00397">
      <w:rPr>
        <w:sz w:val="16"/>
        <w:szCs w:val="16"/>
      </w:rPr>
      <w:tab/>
      <w:t>ATO SMSFAR.00</w:t>
    </w:r>
    <w:r>
      <w:rPr>
        <w:sz w:val="16"/>
        <w:szCs w:val="16"/>
      </w:rPr>
      <w:t>10</w:t>
    </w:r>
    <w:r w:rsidRPr="00F00397">
      <w:rPr>
        <w:sz w:val="16"/>
        <w:szCs w:val="16"/>
      </w:rPr>
      <w:t xml:space="preserve"> 20</w:t>
    </w:r>
    <w:r>
      <w:rPr>
        <w:sz w:val="16"/>
        <w:szCs w:val="16"/>
      </w:rPr>
      <w:t>20</w:t>
    </w:r>
    <w:r w:rsidRPr="00F00397">
      <w:rPr>
        <w:sz w:val="16"/>
        <w:szCs w:val="16"/>
      </w:rPr>
      <w:t xml:space="preserve"> Business Implementation Guide</w:t>
    </w:r>
  </w:p>
  <w:p w14:paraId="516D461E" w14:textId="77777777" w:rsidR="003A6397" w:rsidRPr="000D1EAD" w:rsidRDefault="003A6397"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BE26" w14:textId="77777777" w:rsidR="003A6397" w:rsidRDefault="003A63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EF006" w14:textId="77777777" w:rsidR="003A6397" w:rsidRDefault="003A63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24720" w14:textId="77777777" w:rsidR="003A6397" w:rsidRDefault="003A63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7A8B1" w14:textId="77777777" w:rsidR="003A6397" w:rsidRDefault="003A6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15:restartNumberingAfterBreak="0">
    <w:nsid w:val="415F25B4"/>
    <w:multiLevelType w:val="hybridMultilevel"/>
    <w:tmpl w:val="50924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F328D6"/>
    <w:multiLevelType w:val="multilevel"/>
    <w:tmpl w:val="44C0D3B2"/>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9A114A8"/>
    <w:multiLevelType w:val="hybridMultilevel"/>
    <w:tmpl w:val="361C59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4"/>
  </w:num>
  <w:num w:numId="3">
    <w:abstractNumId w:val="23"/>
  </w:num>
  <w:num w:numId="4">
    <w:abstractNumId w:val="9"/>
  </w:num>
  <w:num w:numId="5">
    <w:abstractNumId w:val="25"/>
  </w:num>
  <w:num w:numId="6">
    <w:abstractNumId w:val="19"/>
  </w:num>
  <w:num w:numId="7">
    <w:abstractNumId w:val="12"/>
  </w:num>
  <w:num w:numId="8">
    <w:abstractNumId w:val="12"/>
  </w:num>
  <w:num w:numId="9">
    <w:abstractNumId w:val="0"/>
  </w:num>
  <w:num w:numId="10">
    <w:abstractNumId w:val="13"/>
  </w:num>
  <w:num w:numId="11">
    <w:abstractNumId w:val="22"/>
  </w:num>
  <w:num w:numId="12">
    <w:abstractNumId w:val="21"/>
  </w:num>
  <w:num w:numId="13">
    <w:abstractNumId w:val="20"/>
  </w:num>
  <w:num w:numId="14">
    <w:abstractNumId w:val="1"/>
  </w:num>
  <w:num w:numId="15">
    <w:abstractNumId w:val="18"/>
  </w:num>
  <w:num w:numId="16">
    <w:abstractNumId w:val="16"/>
  </w:num>
  <w:num w:numId="17">
    <w:abstractNumId w:val="15"/>
  </w:num>
  <w:num w:numId="18">
    <w:abstractNumId w:va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1"/>
  </w:num>
  <w:num w:numId="23">
    <w:abstractNumId w:val="7"/>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3"/>
  </w:num>
  <w:num w:numId="27">
    <w:abstractNumId w:val="4"/>
  </w:num>
  <w:num w:numId="28">
    <w:abstractNumId w:val="11"/>
  </w:num>
  <w:num w:numId="29">
    <w:abstractNumId w:val="1"/>
  </w:num>
  <w:num w:numId="30">
    <w:abstractNumId w:val="21"/>
  </w:num>
  <w:num w:numId="31">
    <w:abstractNumId w:val="17"/>
  </w:num>
  <w:num w:numId="32">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8193">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11756"/>
    <w:rsid w:val="00012235"/>
    <w:rsid w:val="000130A6"/>
    <w:rsid w:val="00013E12"/>
    <w:rsid w:val="00014833"/>
    <w:rsid w:val="00015C96"/>
    <w:rsid w:val="00022AB9"/>
    <w:rsid w:val="000230BC"/>
    <w:rsid w:val="00025759"/>
    <w:rsid w:val="00025B89"/>
    <w:rsid w:val="00027BB4"/>
    <w:rsid w:val="000312D7"/>
    <w:rsid w:val="000325AA"/>
    <w:rsid w:val="000332BA"/>
    <w:rsid w:val="00033B8D"/>
    <w:rsid w:val="00035193"/>
    <w:rsid w:val="0003621E"/>
    <w:rsid w:val="0003670F"/>
    <w:rsid w:val="0004125F"/>
    <w:rsid w:val="000412C4"/>
    <w:rsid w:val="00043BA0"/>
    <w:rsid w:val="00047268"/>
    <w:rsid w:val="00047699"/>
    <w:rsid w:val="00050715"/>
    <w:rsid w:val="00054686"/>
    <w:rsid w:val="000557DC"/>
    <w:rsid w:val="00055F00"/>
    <w:rsid w:val="00060032"/>
    <w:rsid w:val="00063673"/>
    <w:rsid w:val="000663F6"/>
    <w:rsid w:val="00066F52"/>
    <w:rsid w:val="0007069E"/>
    <w:rsid w:val="00074BFF"/>
    <w:rsid w:val="000763AF"/>
    <w:rsid w:val="000772A0"/>
    <w:rsid w:val="000832D5"/>
    <w:rsid w:val="00083B3D"/>
    <w:rsid w:val="00084A54"/>
    <w:rsid w:val="00087930"/>
    <w:rsid w:val="00096CE1"/>
    <w:rsid w:val="000A1254"/>
    <w:rsid w:val="000A34CF"/>
    <w:rsid w:val="000A6854"/>
    <w:rsid w:val="000B042A"/>
    <w:rsid w:val="000B201C"/>
    <w:rsid w:val="000B2573"/>
    <w:rsid w:val="000B42A5"/>
    <w:rsid w:val="000B4574"/>
    <w:rsid w:val="000B4719"/>
    <w:rsid w:val="000B4796"/>
    <w:rsid w:val="000B7F9B"/>
    <w:rsid w:val="000C2812"/>
    <w:rsid w:val="000C4A11"/>
    <w:rsid w:val="000C551A"/>
    <w:rsid w:val="000C6BFF"/>
    <w:rsid w:val="000D00A7"/>
    <w:rsid w:val="000D1A8F"/>
    <w:rsid w:val="000D1EAD"/>
    <w:rsid w:val="000D5978"/>
    <w:rsid w:val="000D74F8"/>
    <w:rsid w:val="000E1CF8"/>
    <w:rsid w:val="000E1F6B"/>
    <w:rsid w:val="000E2F09"/>
    <w:rsid w:val="000E4888"/>
    <w:rsid w:val="000E4D14"/>
    <w:rsid w:val="000E5598"/>
    <w:rsid w:val="000E7CF9"/>
    <w:rsid w:val="000E7E0F"/>
    <w:rsid w:val="000F2811"/>
    <w:rsid w:val="000F31ED"/>
    <w:rsid w:val="000F4A34"/>
    <w:rsid w:val="000F5715"/>
    <w:rsid w:val="000F7C18"/>
    <w:rsid w:val="0010289F"/>
    <w:rsid w:val="00105EB7"/>
    <w:rsid w:val="001068B9"/>
    <w:rsid w:val="00107D66"/>
    <w:rsid w:val="00110366"/>
    <w:rsid w:val="00110CAA"/>
    <w:rsid w:val="001121FA"/>
    <w:rsid w:val="00112B9B"/>
    <w:rsid w:val="001153BF"/>
    <w:rsid w:val="001162BF"/>
    <w:rsid w:val="00116C78"/>
    <w:rsid w:val="00117670"/>
    <w:rsid w:val="0011782E"/>
    <w:rsid w:val="00121237"/>
    <w:rsid w:val="00123AF4"/>
    <w:rsid w:val="00123B27"/>
    <w:rsid w:val="00131431"/>
    <w:rsid w:val="0013385D"/>
    <w:rsid w:val="00133A98"/>
    <w:rsid w:val="001341CF"/>
    <w:rsid w:val="00135417"/>
    <w:rsid w:val="00137172"/>
    <w:rsid w:val="001373E0"/>
    <w:rsid w:val="0014110D"/>
    <w:rsid w:val="00141907"/>
    <w:rsid w:val="00141DB4"/>
    <w:rsid w:val="00146E2B"/>
    <w:rsid w:val="00147184"/>
    <w:rsid w:val="001471CA"/>
    <w:rsid w:val="00147AB6"/>
    <w:rsid w:val="00153FF6"/>
    <w:rsid w:val="001542D3"/>
    <w:rsid w:val="00154370"/>
    <w:rsid w:val="00157818"/>
    <w:rsid w:val="00160FBD"/>
    <w:rsid w:val="001611D3"/>
    <w:rsid w:val="00164D1A"/>
    <w:rsid w:val="001663C8"/>
    <w:rsid w:val="001674AE"/>
    <w:rsid w:val="00167D15"/>
    <w:rsid w:val="00171C33"/>
    <w:rsid w:val="00171DBC"/>
    <w:rsid w:val="00173F1C"/>
    <w:rsid w:val="00174B68"/>
    <w:rsid w:val="0018131A"/>
    <w:rsid w:val="001830AF"/>
    <w:rsid w:val="001866D4"/>
    <w:rsid w:val="0018699B"/>
    <w:rsid w:val="0018731A"/>
    <w:rsid w:val="00187639"/>
    <w:rsid w:val="001904D7"/>
    <w:rsid w:val="00191B6C"/>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D22E4"/>
    <w:rsid w:val="001D3358"/>
    <w:rsid w:val="001D43AC"/>
    <w:rsid w:val="001D4CF8"/>
    <w:rsid w:val="001D71DB"/>
    <w:rsid w:val="001D727D"/>
    <w:rsid w:val="001E1997"/>
    <w:rsid w:val="001E2519"/>
    <w:rsid w:val="001E322F"/>
    <w:rsid w:val="001E4E9C"/>
    <w:rsid w:val="001F2C36"/>
    <w:rsid w:val="001F5843"/>
    <w:rsid w:val="001F6B94"/>
    <w:rsid w:val="001F7F87"/>
    <w:rsid w:val="00200125"/>
    <w:rsid w:val="00202D18"/>
    <w:rsid w:val="00205B14"/>
    <w:rsid w:val="00210B7C"/>
    <w:rsid w:val="00212AA8"/>
    <w:rsid w:val="00212C42"/>
    <w:rsid w:val="00212D2F"/>
    <w:rsid w:val="0021701A"/>
    <w:rsid w:val="00217895"/>
    <w:rsid w:val="00223C2F"/>
    <w:rsid w:val="00223D67"/>
    <w:rsid w:val="00225E39"/>
    <w:rsid w:val="00226B53"/>
    <w:rsid w:val="00227B0D"/>
    <w:rsid w:val="002317F0"/>
    <w:rsid w:val="00231A93"/>
    <w:rsid w:val="00235833"/>
    <w:rsid w:val="0023616C"/>
    <w:rsid w:val="00236237"/>
    <w:rsid w:val="00237773"/>
    <w:rsid w:val="00242E67"/>
    <w:rsid w:val="002441E2"/>
    <w:rsid w:val="00246D26"/>
    <w:rsid w:val="00253E17"/>
    <w:rsid w:val="00255922"/>
    <w:rsid w:val="00256BAB"/>
    <w:rsid w:val="00257698"/>
    <w:rsid w:val="00257E9E"/>
    <w:rsid w:val="00260088"/>
    <w:rsid w:val="00260103"/>
    <w:rsid w:val="002621EF"/>
    <w:rsid w:val="00263260"/>
    <w:rsid w:val="00265236"/>
    <w:rsid w:val="00270940"/>
    <w:rsid w:val="00271340"/>
    <w:rsid w:val="002735EE"/>
    <w:rsid w:val="00275CC0"/>
    <w:rsid w:val="002835D1"/>
    <w:rsid w:val="00283DB7"/>
    <w:rsid w:val="002843DC"/>
    <w:rsid w:val="00293AA5"/>
    <w:rsid w:val="00294AF8"/>
    <w:rsid w:val="00294B12"/>
    <w:rsid w:val="00294E49"/>
    <w:rsid w:val="00295716"/>
    <w:rsid w:val="00296369"/>
    <w:rsid w:val="002A4203"/>
    <w:rsid w:val="002B1825"/>
    <w:rsid w:val="002B1885"/>
    <w:rsid w:val="002B5BF0"/>
    <w:rsid w:val="002B6066"/>
    <w:rsid w:val="002C04B3"/>
    <w:rsid w:val="002C189D"/>
    <w:rsid w:val="002C3A5E"/>
    <w:rsid w:val="002C4592"/>
    <w:rsid w:val="002C4F35"/>
    <w:rsid w:val="002D067A"/>
    <w:rsid w:val="002D0DA6"/>
    <w:rsid w:val="002D1055"/>
    <w:rsid w:val="002D13E7"/>
    <w:rsid w:val="002D254D"/>
    <w:rsid w:val="002D316E"/>
    <w:rsid w:val="002D6246"/>
    <w:rsid w:val="002E0774"/>
    <w:rsid w:val="002E2946"/>
    <w:rsid w:val="002E3D39"/>
    <w:rsid w:val="002E4201"/>
    <w:rsid w:val="002E531A"/>
    <w:rsid w:val="002E60BA"/>
    <w:rsid w:val="002F0764"/>
    <w:rsid w:val="002F0B1A"/>
    <w:rsid w:val="002F1488"/>
    <w:rsid w:val="002F2148"/>
    <w:rsid w:val="002F232A"/>
    <w:rsid w:val="002F367C"/>
    <w:rsid w:val="002F5738"/>
    <w:rsid w:val="002F5FC7"/>
    <w:rsid w:val="002F64EB"/>
    <w:rsid w:val="00301C10"/>
    <w:rsid w:val="00301F14"/>
    <w:rsid w:val="0030570B"/>
    <w:rsid w:val="00306AE8"/>
    <w:rsid w:val="003143AE"/>
    <w:rsid w:val="003151F8"/>
    <w:rsid w:val="00321890"/>
    <w:rsid w:val="003222D4"/>
    <w:rsid w:val="0032267E"/>
    <w:rsid w:val="00322BF4"/>
    <w:rsid w:val="00324F3B"/>
    <w:rsid w:val="00336249"/>
    <w:rsid w:val="00352E3F"/>
    <w:rsid w:val="00353C76"/>
    <w:rsid w:val="003551BD"/>
    <w:rsid w:val="00356DBC"/>
    <w:rsid w:val="00362063"/>
    <w:rsid w:val="0036331B"/>
    <w:rsid w:val="00363E0F"/>
    <w:rsid w:val="00370CD9"/>
    <w:rsid w:val="00372577"/>
    <w:rsid w:val="00372F49"/>
    <w:rsid w:val="0038321C"/>
    <w:rsid w:val="003837F1"/>
    <w:rsid w:val="00384631"/>
    <w:rsid w:val="00384CFA"/>
    <w:rsid w:val="0038661D"/>
    <w:rsid w:val="00387177"/>
    <w:rsid w:val="003917D5"/>
    <w:rsid w:val="00395079"/>
    <w:rsid w:val="00397045"/>
    <w:rsid w:val="0039758E"/>
    <w:rsid w:val="003A12FB"/>
    <w:rsid w:val="003A1441"/>
    <w:rsid w:val="003A226B"/>
    <w:rsid w:val="003A529E"/>
    <w:rsid w:val="003A6397"/>
    <w:rsid w:val="003A64AF"/>
    <w:rsid w:val="003A7440"/>
    <w:rsid w:val="003A74FC"/>
    <w:rsid w:val="003B17AE"/>
    <w:rsid w:val="003B2849"/>
    <w:rsid w:val="003B4142"/>
    <w:rsid w:val="003B5DEA"/>
    <w:rsid w:val="003B7069"/>
    <w:rsid w:val="003C1EF0"/>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3EFE"/>
    <w:rsid w:val="00416E4A"/>
    <w:rsid w:val="00420CF3"/>
    <w:rsid w:val="00421F41"/>
    <w:rsid w:val="004220F4"/>
    <w:rsid w:val="00423067"/>
    <w:rsid w:val="004241EF"/>
    <w:rsid w:val="004252A3"/>
    <w:rsid w:val="00430633"/>
    <w:rsid w:val="00430FED"/>
    <w:rsid w:val="0043226D"/>
    <w:rsid w:val="00432D6B"/>
    <w:rsid w:val="004335BD"/>
    <w:rsid w:val="00433743"/>
    <w:rsid w:val="0043401E"/>
    <w:rsid w:val="004367E6"/>
    <w:rsid w:val="00441CFB"/>
    <w:rsid w:val="00442E1F"/>
    <w:rsid w:val="00443851"/>
    <w:rsid w:val="004455A3"/>
    <w:rsid w:val="00447E66"/>
    <w:rsid w:val="00450719"/>
    <w:rsid w:val="004507E3"/>
    <w:rsid w:val="00451C3D"/>
    <w:rsid w:val="00451D6C"/>
    <w:rsid w:val="0045206E"/>
    <w:rsid w:val="00452782"/>
    <w:rsid w:val="004551F0"/>
    <w:rsid w:val="00455202"/>
    <w:rsid w:val="00457682"/>
    <w:rsid w:val="00457718"/>
    <w:rsid w:val="0046044B"/>
    <w:rsid w:val="00463ED2"/>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77BC"/>
    <w:rsid w:val="0049243B"/>
    <w:rsid w:val="00493303"/>
    <w:rsid w:val="00495328"/>
    <w:rsid w:val="00496488"/>
    <w:rsid w:val="004A2614"/>
    <w:rsid w:val="004A46DE"/>
    <w:rsid w:val="004A5033"/>
    <w:rsid w:val="004A6FAB"/>
    <w:rsid w:val="004B0896"/>
    <w:rsid w:val="004B1DD1"/>
    <w:rsid w:val="004B3DB2"/>
    <w:rsid w:val="004B5DB6"/>
    <w:rsid w:val="004B7950"/>
    <w:rsid w:val="004C027B"/>
    <w:rsid w:val="004C20D6"/>
    <w:rsid w:val="004C33A4"/>
    <w:rsid w:val="004C7E44"/>
    <w:rsid w:val="004D2F0A"/>
    <w:rsid w:val="004D4975"/>
    <w:rsid w:val="004E312C"/>
    <w:rsid w:val="004E4EF7"/>
    <w:rsid w:val="004E64B7"/>
    <w:rsid w:val="004F09E9"/>
    <w:rsid w:val="004F28F6"/>
    <w:rsid w:val="004F3600"/>
    <w:rsid w:val="00503639"/>
    <w:rsid w:val="00507AC4"/>
    <w:rsid w:val="0051019E"/>
    <w:rsid w:val="005104AF"/>
    <w:rsid w:val="00510750"/>
    <w:rsid w:val="00513BD0"/>
    <w:rsid w:val="00514EB9"/>
    <w:rsid w:val="00515215"/>
    <w:rsid w:val="00516F4C"/>
    <w:rsid w:val="00522B16"/>
    <w:rsid w:val="00524DE7"/>
    <w:rsid w:val="005253C2"/>
    <w:rsid w:val="00526BCD"/>
    <w:rsid w:val="00527002"/>
    <w:rsid w:val="00527AB5"/>
    <w:rsid w:val="00527C80"/>
    <w:rsid w:val="00532ECE"/>
    <w:rsid w:val="00534444"/>
    <w:rsid w:val="00537DEC"/>
    <w:rsid w:val="00541024"/>
    <w:rsid w:val="00542031"/>
    <w:rsid w:val="00545D7E"/>
    <w:rsid w:val="00551088"/>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73E"/>
    <w:rsid w:val="0057520A"/>
    <w:rsid w:val="0058034B"/>
    <w:rsid w:val="005825FE"/>
    <w:rsid w:val="00583359"/>
    <w:rsid w:val="00584184"/>
    <w:rsid w:val="00591988"/>
    <w:rsid w:val="00594654"/>
    <w:rsid w:val="00594ED8"/>
    <w:rsid w:val="00595EF2"/>
    <w:rsid w:val="00596F0B"/>
    <w:rsid w:val="005A0A3C"/>
    <w:rsid w:val="005A0E3C"/>
    <w:rsid w:val="005A1B20"/>
    <w:rsid w:val="005A1EA8"/>
    <w:rsid w:val="005A6CEE"/>
    <w:rsid w:val="005A6D53"/>
    <w:rsid w:val="005A7AA3"/>
    <w:rsid w:val="005B06A6"/>
    <w:rsid w:val="005B1F5C"/>
    <w:rsid w:val="005B5804"/>
    <w:rsid w:val="005B6728"/>
    <w:rsid w:val="005B6C7F"/>
    <w:rsid w:val="005C02B1"/>
    <w:rsid w:val="005C1F5D"/>
    <w:rsid w:val="005C1F91"/>
    <w:rsid w:val="005C2549"/>
    <w:rsid w:val="005C3478"/>
    <w:rsid w:val="005C3833"/>
    <w:rsid w:val="005C42E3"/>
    <w:rsid w:val="005D32B8"/>
    <w:rsid w:val="005D3F08"/>
    <w:rsid w:val="005D6AF0"/>
    <w:rsid w:val="005D71B4"/>
    <w:rsid w:val="005D7D14"/>
    <w:rsid w:val="005E1344"/>
    <w:rsid w:val="005E3529"/>
    <w:rsid w:val="005E7672"/>
    <w:rsid w:val="005F1A97"/>
    <w:rsid w:val="005F4E84"/>
    <w:rsid w:val="005F7506"/>
    <w:rsid w:val="005F755C"/>
    <w:rsid w:val="00600B43"/>
    <w:rsid w:val="00601BD3"/>
    <w:rsid w:val="00604A33"/>
    <w:rsid w:val="00604DD6"/>
    <w:rsid w:val="00610975"/>
    <w:rsid w:val="00611012"/>
    <w:rsid w:val="006142CF"/>
    <w:rsid w:val="00616CC9"/>
    <w:rsid w:val="00620427"/>
    <w:rsid w:val="00621624"/>
    <w:rsid w:val="00624F62"/>
    <w:rsid w:val="00627901"/>
    <w:rsid w:val="0063091C"/>
    <w:rsid w:val="0063233A"/>
    <w:rsid w:val="00633265"/>
    <w:rsid w:val="00634AC0"/>
    <w:rsid w:val="00636184"/>
    <w:rsid w:val="00636B16"/>
    <w:rsid w:val="0064147E"/>
    <w:rsid w:val="00645630"/>
    <w:rsid w:val="0064574B"/>
    <w:rsid w:val="00645D27"/>
    <w:rsid w:val="0065009E"/>
    <w:rsid w:val="00650882"/>
    <w:rsid w:val="006564B5"/>
    <w:rsid w:val="006567D3"/>
    <w:rsid w:val="00656B39"/>
    <w:rsid w:val="00656CD9"/>
    <w:rsid w:val="006572EE"/>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6FD2"/>
    <w:rsid w:val="006908BA"/>
    <w:rsid w:val="00694FAD"/>
    <w:rsid w:val="006978EA"/>
    <w:rsid w:val="006A0F87"/>
    <w:rsid w:val="006A708C"/>
    <w:rsid w:val="006A730C"/>
    <w:rsid w:val="006A7FCA"/>
    <w:rsid w:val="006B09B1"/>
    <w:rsid w:val="006B2492"/>
    <w:rsid w:val="006B409A"/>
    <w:rsid w:val="006B4DA1"/>
    <w:rsid w:val="006B75D3"/>
    <w:rsid w:val="006C5340"/>
    <w:rsid w:val="006D1A5E"/>
    <w:rsid w:val="006D2DAF"/>
    <w:rsid w:val="006D3527"/>
    <w:rsid w:val="006D660F"/>
    <w:rsid w:val="006D733A"/>
    <w:rsid w:val="006E3044"/>
    <w:rsid w:val="006E40EE"/>
    <w:rsid w:val="006F179C"/>
    <w:rsid w:val="006F49A8"/>
    <w:rsid w:val="006F792A"/>
    <w:rsid w:val="00700D7D"/>
    <w:rsid w:val="0070128A"/>
    <w:rsid w:val="00702ED8"/>
    <w:rsid w:val="00711AA7"/>
    <w:rsid w:val="007139BE"/>
    <w:rsid w:val="00720B7A"/>
    <w:rsid w:val="00721207"/>
    <w:rsid w:val="00721895"/>
    <w:rsid w:val="00722470"/>
    <w:rsid w:val="007227E1"/>
    <w:rsid w:val="00727F08"/>
    <w:rsid w:val="00731B58"/>
    <w:rsid w:val="00731DDD"/>
    <w:rsid w:val="0073254F"/>
    <w:rsid w:val="00732EE6"/>
    <w:rsid w:val="0073486D"/>
    <w:rsid w:val="00735A3C"/>
    <w:rsid w:val="00735C52"/>
    <w:rsid w:val="00740643"/>
    <w:rsid w:val="0074208D"/>
    <w:rsid w:val="00742B33"/>
    <w:rsid w:val="00751C5E"/>
    <w:rsid w:val="00752747"/>
    <w:rsid w:val="007538E3"/>
    <w:rsid w:val="00754444"/>
    <w:rsid w:val="00762342"/>
    <w:rsid w:val="00767223"/>
    <w:rsid w:val="007709F9"/>
    <w:rsid w:val="00772699"/>
    <w:rsid w:val="007726B3"/>
    <w:rsid w:val="00773717"/>
    <w:rsid w:val="0077590D"/>
    <w:rsid w:val="00775A9C"/>
    <w:rsid w:val="0077689D"/>
    <w:rsid w:val="00783120"/>
    <w:rsid w:val="00783588"/>
    <w:rsid w:val="0078373F"/>
    <w:rsid w:val="00783E67"/>
    <w:rsid w:val="00785F2D"/>
    <w:rsid w:val="00786873"/>
    <w:rsid w:val="00786B77"/>
    <w:rsid w:val="00791C7B"/>
    <w:rsid w:val="0079242A"/>
    <w:rsid w:val="00792FE5"/>
    <w:rsid w:val="00794AA8"/>
    <w:rsid w:val="0079524F"/>
    <w:rsid w:val="00797460"/>
    <w:rsid w:val="00797BDC"/>
    <w:rsid w:val="00797F3B"/>
    <w:rsid w:val="007A094B"/>
    <w:rsid w:val="007A36F2"/>
    <w:rsid w:val="007A4F2A"/>
    <w:rsid w:val="007C0085"/>
    <w:rsid w:val="007C44A9"/>
    <w:rsid w:val="007C53CD"/>
    <w:rsid w:val="007C7EA3"/>
    <w:rsid w:val="007D0FDF"/>
    <w:rsid w:val="007D1BC4"/>
    <w:rsid w:val="007D4C06"/>
    <w:rsid w:val="007D62D1"/>
    <w:rsid w:val="007D65C8"/>
    <w:rsid w:val="007E1109"/>
    <w:rsid w:val="007E117B"/>
    <w:rsid w:val="007E18BB"/>
    <w:rsid w:val="007E1914"/>
    <w:rsid w:val="007E26AD"/>
    <w:rsid w:val="007F2C2E"/>
    <w:rsid w:val="007F324D"/>
    <w:rsid w:val="007F36C1"/>
    <w:rsid w:val="007F7489"/>
    <w:rsid w:val="00800764"/>
    <w:rsid w:val="00801685"/>
    <w:rsid w:val="00803320"/>
    <w:rsid w:val="00806150"/>
    <w:rsid w:val="0080724E"/>
    <w:rsid w:val="008075E6"/>
    <w:rsid w:val="008104FD"/>
    <w:rsid w:val="00811F97"/>
    <w:rsid w:val="008123D3"/>
    <w:rsid w:val="00812DF2"/>
    <w:rsid w:val="00813981"/>
    <w:rsid w:val="00813BCB"/>
    <w:rsid w:val="00816A88"/>
    <w:rsid w:val="00817EC7"/>
    <w:rsid w:val="00821E30"/>
    <w:rsid w:val="00821E3A"/>
    <w:rsid w:val="008261DD"/>
    <w:rsid w:val="0082669A"/>
    <w:rsid w:val="00826A2B"/>
    <w:rsid w:val="00831485"/>
    <w:rsid w:val="008320A7"/>
    <w:rsid w:val="00835B8C"/>
    <w:rsid w:val="00835BF3"/>
    <w:rsid w:val="00835DAB"/>
    <w:rsid w:val="00840956"/>
    <w:rsid w:val="00845797"/>
    <w:rsid w:val="00845C81"/>
    <w:rsid w:val="00847BB9"/>
    <w:rsid w:val="00851D6E"/>
    <w:rsid w:val="00851FEA"/>
    <w:rsid w:val="008527DD"/>
    <w:rsid w:val="00852DF8"/>
    <w:rsid w:val="00856F6B"/>
    <w:rsid w:val="008577B2"/>
    <w:rsid w:val="00861DBA"/>
    <w:rsid w:val="00862B2C"/>
    <w:rsid w:val="00862DB7"/>
    <w:rsid w:val="008638FA"/>
    <w:rsid w:val="00864A8A"/>
    <w:rsid w:val="00865093"/>
    <w:rsid w:val="008654F2"/>
    <w:rsid w:val="00867522"/>
    <w:rsid w:val="00870404"/>
    <w:rsid w:val="008710FD"/>
    <w:rsid w:val="00871585"/>
    <w:rsid w:val="00880577"/>
    <w:rsid w:val="0088119A"/>
    <w:rsid w:val="00882458"/>
    <w:rsid w:val="00884946"/>
    <w:rsid w:val="00892041"/>
    <w:rsid w:val="0089348C"/>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62E9"/>
    <w:rsid w:val="008B7DA0"/>
    <w:rsid w:val="008C18E6"/>
    <w:rsid w:val="008C1A01"/>
    <w:rsid w:val="008C39BB"/>
    <w:rsid w:val="008D104B"/>
    <w:rsid w:val="008D24B2"/>
    <w:rsid w:val="008D32B0"/>
    <w:rsid w:val="008D4C5A"/>
    <w:rsid w:val="008E7A03"/>
    <w:rsid w:val="008F002F"/>
    <w:rsid w:val="008F0CC1"/>
    <w:rsid w:val="008F24CB"/>
    <w:rsid w:val="008F35CB"/>
    <w:rsid w:val="008F4148"/>
    <w:rsid w:val="008F4921"/>
    <w:rsid w:val="0090167B"/>
    <w:rsid w:val="00901BAC"/>
    <w:rsid w:val="00904516"/>
    <w:rsid w:val="009047D6"/>
    <w:rsid w:val="0090497B"/>
    <w:rsid w:val="00905D5B"/>
    <w:rsid w:val="009077EF"/>
    <w:rsid w:val="00907CF1"/>
    <w:rsid w:val="00910429"/>
    <w:rsid w:val="0091235C"/>
    <w:rsid w:val="0091416E"/>
    <w:rsid w:val="0091539B"/>
    <w:rsid w:val="00915580"/>
    <w:rsid w:val="00916703"/>
    <w:rsid w:val="009167BE"/>
    <w:rsid w:val="00920235"/>
    <w:rsid w:val="00920D02"/>
    <w:rsid w:val="00923BEB"/>
    <w:rsid w:val="009243EA"/>
    <w:rsid w:val="00926054"/>
    <w:rsid w:val="009272C1"/>
    <w:rsid w:val="00931165"/>
    <w:rsid w:val="00936935"/>
    <w:rsid w:val="00941262"/>
    <w:rsid w:val="00941DF1"/>
    <w:rsid w:val="00943267"/>
    <w:rsid w:val="00947B76"/>
    <w:rsid w:val="0095781D"/>
    <w:rsid w:val="00961DEC"/>
    <w:rsid w:val="0096275A"/>
    <w:rsid w:val="009631D4"/>
    <w:rsid w:val="00963A7F"/>
    <w:rsid w:val="0096561D"/>
    <w:rsid w:val="00966413"/>
    <w:rsid w:val="00967A14"/>
    <w:rsid w:val="00967E23"/>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5F7"/>
    <w:rsid w:val="009947DC"/>
    <w:rsid w:val="00994FB5"/>
    <w:rsid w:val="00996D37"/>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4979"/>
    <w:rsid w:val="009D68DE"/>
    <w:rsid w:val="009D6A44"/>
    <w:rsid w:val="009E1288"/>
    <w:rsid w:val="009E2CEE"/>
    <w:rsid w:val="009E42B4"/>
    <w:rsid w:val="009E5786"/>
    <w:rsid w:val="009E5C63"/>
    <w:rsid w:val="009F1C5B"/>
    <w:rsid w:val="009F21CF"/>
    <w:rsid w:val="009F2DCD"/>
    <w:rsid w:val="009F58E8"/>
    <w:rsid w:val="009F79B7"/>
    <w:rsid w:val="00A01C6A"/>
    <w:rsid w:val="00A01EED"/>
    <w:rsid w:val="00A04425"/>
    <w:rsid w:val="00A04A84"/>
    <w:rsid w:val="00A05ED1"/>
    <w:rsid w:val="00A060BB"/>
    <w:rsid w:val="00A1041E"/>
    <w:rsid w:val="00A1115A"/>
    <w:rsid w:val="00A118FF"/>
    <w:rsid w:val="00A11AED"/>
    <w:rsid w:val="00A13ADF"/>
    <w:rsid w:val="00A1703A"/>
    <w:rsid w:val="00A23908"/>
    <w:rsid w:val="00A23A61"/>
    <w:rsid w:val="00A25D80"/>
    <w:rsid w:val="00A260D3"/>
    <w:rsid w:val="00A265FC"/>
    <w:rsid w:val="00A27655"/>
    <w:rsid w:val="00A312CA"/>
    <w:rsid w:val="00A3165C"/>
    <w:rsid w:val="00A32CBE"/>
    <w:rsid w:val="00A34347"/>
    <w:rsid w:val="00A3488E"/>
    <w:rsid w:val="00A34C28"/>
    <w:rsid w:val="00A40AF5"/>
    <w:rsid w:val="00A429EA"/>
    <w:rsid w:val="00A434E0"/>
    <w:rsid w:val="00A4359A"/>
    <w:rsid w:val="00A437EB"/>
    <w:rsid w:val="00A4783E"/>
    <w:rsid w:val="00A50DC5"/>
    <w:rsid w:val="00A5726A"/>
    <w:rsid w:val="00A57A44"/>
    <w:rsid w:val="00A6260D"/>
    <w:rsid w:val="00A6270F"/>
    <w:rsid w:val="00A62CAB"/>
    <w:rsid w:val="00A63727"/>
    <w:rsid w:val="00A63B37"/>
    <w:rsid w:val="00A66A0C"/>
    <w:rsid w:val="00A725B0"/>
    <w:rsid w:val="00A74AE7"/>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A749E"/>
    <w:rsid w:val="00AB144C"/>
    <w:rsid w:val="00AB2149"/>
    <w:rsid w:val="00AB3CCD"/>
    <w:rsid w:val="00AC0925"/>
    <w:rsid w:val="00AC0E93"/>
    <w:rsid w:val="00AC2111"/>
    <w:rsid w:val="00AC22A8"/>
    <w:rsid w:val="00AC4D32"/>
    <w:rsid w:val="00AC62F7"/>
    <w:rsid w:val="00AD4C20"/>
    <w:rsid w:val="00AD55D4"/>
    <w:rsid w:val="00AE71DF"/>
    <w:rsid w:val="00AF0E25"/>
    <w:rsid w:val="00AF2D65"/>
    <w:rsid w:val="00AF4CC4"/>
    <w:rsid w:val="00AF5951"/>
    <w:rsid w:val="00AF5D25"/>
    <w:rsid w:val="00AF6472"/>
    <w:rsid w:val="00AF6A38"/>
    <w:rsid w:val="00B00A13"/>
    <w:rsid w:val="00B01663"/>
    <w:rsid w:val="00B029FB"/>
    <w:rsid w:val="00B061DB"/>
    <w:rsid w:val="00B078A3"/>
    <w:rsid w:val="00B13088"/>
    <w:rsid w:val="00B13289"/>
    <w:rsid w:val="00B14EF7"/>
    <w:rsid w:val="00B16CAE"/>
    <w:rsid w:val="00B179F1"/>
    <w:rsid w:val="00B2430E"/>
    <w:rsid w:val="00B24B31"/>
    <w:rsid w:val="00B268F7"/>
    <w:rsid w:val="00B30344"/>
    <w:rsid w:val="00B31C1C"/>
    <w:rsid w:val="00B32E7B"/>
    <w:rsid w:val="00B3467F"/>
    <w:rsid w:val="00B35F7B"/>
    <w:rsid w:val="00B377DE"/>
    <w:rsid w:val="00B37A7B"/>
    <w:rsid w:val="00B417B4"/>
    <w:rsid w:val="00B4471A"/>
    <w:rsid w:val="00B47861"/>
    <w:rsid w:val="00B5222E"/>
    <w:rsid w:val="00B536B4"/>
    <w:rsid w:val="00B540C2"/>
    <w:rsid w:val="00B56BA8"/>
    <w:rsid w:val="00B57B6E"/>
    <w:rsid w:val="00B6099C"/>
    <w:rsid w:val="00B61459"/>
    <w:rsid w:val="00B61B8E"/>
    <w:rsid w:val="00B61EF1"/>
    <w:rsid w:val="00B635AC"/>
    <w:rsid w:val="00B643D8"/>
    <w:rsid w:val="00B66281"/>
    <w:rsid w:val="00B724B7"/>
    <w:rsid w:val="00B726D3"/>
    <w:rsid w:val="00B73039"/>
    <w:rsid w:val="00B822C4"/>
    <w:rsid w:val="00B8500A"/>
    <w:rsid w:val="00B87D10"/>
    <w:rsid w:val="00B932B4"/>
    <w:rsid w:val="00B9353F"/>
    <w:rsid w:val="00B94517"/>
    <w:rsid w:val="00B95954"/>
    <w:rsid w:val="00B97E0E"/>
    <w:rsid w:val="00BA0390"/>
    <w:rsid w:val="00BA4DA2"/>
    <w:rsid w:val="00BA7042"/>
    <w:rsid w:val="00BB1D0B"/>
    <w:rsid w:val="00BB1F9C"/>
    <w:rsid w:val="00BB25EA"/>
    <w:rsid w:val="00BB45ED"/>
    <w:rsid w:val="00BB5353"/>
    <w:rsid w:val="00BC1BE0"/>
    <w:rsid w:val="00BC1EEE"/>
    <w:rsid w:val="00BC29B3"/>
    <w:rsid w:val="00BC3868"/>
    <w:rsid w:val="00BD0090"/>
    <w:rsid w:val="00BD0D6D"/>
    <w:rsid w:val="00BD1710"/>
    <w:rsid w:val="00BD1984"/>
    <w:rsid w:val="00BD2368"/>
    <w:rsid w:val="00BD6226"/>
    <w:rsid w:val="00BD6687"/>
    <w:rsid w:val="00BD67E7"/>
    <w:rsid w:val="00BE0998"/>
    <w:rsid w:val="00BE16DA"/>
    <w:rsid w:val="00BE2255"/>
    <w:rsid w:val="00BE24D0"/>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450E"/>
    <w:rsid w:val="00C046C4"/>
    <w:rsid w:val="00C0556C"/>
    <w:rsid w:val="00C061D3"/>
    <w:rsid w:val="00C075F1"/>
    <w:rsid w:val="00C07C06"/>
    <w:rsid w:val="00C13B04"/>
    <w:rsid w:val="00C15524"/>
    <w:rsid w:val="00C23771"/>
    <w:rsid w:val="00C326B5"/>
    <w:rsid w:val="00C3456A"/>
    <w:rsid w:val="00C40C48"/>
    <w:rsid w:val="00C41155"/>
    <w:rsid w:val="00C41E7D"/>
    <w:rsid w:val="00C46EEA"/>
    <w:rsid w:val="00C470CA"/>
    <w:rsid w:val="00C52C84"/>
    <w:rsid w:val="00C5390A"/>
    <w:rsid w:val="00C5494C"/>
    <w:rsid w:val="00C57532"/>
    <w:rsid w:val="00C612D2"/>
    <w:rsid w:val="00C61C50"/>
    <w:rsid w:val="00C63468"/>
    <w:rsid w:val="00C67E14"/>
    <w:rsid w:val="00C7069D"/>
    <w:rsid w:val="00C72765"/>
    <w:rsid w:val="00C735B0"/>
    <w:rsid w:val="00C73C6A"/>
    <w:rsid w:val="00C75226"/>
    <w:rsid w:val="00C830E4"/>
    <w:rsid w:val="00C84E02"/>
    <w:rsid w:val="00C868EB"/>
    <w:rsid w:val="00C91BC4"/>
    <w:rsid w:val="00C92B7B"/>
    <w:rsid w:val="00C92F91"/>
    <w:rsid w:val="00C941F1"/>
    <w:rsid w:val="00C96DED"/>
    <w:rsid w:val="00CA4F53"/>
    <w:rsid w:val="00CB2146"/>
    <w:rsid w:val="00CC040D"/>
    <w:rsid w:val="00CC3ADE"/>
    <w:rsid w:val="00CC4D47"/>
    <w:rsid w:val="00CC65EB"/>
    <w:rsid w:val="00CE3839"/>
    <w:rsid w:val="00CF123D"/>
    <w:rsid w:val="00CF148A"/>
    <w:rsid w:val="00CF33F5"/>
    <w:rsid w:val="00CF5190"/>
    <w:rsid w:val="00CF60DF"/>
    <w:rsid w:val="00CF67EF"/>
    <w:rsid w:val="00D01388"/>
    <w:rsid w:val="00D01BCB"/>
    <w:rsid w:val="00D04628"/>
    <w:rsid w:val="00D046E0"/>
    <w:rsid w:val="00D04EFC"/>
    <w:rsid w:val="00D0535F"/>
    <w:rsid w:val="00D07E9D"/>
    <w:rsid w:val="00D2051D"/>
    <w:rsid w:val="00D246B4"/>
    <w:rsid w:val="00D2476D"/>
    <w:rsid w:val="00D259AC"/>
    <w:rsid w:val="00D2629F"/>
    <w:rsid w:val="00D30917"/>
    <w:rsid w:val="00D337F9"/>
    <w:rsid w:val="00D34A02"/>
    <w:rsid w:val="00D40FF3"/>
    <w:rsid w:val="00D42F45"/>
    <w:rsid w:val="00D433B3"/>
    <w:rsid w:val="00D442A5"/>
    <w:rsid w:val="00D445BB"/>
    <w:rsid w:val="00D4647A"/>
    <w:rsid w:val="00D520A8"/>
    <w:rsid w:val="00D53388"/>
    <w:rsid w:val="00D54828"/>
    <w:rsid w:val="00D56B56"/>
    <w:rsid w:val="00D60BE7"/>
    <w:rsid w:val="00D6724E"/>
    <w:rsid w:val="00D715CB"/>
    <w:rsid w:val="00D72A7A"/>
    <w:rsid w:val="00D74853"/>
    <w:rsid w:val="00D75105"/>
    <w:rsid w:val="00D75207"/>
    <w:rsid w:val="00D76555"/>
    <w:rsid w:val="00D7691D"/>
    <w:rsid w:val="00D81226"/>
    <w:rsid w:val="00D8413D"/>
    <w:rsid w:val="00D84CE1"/>
    <w:rsid w:val="00D85A9E"/>
    <w:rsid w:val="00D85E76"/>
    <w:rsid w:val="00D8752E"/>
    <w:rsid w:val="00D87D19"/>
    <w:rsid w:val="00D9063A"/>
    <w:rsid w:val="00D91549"/>
    <w:rsid w:val="00D91F1F"/>
    <w:rsid w:val="00D92882"/>
    <w:rsid w:val="00D965D1"/>
    <w:rsid w:val="00D97415"/>
    <w:rsid w:val="00DA0E7F"/>
    <w:rsid w:val="00DA1B74"/>
    <w:rsid w:val="00DA2FEC"/>
    <w:rsid w:val="00DA3224"/>
    <w:rsid w:val="00DA400F"/>
    <w:rsid w:val="00DA4105"/>
    <w:rsid w:val="00DA7801"/>
    <w:rsid w:val="00DB07DC"/>
    <w:rsid w:val="00DC0F82"/>
    <w:rsid w:val="00DC6412"/>
    <w:rsid w:val="00DC64B6"/>
    <w:rsid w:val="00DD2C8C"/>
    <w:rsid w:val="00DE07A1"/>
    <w:rsid w:val="00DE173C"/>
    <w:rsid w:val="00DE1B53"/>
    <w:rsid w:val="00DE4076"/>
    <w:rsid w:val="00DE7D4B"/>
    <w:rsid w:val="00DF027B"/>
    <w:rsid w:val="00DF0A03"/>
    <w:rsid w:val="00DF175E"/>
    <w:rsid w:val="00DF2879"/>
    <w:rsid w:val="00DF443D"/>
    <w:rsid w:val="00DF5136"/>
    <w:rsid w:val="00DF534E"/>
    <w:rsid w:val="00E01BE7"/>
    <w:rsid w:val="00E0253E"/>
    <w:rsid w:val="00E0263B"/>
    <w:rsid w:val="00E02C12"/>
    <w:rsid w:val="00E0712E"/>
    <w:rsid w:val="00E073E4"/>
    <w:rsid w:val="00E117C7"/>
    <w:rsid w:val="00E13CE1"/>
    <w:rsid w:val="00E13CE9"/>
    <w:rsid w:val="00E13E43"/>
    <w:rsid w:val="00E17F41"/>
    <w:rsid w:val="00E2466C"/>
    <w:rsid w:val="00E3173D"/>
    <w:rsid w:val="00E34F8B"/>
    <w:rsid w:val="00E36420"/>
    <w:rsid w:val="00E365DF"/>
    <w:rsid w:val="00E36FCB"/>
    <w:rsid w:val="00E40846"/>
    <w:rsid w:val="00E41A76"/>
    <w:rsid w:val="00E428B9"/>
    <w:rsid w:val="00E42BBE"/>
    <w:rsid w:val="00E4479F"/>
    <w:rsid w:val="00E46FE9"/>
    <w:rsid w:val="00E5042A"/>
    <w:rsid w:val="00E52FEE"/>
    <w:rsid w:val="00E545D6"/>
    <w:rsid w:val="00E54693"/>
    <w:rsid w:val="00E55CCE"/>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29F8"/>
    <w:rsid w:val="00E9470D"/>
    <w:rsid w:val="00E94B3D"/>
    <w:rsid w:val="00E95114"/>
    <w:rsid w:val="00E95E33"/>
    <w:rsid w:val="00EA05F2"/>
    <w:rsid w:val="00EA12E6"/>
    <w:rsid w:val="00EA1903"/>
    <w:rsid w:val="00EA22B8"/>
    <w:rsid w:val="00EA312A"/>
    <w:rsid w:val="00EA6E88"/>
    <w:rsid w:val="00EA70F5"/>
    <w:rsid w:val="00EA734C"/>
    <w:rsid w:val="00EA7D83"/>
    <w:rsid w:val="00EA7E3A"/>
    <w:rsid w:val="00EB50DF"/>
    <w:rsid w:val="00EB51F5"/>
    <w:rsid w:val="00EB611E"/>
    <w:rsid w:val="00EC1950"/>
    <w:rsid w:val="00EC359A"/>
    <w:rsid w:val="00ED49D1"/>
    <w:rsid w:val="00ED5CCD"/>
    <w:rsid w:val="00ED617B"/>
    <w:rsid w:val="00ED7C49"/>
    <w:rsid w:val="00EE12FA"/>
    <w:rsid w:val="00EE1337"/>
    <w:rsid w:val="00EE2DAE"/>
    <w:rsid w:val="00EE6D5B"/>
    <w:rsid w:val="00EE75C0"/>
    <w:rsid w:val="00EF1AA5"/>
    <w:rsid w:val="00EF3BEB"/>
    <w:rsid w:val="00F00304"/>
    <w:rsid w:val="00F00397"/>
    <w:rsid w:val="00F02C56"/>
    <w:rsid w:val="00F034EB"/>
    <w:rsid w:val="00F0375F"/>
    <w:rsid w:val="00F048AC"/>
    <w:rsid w:val="00F071F6"/>
    <w:rsid w:val="00F07802"/>
    <w:rsid w:val="00F10212"/>
    <w:rsid w:val="00F10375"/>
    <w:rsid w:val="00F11DE3"/>
    <w:rsid w:val="00F172D4"/>
    <w:rsid w:val="00F25D29"/>
    <w:rsid w:val="00F264BB"/>
    <w:rsid w:val="00F2708B"/>
    <w:rsid w:val="00F373D4"/>
    <w:rsid w:val="00F42FA4"/>
    <w:rsid w:val="00F43F4F"/>
    <w:rsid w:val="00F50D3E"/>
    <w:rsid w:val="00F518C9"/>
    <w:rsid w:val="00F52C99"/>
    <w:rsid w:val="00F63213"/>
    <w:rsid w:val="00F6578A"/>
    <w:rsid w:val="00F673E4"/>
    <w:rsid w:val="00F676FB"/>
    <w:rsid w:val="00F70C9C"/>
    <w:rsid w:val="00F73269"/>
    <w:rsid w:val="00F73EDD"/>
    <w:rsid w:val="00F7601A"/>
    <w:rsid w:val="00F760B7"/>
    <w:rsid w:val="00F77BA1"/>
    <w:rsid w:val="00F801ED"/>
    <w:rsid w:val="00F810C2"/>
    <w:rsid w:val="00F816F1"/>
    <w:rsid w:val="00F82142"/>
    <w:rsid w:val="00F836C4"/>
    <w:rsid w:val="00F90F71"/>
    <w:rsid w:val="00F918E2"/>
    <w:rsid w:val="00F92472"/>
    <w:rsid w:val="00F93EFE"/>
    <w:rsid w:val="00F953E2"/>
    <w:rsid w:val="00F95E25"/>
    <w:rsid w:val="00FA131F"/>
    <w:rsid w:val="00FA7161"/>
    <w:rsid w:val="00FB23FF"/>
    <w:rsid w:val="00FB2894"/>
    <w:rsid w:val="00FB3215"/>
    <w:rsid w:val="00FB4EEF"/>
    <w:rsid w:val="00FB6559"/>
    <w:rsid w:val="00FB7B2D"/>
    <w:rsid w:val="00FC2456"/>
    <w:rsid w:val="00FC2D02"/>
    <w:rsid w:val="00FC552E"/>
    <w:rsid w:val="00FC69F9"/>
    <w:rsid w:val="00FC6EFC"/>
    <w:rsid w:val="00FD0317"/>
    <w:rsid w:val="00FD7512"/>
    <w:rsid w:val="00FE307F"/>
    <w:rsid w:val="00FE4C1A"/>
    <w:rsid w:val="00FE5CD3"/>
    <w:rsid w:val="00FE5DE0"/>
    <w:rsid w:val="00FE669B"/>
    <w:rsid w:val="00FE7D4E"/>
    <w:rsid w:val="00FF0BF2"/>
    <w:rsid w:val="00FF401B"/>
    <w:rsid w:val="00FF51B4"/>
    <w:rsid w:val="00FF7E4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6c1b2"/>
    </o:shapedefaults>
    <o:shapelayout v:ext="edit">
      <o:idmap v:ext="edit" data="1"/>
    </o:shapelayout>
  </w:shapeDefaults>
  <w:decimalSymbol w:val="."/>
  <w:listSeparator w:val=","/>
  <w14:docId w14:val="5375D831"/>
  <w15:docId w15:val="{BF0FD158-81E7-481D-938E-95F65F294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D520A8"/>
    <w:pPr>
      <w:keepNext/>
      <w:numPr>
        <w:ilvl w:val="1"/>
        <w:numId w:val="16"/>
      </w:numPr>
      <w:tabs>
        <w:tab w:val="left" w:pos="6096"/>
      </w:tabs>
      <w:spacing w:before="440" w:after="220"/>
      <w:ind w:left="851" w:hanging="851"/>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autoRedefine/>
    <w:uiPriority w:val="99"/>
    <w:rsid w:val="00584184"/>
    <w:rPr>
      <w:sz w:val="20"/>
    </w:rPr>
  </w:style>
  <w:style w:type="character" w:customStyle="1" w:styleId="Head2Char">
    <w:name w:val="Head 2 Char"/>
    <w:link w:val="Head2"/>
    <w:locked/>
    <w:rsid w:val="00D520A8"/>
    <w:rPr>
      <w:rFonts w:ascii="Arial" w:hAnsi="Arial" w:cs="Arial"/>
      <w:b/>
      <w:caps/>
      <w:color w:val="1F497D" w:themeColor="text2"/>
      <w:kern w:val="36"/>
      <w:sz w:val="24"/>
      <w:szCs w:val="24"/>
    </w:rPr>
  </w:style>
  <w:style w:type="paragraph" w:customStyle="1" w:styleId="BulletedList">
    <w:name w:val="Bulleted List"/>
    <w:next w:val="Normal"/>
    <w:rsid w:val="00F373D4"/>
    <w:pPr>
      <w:widowControl w:val="0"/>
      <w:shd w:val="clear" w:color="auto" w:fill="FFFFFF"/>
      <w:autoSpaceDE w:val="0"/>
      <w:autoSpaceDN w:val="0"/>
      <w:adjustRightInd w:val="0"/>
      <w:ind w:left="360" w:hanging="36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75970">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3127">
      <w:bodyDiv w:val="1"/>
      <w:marLeft w:val="0"/>
      <w:marRight w:val="0"/>
      <w:marTop w:val="0"/>
      <w:marBottom w:val="0"/>
      <w:divBdr>
        <w:top w:val="none" w:sz="0" w:space="0" w:color="auto"/>
        <w:left w:val="none" w:sz="0" w:space="0" w:color="auto"/>
        <w:bottom w:val="none" w:sz="0" w:space="0" w:color="auto"/>
        <w:right w:val="none" w:sz="0" w:space="0" w:color="auto"/>
      </w:divBdr>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5315165">
      <w:bodyDiv w:val="1"/>
      <w:marLeft w:val="45"/>
      <w:marRight w:val="45"/>
      <w:marTop w:val="0"/>
      <w:marBottom w:val="0"/>
      <w:divBdr>
        <w:top w:val="none" w:sz="0" w:space="0" w:color="auto"/>
        <w:left w:val="none" w:sz="0" w:space="0" w:color="auto"/>
        <w:bottom w:val="none" w:sz="0" w:space="0" w:color="auto"/>
        <w:right w:val="none" w:sz="0" w:space="0" w:color="auto"/>
      </w:divBdr>
      <w:divsChild>
        <w:div w:id="1157266751">
          <w:marLeft w:val="0"/>
          <w:marRight w:val="0"/>
          <w:marTop w:val="0"/>
          <w:marBottom w:val="0"/>
          <w:divBdr>
            <w:top w:val="none" w:sz="0" w:space="0" w:color="auto"/>
            <w:left w:val="none" w:sz="0" w:space="0" w:color="auto"/>
            <w:bottom w:val="none" w:sz="0" w:space="0" w:color="auto"/>
            <w:right w:val="none" w:sz="0" w:space="0" w:color="auto"/>
          </w:divBdr>
          <w:divsChild>
            <w:div w:id="747534563">
              <w:marLeft w:val="0"/>
              <w:marRight w:val="0"/>
              <w:marTop w:val="0"/>
              <w:marBottom w:val="0"/>
              <w:divBdr>
                <w:top w:val="none" w:sz="0" w:space="0" w:color="auto"/>
                <w:left w:val="none" w:sz="0" w:space="0" w:color="auto"/>
                <w:bottom w:val="none" w:sz="0" w:space="0" w:color="auto"/>
                <w:right w:val="none" w:sz="0" w:space="0" w:color="auto"/>
              </w:divBdr>
              <w:divsChild>
                <w:div w:id="183977199">
                  <w:marLeft w:val="0"/>
                  <w:marRight w:val="0"/>
                  <w:marTop w:val="0"/>
                  <w:marBottom w:val="0"/>
                  <w:divBdr>
                    <w:top w:val="none" w:sz="0" w:space="0" w:color="auto"/>
                    <w:left w:val="none" w:sz="0" w:space="0" w:color="auto"/>
                    <w:bottom w:val="none" w:sz="0" w:space="0" w:color="auto"/>
                    <w:right w:val="none" w:sz="0" w:space="0" w:color="auto"/>
                  </w:divBdr>
                  <w:divsChild>
                    <w:div w:id="16227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0452417">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710420768">
      <w:bodyDiv w:val="1"/>
      <w:marLeft w:val="0"/>
      <w:marRight w:val="0"/>
      <w:marTop w:val="0"/>
      <w:marBottom w:val="0"/>
      <w:divBdr>
        <w:top w:val="none" w:sz="0" w:space="0" w:color="auto"/>
        <w:left w:val="none" w:sz="0" w:space="0" w:color="auto"/>
        <w:bottom w:val="none" w:sz="0" w:space="0" w:color="auto"/>
        <w:right w:val="none" w:sz="0" w:space="0" w:color="auto"/>
      </w:divBdr>
    </w:div>
    <w:div w:id="750081222">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59455405">
      <w:bodyDiv w:val="1"/>
      <w:marLeft w:val="0"/>
      <w:marRight w:val="0"/>
      <w:marTop w:val="0"/>
      <w:marBottom w:val="0"/>
      <w:divBdr>
        <w:top w:val="none" w:sz="0" w:space="0" w:color="auto"/>
        <w:left w:val="none" w:sz="0" w:space="0" w:color="auto"/>
        <w:bottom w:val="none" w:sz="0" w:space="0" w:color="auto"/>
        <w:right w:val="none" w:sz="0" w:space="0" w:color="auto"/>
      </w:divBdr>
    </w:div>
    <w:div w:id="976030749">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56899473">
      <w:bodyDiv w:val="1"/>
      <w:marLeft w:val="0"/>
      <w:marRight w:val="0"/>
      <w:marTop w:val="0"/>
      <w:marBottom w:val="0"/>
      <w:divBdr>
        <w:top w:val="none" w:sz="0" w:space="0" w:color="auto"/>
        <w:left w:val="none" w:sz="0" w:space="0" w:color="auto"/>
        <w:bottom w:val="none" w:sz="0" w:space="0" w:color="auto"/>
        <w:right w:val="none" w:sz="0" w:space="0" w:color="auto"/>
      </w:divBdr>
    </w:div>
    <w:div w:id="112473184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7477209">
      <w:bodyDiv w:val="1"/>
      <w:marLeft w:val="0"/>
      <w:marRight w:val="0"/>
      <w:marTop w:val="0"/>
      <w:marBottom w:val="0"/>
      <w:divBdr>
        <w:top w:val="none" w:sz="0" w:space="0" w:color="auto"/>
        <w:left w:val="none" w:sz="0" w:space="0" w:color="auto"/>
        <w:bottom w:val="none" w:sz="0" w:space="0" w:color="auto"/>
        <w:right w:val="none" w:sz="0" w:space="0" w:color="auto"/>
      </w:divBdr>
    </w:div>
    <w:div w:id="1228031686">
      <w:bodyDiv w:val="1"/>
      <w:marLeft w:val="0"/>
      <w:marRight w:val="0"/>
      <w:marTop w:val="0"/>
      <w:marBottom w:val="0"/>
      <w:divBdr>
        <w:top w:val="none" w:sz="0" w:space="0" w:color="auto"/>
        <w:left w:val="none" w:sz="0" w:space="0" w:color="auto"/>
        <w:bottom w:val="none" w:sz="0" w:space="0" w:color="auto"/>
        <w:right w:val="none" w:sz="0" w:space="0" w:color="auto"/>
      </w:divBdr>
    </w:div>
    <w:div w:id="1240096253">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1023180">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4459113">
      <w:bodyDiv w:val="1"/>
      <w:marLeft w:val="0"/>
      <w:marRight w:val="0"/>
      <w:marTop w:val="0"/>
      <w:marBottom w:val="0"/>
      <w:divBdr>
        <w:top w:val="none" w:sz="0" w:space="0" w:color="auto"/>
        <w:left w:val="none" w:sz="0" w:space="0" w:color="auto"/>
        <w:bottom w:val="none" w:sz="0" w:space="0" w:color="auto"/>
        <w:right w:val="none" w:sz="0" w:space="0" w:color="auto"/>
      </w:divBdr>
    </w:div>
    <w:div w:id="1666547398">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2350651">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961409">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softwaredevelopers.ato.gov.au/ELSspecification" TargetMode="External"/><Relationship Id="rId3" Type="http://schemas.openxmlformats.org/officeDocument/2006/relationships/customXml" Target="../customXml/item3.xml"/><Relationship Id="rId21" Type="http://schemas.openxmlformats.org/officeDocument/2006/relationships/hyperlink" Target="https://www.ato.gov.au/Definitions/?anchor=top"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br.gov.au/software-developers/developer-tools/glossary" TargetMode="External"/><Relationship Id="rId29" Type="http://schemas.openxmlformats.org/officeDocument/2006/relationships/hyperlink" Target="http://softwaredevelopers.ato.gov.au/ABNform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oftwaredevelopers.ato.gov.au/Usingourservic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br.gov.au/" TargetMode="External"/><Relationship Id="rId23" Type="http://schemas.openxmlformats.org/officeDocument/2006/relationships/oleObject" Target="embeddings/Microsoft_Visio_2003-2010_Drawing.vsd"/><Relationship Id="rId28" Type="http://schemas.openxmlformats.org/officeDocument/2006/relationships/hyperlink" Target="http://softwaredevelopers.ato.gov.au/obtainTFNalgorithm"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image" Target="media/image4.emf"/><Relationship Id="rId27" Type="http://schemas.openxmlformats.org/officeDocument/2006/relationships/hyperlink" Target="https://www.ato.gov.au/Tax-professionals/Prepare-and-lodge/Tax-Time-2018/Before-you-lodge/Prevent-delays-in-processing-returns/" TargetMode="Externa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Published Final</Document_x0020_Status>
    <Endorsing_x0020_Officer xmlns="fc59432e-ae4a-4421-baa1-eafb91367645">
      <UserInfo>
        <DisplayName/>
        <AccountId xsi:nil="true"/>
        <AccountType/>
      </UserInfo>
    </Endorsing_x0020_Officer>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Project xmlns="fc59432e-ae4a-4421-baa1-eafb91367645" xsi:nil="true"/>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85DF1-3874-4392-86A6-F249E310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14DBC-BC36-4F56-AEB8-B028930F5AF8}">
  <ds:schemaRefs>
    <ds:schemaRef ds:uri="http://schemas.microsoft.com/sharepoint/v3/fields"/>
    <ds:schemaRef ds:uri="http://schemas.openxmlformats.org/package/2006/metadata/core-properties"/>
    <ds:schemaRef ds:uri="http://schemas.microsoft.com/office/2006/documentManagement/types"/>
    <ds:schemaRef ds:uri="fc59432e-ae4a-4421-baa1-eafb91367645"/>
    <ds:schemaRef ds:uri="http://schemas.microsoft.com/office/2006/metadata/properties"/>
    <ds:schemaRef ds:uri="http://purl.org/dc/elements/1.1/"/>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1848CE4-D94C-4DC6-BAD9-A11B72BAF96A}">
  <ds:schemaRefs>
    <ds:schemaRef ds:uri="http://schemas.microsoft.com/sharepoint/v3/contenttype/forms"/>
  </ds:schemaRefs>
</ds:datastoreItem>
</file>

<file path=customXml/itemProps4.xml><?xml version="1.0" encoding="utf-8"?>
<ds:datastoreItem xmlns:ds="http://schemas.openxmlformats.org/officeDocument/2006/customXml" ds:itemID="{4F4CD801-8FC1-4523-9836-9BF9E53B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2385</Words>
  <Characters>16385</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ATO SMSFAR.0010 2020 Business Implementation Guide</vt:lpstr>
    </vt:vector>
  </TitlesOfParts>
  <Company>Australian Taxation Office</Company>
  <LinksUpToDate>false</LinksUpToDate>
  <CharactersWithSpaces>18733</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SMSFAR.0010 2020 Business Implementation Guide</dc:title>
  <dc:creator>Norris, Shane</dc:creator>
  <cp:keywords>1.0</cp:keywords>
  <dc:description>SBR CR xx</dc:description>
  <cp:lastModifiedBy>Dino Di Lorenzo</cp:lastModifiedBy>
  <cp:revision>9</cp:revision>
  <cp:lastPrinted>2014-12-16T04:27:00Z</cp:lastPrinted>
  <dcterms:created xsi:type="dcterms:W3CDTF">2020-10-21T03:40:00Z</dcterms:created>
  <dcterms:modified xsi:type="dcterms:W3CDTF">2020-10-21T04:36:00Z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0x0101009567C64BD2626147A6CDB32DF403B2B2</vt:lpwstr>
  </property>
  <property fmtid="{D5CDD505-2E9C-101B-9397-08002B2CF9AE}" pid="5" name="_AdHocReviewCycleID">
    <vt:i4>-1340564833</vt:i4>
  </property>
  <property fmtid="{D5CDD505-2E9C-101B-9397-08002B2CF9AE}" pid="6" name="_EmailSubject">
    <vt:lpwstr>FOR ENDORSEMENT: ATO SMSFAR.0010 2020 Business Implementation Guide by COB on Tuesday October 13 2020</vt:lpwstr>
  </property>
  <property fmtid="{D5CDD505-2E9C-101B-9397-08002B2CF9AE}" pid="7" name="_AuthorEmail">
    <vt:lpwstr>David.Baker@ato.gov.au</vt:lpwstr>
  </property>
  <property fmtid="{D5CDD505-2E9C-101B-9397-08002B2CF9AE}" pid="8" name="_AuthorEmailDisplayName">
    <vt:lpwstr>David Baker</vt:lpwstr>
  </property>
  <property fmtid="{D5CDD505-2E9C-101B-9397-08002B2CF9AE}" pid="9" name="_ReviewingToolsShownOnce">
    <vt:lpwstr/>
  </property>
  <property fmtid="{D5CDD505-2E9C-101B-9397-08002B2CF9AE}" pid="10" name="_MarkAsFinal">
    <vt:bool>true</vt:bool>
  </property>
</Properties>
</file>