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FD9E" w14:textId="22C0CED6" w:rsidR="00246AF3" w:rsidRDefault="00246AF3" w:rsidP="00920D02">
      <w:pPr>
        <w:pStyle w:val="VersionHeadA"/>
        <w:rPr>
          <w:bCs/>
          <w:color w:val="0F243E" w:themeColor="text2" w:themeShade="80"/>
          <w:sz w:val="56"/>
          <w:szCs w:val="56"/>
        </w:rPr>
      </w:pPr>
    </w:p>
    <w:p w14:paraId="584F0566" w14:textId="334D73DE" w:rsidR="00246AF3" w:rsidRDefault="00246AF3" w:rsidP="00920D02">
      <w:pPr>
        <w:pStyle w:val="VersionHeadA"/>
        <w:rPr>
          <w:bCs/>
          <w:color w:val="0F243E" w:themeColor="text2" w:themeShade="80"/>
          <w:sz w:val="56"/>
          <w:szCs w:val="56"/>
        </w:rPr>
      </w:pPr>
      <w:r>
        <w:rPr>
          <w:noProof/>
        </w:rPr>
        <w:drawing>
          <wp:anchor distT="0" distB="0" distL="114300" distR="114300" simplePos="0" relativeHeight="251662336" behindDoc="1" locked="1" layoutInCell="1" allowOverlap="1" wp14:anchorId="3D62D8AD" wp14:editId="35F7DE02">
            <wp:simplePos x="0" y="0"/>
            <wp:positionH relativeFrom="margin">
              <wp:align>center</wp:align>
            </wp:positionH>
            <wp:positionV relativeFrom="page">
              <wp:posOffset>822960</wp:posOffset>
            </wp:positionV>
            <wp:extent cx="6741160" cy="1762125"/>
            <wp:effectExtent l="0" t="0" r="2540" b="952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1160" cy="1762125"/>
                    </a:xfrm>
                    <a:prstGeom prst="rect">
                      <a:avLst/>
                    </a:prstGeom>
                    <a:noFill/>
                  </pic:spPr>
                </pic:pic>
              </a:graphicData>
            </a:graphic>
            <wp14:sizeRelH relativeFrom="page">
              <wp14:pctWidth>0</wp14:pctWidth>
            </wp14:sizeRelH>
            <wp14:sizeRelV relativeFrom="page">
              <wp14:pctHeight>0</wp14:pctHeight>
            </wp14:sizeRelV>
          </wp:anchor>
        </w:drawing>
      </w:r>
    </w:p>
    <w:p w14:paraId="0B3D7DAA" w14:textId="510A9AE1" w:rsidR="00246AF3" w:rsidRDefault="00246AF3" w:rsidP="00920D02">
      <w:pPr>
        <w:pStyle w:val="VersionHeadA"/>
        <w:rPr>
          <w:bCs/>
          <w:color w:val="0F243E" w:themeColor="text2" w:themeShade="80"/>
          <w:sz w:val="56"/>
          <w:szCs w:val="56"/>
        </w:rPr>
      </w:pPr>
    </w:p>
    <w:p w14:paraId="1EE48574" w14:textId="3FE07334" w:rsidR="00246AF3" w:rsidRDefault="00246AF3" w:rsidP="00920D02">
      <w:pPr>
        <w:pStyle w:val="VersionHeadA"/>
        <w:rPr>
          <w:bCs/>
          <w:color w:val="0F243E" w:themeColor="text2" w:themeShade="80"/>
          <w:sz w:val="56"/>
          <w:szCs w:val="56"/>
        </w:rPr>
      </w:pPr>
    </w:p>
    <w:p w14:paraId="09852AC1" w14:textId="77777777" w:rsidR="00246AF3" w:rsidRDefault="00246AF3">
      <w:pPr>
        <w:rPr>
          <w:bCs/>
          <w:color w:val="0F243E" w:themeColor="text2" w:themeShade="80"/>
          <w:sz w:val="56"/>
          <w:szCs w:val="56"/>
        </w:rPr>
      </w:pPr>
    </w:p>
    <w:p w14:paraId="4752252E" w14:textId="77777777" w:rsidR="00246AF3" w:rsidRDefault="00246AF3">
      <w:pPr>
        <w:rPr>
          <w:bCs/>
          <w:color w:val="0F243E" w:themeColor="text2" w:themeShade="80"/>
          <w:sz w:val="56"/>
          <w:szCs w:val="56"/>
        </w:rPr>
      </w:pPr>
    </w:p>
    <w:p w14:paraId="2196ABC6" w14:textId="77777777" w:rsidR="00246AF3" w:rsidRDefault="00246AF3">
      <w:pPr>
        <w:rPr>
          <w:bCs/>
          <w:color w:val="0F243E" w:themeColor="text2" w:themeShade="80"/>
          <w:sz w:val="56"/>
          <w:szCs w:val="56"/>
        </w:rPr>
      </w:pPr>
    </w:p>
    <w:p w14:paraId="2C48897F" w14:textId="77777777" w:rsidR="00246AF3" w:rsidRPr="00546CAC" w:rsidRDefault="00246AF3" w:rsidP="00246AF3">
      <w:pPr>
        <w:pStyle w:val="ReportTitle"/>
        <w:spacing w:before="60"/>
        <w:ind w:left="440"/>
        <w:rPr>
          <w:sz w:val="50"/>
        </w:rPr>
      </w:pPr>
      <w:r>
        <w:rPr>
          <w:rFonts w:cs="Arial"/>
          <w:color w:val="0F243E" w:themeColor="text2" w:themeShade="80"/>
          <w:sz w:val="56"/>
          <w:szCs w:val="56"/>
        </w:rPr>
        <w:t>Standard Business Reporting</w:t>
      </w:r>
    </w:p>
    <w:p w14:paraId="75CF9A4F" w14:textId="77777777" w:rsidR="00246AF3" w:rsidRPr="00546CAC" w:rsidRDefault="00246AF3" w:rsidP="00246AF3">
      <w:pPr>
        <w:pStyle w:val="ReportTitle"/>
        <w:spacing w:before="60" w:after="0" w:line="240" w:lineRule="auto"/>
        <w:ind w:left="442"/>
        <w:rPr>
          <w:rFonts w:cs="Arial"/>
          <w:color w:val="365F91" w:themeColor="accent1" w:themeShade="BF"/>
          <w:sz w:val="42"/>
          <w:szCs w:val="42"/>
        </w:rPr>
      </w:pPr>
      <w:r w:rsidRPr="00546CAC">
        <w:rPr>
          <w:rFonts w:cs="Arial"/>
          <w:color w:val="365F91" w:themeColor="accent1" w:themeShade="BF"/>
          <w:sz w:val="42"/>
          <w:szCs w:val="42"/>
        </w:rPr>
        <w:t xml:space="preserve">Australian Taxation Office – </w:t>
      </w:r>
    </w:p>
    <w:p w14:paraId="4E2F51B7" w14:textId="6499383D" w:rsidR="00246AF3" w:rsidRPr="0003297C" w:rsidRDefault="0030560F" w:rsidP="00246AF3">
      <w:pPr>
        <w:pStyle w:val="ReportTitle"/>
        <w:spacing w:before="60"/>
        <w:ind w:left="440"/>
        <w:rPr>
          <w:rFonts w:cs="Arial"/>
          <w:color w:val="365F91" w:themeColor="accent1" w:themeShade="BF"/>
          <w:sz w:val="42"/>
          <w:szCs w:val="42"/>
        </w:rPr>
      </w:pPr>
      <w:r>
        <w:rPr>
          <w:color w:val="365F91" w:themeColor="accent1" w:themeShade="BF"/>
          <w:sz w:val="42"/>
          <w:szCs w:val="42"/>
        </w:rPr>
        <w:t xml:space="preserve">Taxable Payments Annual </w:t>
      </w:r>
      <w:r w:rsidR="00246AF3" w:rsidRPr="00C754C5">
        <w:rPr>
          <w:color w:val="365F91" w:themeColor="accent1" w:themeShade="BF"/>
          <w:sz w:val="42"/>
          <w:szCs w:val="42"/>
        </w:rPr>
        <w:t>Return 202</w:t>
      </w:r>
      <w:r>
        <w:rPr>
          <w:color w:val="365F91" w:themeColor="accent1" w:themeShade="BF"/>
          <w:sz w:val="42"/>
          <w:szCs w:val="42"/>
        </w:rPr>
        <w:t>1</w:t>
      </w:r>
      <w:r w:rsidR="00246AF3" w:rsidRPr="00C754C5">
        <w:rPr>
          <w:color w:val="365F91" w:themeColor="accent1" w:themeShade="BF"/>
          <w:sz w:val="42"/>
          <w:szCs w:val="42"/>
        </w:rPr>
        <w:t xml:space="preserve"> (</w:t>
      </w:r>
      <w:r w:rsidR="00FA110D">
        <w:rPr>
          <w:color w:val="365F91" w:themeColor="accent1" w:themeShade="BF"/>
          <w:sz w:val="42"/>
          <w:szCs w:val="42"/>
        </w:rPr>
        <w:t>TPAR</w:t>
      </w:r>
      <w:r w:rsidR="00246AF3" w:rsidRPr="00C754C5">
        <w:rPr>
          <w:color w:val="365F91" w:themeColor="accent1" w:themeShade="BF"/>
          <w:sz w:val="42"/>
          <w:szCs w:val="42"/>
        </w:rPr>
        <w:t>.000</w:t>
      </w:r>
      <w:r>
        <w:rPr>
          <w:color w:val="365F91" w:themeColor="accent1" w:themeShade="BF"/>
          <w:sz w:val="42"/>
          <w:szCs w:val="42"/>
        </w:rPr>
        <w:t>3</w:t>
      </w:r>
      <w:r w:rsidR="00246AF3" w:rsidRPr="00C754C5">
        <w:rPr>
          <w:color w:val="365F91" w:themeColor="accent1" w:themeShade="BF"/>
          <w:sz w:val="42"/>
          <w:szCs w:val="42"/>
        </w:rPr>
        <w:t xml:space="preserve">) </w:t>
      </w:r>
      <w:r w:rsidR="00246AF3" w:rsidRPr="00546CAC">
        <w:rPr>
          <w:rFonts w:cs="Arial"/>
          <w:color w:val="365F91" w:themeColor="accent1" w:themeShade="BF"/>
          <w:sz w:val="42"/>
          <w:szCs w:val="42"/>
        </w:rPr>
        <w:t xml:space="preserve">Business Implementation Guide </w:t>
      </w:r>
    </w:p>
    <w:p w14:paraId="085EBC17" w14:textId="77777777" w:rsidR="00246AF3" w:rsidRDefault="00246AF3" w:rsidP="00246AF3"/>
    <w:p w14:paraId="35627355" w14:textId="0C10471F" w:rsidR="00246AF3" w:rsidRDefault="00246AF3" w:rsidP="00246AF3">
      <w:pPr>
        <w:pStyle w:val="-subtitle"/>
        <w:spacing w:before="240"/>
        <w:ind w:left="425"/>
        <w:rPr>
          <w:rFonts w:ascii="Arial" w:hAnsi="Arial"/>
          <w:color w:val="17365D" w:themeColor="text2" w:themeShade="BF"/>
          <w:sz w:val="34"/>
          <w:szCs w:val="34"/>
        </w:rPr>
      </w:pPr>
      <w:r w:rsidRPr="00CA7AA3">
        <w:rPr>
          <w:rFonts w:ascii="Arial" w:hAnsi="Arial"/>
          <w:color w:val="17365D" w:themeColor="text2" w:themeShade="BF"/>
          <w:sz w:val="34"/>
          <w:szCs w:val="34"/>
        </w:rPr>
        <w:t xml:space="preserve">Date: </w:t>
      </w:r>
      <w:r w:rsidR="00901390">
        <w:rPr>
          <w:rFonts w:ascii="Arial" w:hAnsi="Arial"/>
          <w:color w:val="17365D" w:themeColor="text2" w:themeShade="BF"/>
          <w:sz w:val="34"/>
          <w:szCs w:val="34"/>
        </w:rPr>
        <w:t xml:space="preserve">29 </w:t>
      </w:r>
      <w:r w:rsidR="0030560F">
        <w:rPr>
          <w:rFonts w:ascii="Arial" w:hAnsi="Arial"/>
          <w:color w:val="17365D" w:themeColor="text2" w:themeShade="BF"/>
          <w:sz w:val="34"/>
          <w:szCs w:val="34"/>
        </w:rPr>
        <w:t>September</w:t>
      </w:r>
      <w:r w:rsidRPr="00CA7AA3">
        <w:rPr>
          <w:rFonts w:ascii="Arial" w:hAnsi="Arial"/>
          <w:color w:val="17365D" w:themeColor="text2" w:themeShade="BF"/>
          <w:sz w:val="34"/>
          <w:szCs w:val="34"/>
        </w:rPr>
        <w:t xml:space="preserve"> 2022</w:t>
      </w:r>
    </w:p>
    <w:p w14:paraId="2F5006CC" w14:textId="77777777" w:rsidR="00656A1C" w:rsidRPr="00CA7AA3" w:rsidRDefault="00656A1C" w:rsidP="00246AF3">
      <w:pPr>
        <w:pStyle w:val="-subtitle"/>
        <w:spacing w:before="240"/>
        <w:ind w:left="425"/>
        <w:rPr>
          <w:rFonts w:ascii="Arial" w:hAnsi="Arial"/>
          <w:color w:val="17365D" w:themeColor="text2" w:themeShade="BF"/>
          <w:sz w:val="34"/>
          <w:szCs w:val="34"/>
        </w:rPr>
      </w:pPr>
    </w:p>
    <w:p w14:paraId="1CEF4777" w14:textId="1CC66054" w:rsidR="00246AF3" w:rsidRPr="00CA7AA3" w:rsidRDefault="00246AF3" w:rsidP="00246AF3">
      <w:pPr>
        <w:pStyle w:val="Version3"/>
        <w:ind w:firstLine="425"/>
        <w:rPr>
          <w:b w:val="0"/>
          <w:bCs/>
          <w:color w:val="17365D" w:themeColor="text2" w:themeShade="BF"/>
          <w:sz w:val="34"/>
          <w:szCs w:val="34"/>
        </w:rPr>
      </w:pPr>
      <w:r w:rsidRPr="00CA7AA3">
        <w:rPr>
          <w:b w:val="0"/>
          <w:bCs/>
          <w:color w:val="17365D" w:themeColor="text2" w:themeShade="BF"/>
          <w:sz w:val="34"/>
          <w:szCs w:val="34"/>
        </w:rPr>
        <w:t xml:space="preserve">Status: </w:t>
      </w:r>
      <w:r w:rsidR="002607F0">
        <w:rPr>
          <w:b w:val="0"/>
          <w:bCs/>
          <w:color w:val="17365D" w:themeColor="text2" w:themeShade="BF"/>
          <w:sz w:val="34"/>
          <w:szCs w:val="34"/>
        </w:rPr>
        <w:t>Final</w:t>
      </w:r>
    </w:p>
    <w:p w14:paraId="229573ED" w14:textId="77777777" w:rsidR="00246AF3" w:rsidRDefault="00246AF3" w:rsidP="00246AF3">
      <w:pPr>
        <w:pStyle w:val="VersionHeadA"/>
        <w:ind w:firstLine="425"/>
        <w:rPr>
          <w:bCs/>
          <w:color w:val="17365D" w:themeColor="text2" w:themeShade="BF"/>
          <w:sz w:val="22"/>
          <w:szCs w:val="22"/>
        </w:rPr>
      </w:pPr>
    </w:p>
    <w:p w14:paraId="5A8D20D0" w14:textId="77777777" w:rsidR="00246AF3" w:rsidRDefault="00246AF3" w:rsidP="00246AF3">
      <w:pPr>
        <w:pStyle w:val="VersionHeadA"/>
        <w:ind w:firstLine="425"/>
        <w:rPr>
          <w:bCs/>
          <w:color w:val="17365D" w:themeColor="text2" w:themeShade="BF"/>
          <w:sz w:val="22"/>
          <w:szCs w:val="22"/>
        </w:rPr>
      </w:pPr>
    </w:p>
    <w:p w14:paraId="7330C3F8" w14:textId="77777777" w:rsidR="00246AF3" w:rsidRDefault="00246AF3" w:rsidP="00246AF3">
      <w:pPr>
        <w:pStyle w:val="VersionHeadA"/>
        <w:ind w:firstLine="425"/>
        <w:rPr>
          <w:bCs/>
          <w:color w:val="17365D" w:themeColor="text2" w:themeShade="BF"/>
          <w:sz w:val="22"/>
          <w:szCs w:val="22"/>
        </w:rPr>
      </w:pPr>
    </w:p>
    <w:p w14:paraId="30DAFD53" w14:textId="77777777" w:rsidR="00246AF3" w:rsidRDefault="00246AF3" w:rsidP="00246AF3">
      <w:pPr>
        <w:pStyle w:val="VersionHeadA"/>
        <w:ind w:firstLine="425"/>
        <w:rPr>
          <w:bCs/>
          <w:color w:val="17365D" w:themeColor="text2" w:themeShade="BF"/>
          <w:sz w:val="22"/>
          <w:szCs w:val="22"/>
        </w:rPr>
      </w:pPr>
    </w:p>
    <w:p w14:paraId="5C353949" w14:textId="77777777" w:rsidR="00246AF3" w:rsidRDefault="00246AF3" w:rsidP="00246AF3">
      <w:pPr>
        <w:pStyle w:val="VersionHeadA"/>
        <w:ind w:firstLine="425"/>
        <w:rPr>
          <w:bCs/>
          <w:color w:val="17365D" w:themeColor="text2" w:themeShade="BF"/>
          <w:sz w:val="22"/>
          <w:szCs w:val="22"/>
        </w:rPr>
      </w:pPr>
    </w:p>
    <w:p w14:paraId="00E38116" w14:textId="77777777" w:rsidR="00246AF3" w:rsidRDefault="00246AF3" w:rsidP="00246AF3">
      <w:pPr>
        <w:pStyle w:val="VersionHeadA"/>
        <w:ind w:firstLine="425"/>
        <w:rPr>
          <w:bCs/>
          <w:color w:val="17365D" w:themeColor="text2" w:themeShade="BF"/>
          <w:sz w:val="22"/>
          <w:szCs w:val="22"/>
        </w:rPr>
      </w:pPr>
    </w:p>
    <w:p w14:paraId="32DBDB1F" w14:textId="77777777" w:rsidR="00246AF3" w:rsidRDefault="00246AF3" w:rsidP="00246AF3">
      <w:pPr>
        <w:pStyle w:val="VersionHeadA"/>
        <w:ind w:firstLine="425"/>
        <w:rPr>
          <w:bCs/>
          <w:color w:val="17365D" w:themeColor="text2" w:themeShade="BF"/>
          <w:sz w:val="22"/>
          <w:szCs w:val="22"/>
        </w:rPr>
      </w:pPr>
    </w:p>
    <w:p w14:paraId="3771FB98" w14:textId="77777777" w:rsidR="00246AF3" w:rsidRPr="00A634C5" w:rsidRDefault="00246AF3" w:rsidP="00246AF3">
      <w:pPr>
        <w:pStyle w:val="VersionHeadA"/>
        <w:ind w:firstLine="425"/>
        <w:rPr>
          <w:bCs/>
          <w:color w:val="17365D" w:themeColor="text2" w:themeShade="BF"/>
          <w:sz w:val="22"/>
          <w:szCs w:val="22"/>
        </w:rPr>
      </w:pPr>
    </w:p>
    <w:p w14:paraId="2ACDD890" w14:textId="77777777" w:rsidR="00246AF3" w:rsidRDefault="00246AF3" w:rsidP="00246AF3">
      <w:pPr>
        <w:pStyle w:val="Caption"/>
        <w:ind w:firstLine="425"/>
        <w:rPr>
          <w:sz w:val="22"/>
          <w:szCs w:val="22"/>
        </w:rPr>
      </w:pPr>
      <w:r w:rsidRPr="00A634C5">
        <w:rPr>
          <w:b w:val="0"/>
          <w:bCs w:val="0"/>
          <w:sz w:val="22"/>
          <w:szCs w:val="22"/>
        </w:rPr>
        <w:t>This document and its attachments are</w:t>
      </w:r>
      <w:r w:rsidRPr="00A634C5">
        <w:rPr>
          <w:sz w:val="22"/>
          <w:szCs w:val="22"/>
        </w:rPr>
        <w:t xml:space="preserve"> </w:t>
      </w:r>
      <w:r w:rsidRPr="00A41F53">
        <w:rPr>
          <w:b w:val="0"/>
          <w:bCs w:val="0"/>
          <w:sz w:val="22"/>
          <w:szCs w:val="22"/>
        </w:rPr>
        <w:t>Official</w:t>
      </w:r>
    </w:p>
    <w:p w14:paraId="35F9E27B" w14:textId="77777777" w:rsidR="00246AF3" w:rsidRDefault="00246AF3" w:rsidP="00246AF3"/>
    <w:p w14:paraId="4E725E2D" w14:textId="77777777" w:rsidR="00246AF3" w:rsidRPr="00A634C5" w:rsidRDefault="00246AF3" w:rsidP="00246AF3"/>
    <w:p w14:paraId="1493C7DB" w14:textId="77777777" w:rsidR="00246AF3" w:rsidRPr="00175749" w:rsidRDefault="00246AF3" w:rsidP="00246AF3">
      <w:pPr>
        <w:pStyle w:val="Caption"/>
        <w:ind w:left="425"/>
        <w:rPr>
          <w:b w:val="0"/>
          <w:noProof/>
          <w:color w:val="000000" w:themeColor="text1"/>
          <w:sz w:val="22"/>
          <w:szCs w:val="22"/>
        </w:rPr>
      </w:pPr>
      <w:r w:rsidRPr="00175749">
        <w:rPr>
          <w:b w:val="0"/>
          <w:bCs w:val="0"/>
          <w:sz w:val="22"/>
          <w:szCs w:val="22"/>
        </w:rPr>
        <w:t>For further information, raise an enquiry via</w:t>
      </w:r>
      <w:r w:rsidRPr="00175749">
        <w:rPr>
          <w:sz w:val="22"/>
          <w:szCs w:val="22"/>
        </w:rPr>
        <w:t xml:space="preserve"> </w:t>
      </w:r>
      <w:hyperlink r:id="rId13" w:history="1">
        <w:r w:rsidRPr="00175749">
          <w:rPr>
            <w:rStyle w:val="Hyperlink"/>
            <w:sz w:val="22"/>
            <w:szCs w:val="22"/>
          </w:rPr>
          <w:t>Online Services for DSPs</w:t>
        </w:r>
      </w:hyperlink>
      <w:r w:rsidRPr="00175749">
        <w:rPr>
          <w:rStyle w:val="Hyperlink"/>
          <w:i/>
          <w:iCs/>
          <w:sz w:val="22"/>
          <w:szCs w:val="22"/>
        </w:rPr>
        <w:t>.</w:t>
      </w:r>
      <w:r w:rsidRPr="00175749">
        <w:rPr>
          <w:rStyle w:val="Hyperlink"/>
          <w:sz w:val="22"/>
          <w:szCs w:val="22"/>
          <w:u w:val="none"/>
        </w:rPr>
        <w:t xml:space="preserve"> </w:t>
      </w:r>
      <w:r w:rsidRPr="00175749">
        <w:rPr>
          <w:rStyle w:val="Hyperlink"/>
          <w:color w:val="000000" w:themeColor="text1"/>
          <w:sz w:val="22"/>
          <w:szCs w:val="22"/>
          <w:u w:val="none"/>
        </w:rPr>
        <w:t xml:space="preserve">If you are </w:t>
      </w:r>
      <w:r w:rsidRPr="00175749">
        <w:rPr>
          <w:b w:val="0"/>
          <w:bCs w:val="0"/>
          <w:sz w:val="22"/>
          <w:szCs w:val="22"/>
        </w:rPr>
        <w:t>unable to access this, contact</w:t>
      </w:r>
      <w:r w:rsidRPr="00175749">
        <w:rPr>
          <w:sz w:val="22"/>
          <w:szCs w:val="22"/>
        </w:rPr>
        <w:t xml:space="preserve"> </w:t>
      </w:r>
      <w:hyperlink r:id="rId14" w:history="1">
        <w:r w:rsidRPr="00175749">
          <w:rPr>
            <w:rStyle w:val="Hyperlink"/>
            <w:sz w:val="22"/>
            <w:szCs w:val="22"/>
          </w:rPr>
          <w:t>SBRServiceDesk@sbr.gov.au</w:t>
        </w:r>
      </w:hyperlink>
      <w:r w:rsidRPr="00175749">
        <w:rPr>
          <w:sz w:val="22"/>
          <w:szCs w:val="22"/>
        </w:rPr>
        <w:t xml:space="preserve"> </w:t>
      </w:r>
      <w:r w:rsidRPr="00175749">
        <w:rPr>
          <w:b w:val="0"/>
          <w:bCs w:val="0"/>
          <w:sz w:val="22"/>
          <w:szCs w:val="22"/>
        </w:rPr>
        <w:t>or call 1300 488 231. International callers may use +61-2-6216 5577.</w:t>
      </w:r>
    </w:p>
    <w:p w14:paraId="2E0B4572" w14:textId="35693EB0" w:rsidR="00246AF3" w:rsidRDefault="00246AF3">
      <w:pPr>
        <w:rPr>
          <w:rFonts w:cs="Arial"/>
          <w:bCs/>
          <w:color w:val="0F243E" w:themeColor="text2" w:themeShade="80"/>
          <w:kern w:val="22"/>
          <w:sz w:val="56"/>
          <w:szCs w:val="56"/>
        </w:rPr>
      </w:pPr>
      <w:r>
        <w:rPr>
          <w:bCs/>
          <w:color w:val="0F243E" w:themeColor="text2" w:themeShade="80"/>
          <w:sz w:val="56"/>
          <w:szCs w:val="56"/>
        </w:rPr>
        <w:br w:type="page"/>
      </w:r>
    </w:p>
    <w:p w14:paraId="4DAECDCB" w14:textId="77777777" w:rsidR="00984688" w:rsidRPr="005203E9" w:rsidRDefault="00984688" w:rsidP="00920D02">
      <w:pPr>
        <w:pStyle w:val="VersionHeadA"/>
        <w:rPr>
          <w:bCs/>
          <w:color w:val="0F243E" w:themeColor="text2" w:themeShade="80"/>
          <w:sz w:val="32"/>
          <w:szCs w:val="32"/>
        </w:rPr>
      </w:pPr>
    </w:p>
    <w:p w14:paraId="45AD599F" w14:textId="0A67DDA6" w:rsidR="00920D02" w:rsidRPr="00C754C5" w:rsidRDefault="00920D02" w:rsidP="00920D02">
      <w:pPr>
        <w:pStyle w:val="VersionHeadA"/>
        <w:rPr>
          <w:bCs/>
          <w:color w:val="0F243E" w:themeColor="text2" w:themeShade="80"/>
          <w:sz w:val="56"/>
          <w:szCs w:val="56"/>
        </w:rPr>
      </w:pPr>
      <w:r w:rsidRPr="00C754C5">
        <w:rPr>
          <w:bCs/>
          <w:color w:val="0F243E" w:themeColor="text2" w:themeShade="80"/>
          <w:sz w:val="56"/>
          <w:szCs w:val="56"/>
        </w:rPr>
        <w:t>V</w:t>
      </w:r>
      <w:r w:rsidR="00910BD5" w:rsidRPr="00910BD5">
        <w:rPr>
          <w:bCs/>
          <w:color w:val="0F243E" w:themeColor="text2" w:themeShade="80"/>
          <w:sz w:val="56"/>
          <w:szCs w:val="56"/>
        </w:rPr>
        <w:t>ersion control</w:t>
      </w:r>
    </w:p>
    <w:tbl>
      <w:tblPr>
        <w:tblStyle w:val="TableGrid"/>
        <w:tblW w:w="9356" w:type="dxa"/>
        <w:tblLook w:val="04A0" w:firstRow="1" w:lastRow="0" w:firstColumn="1" w:lastColumn="0" w:noHBand="0" w:noVBand="1"/>
      </w:tblPr>
      <w:tblGrid>
        <w:gridCol w:w="1234"/>
        <w:gridCol w:w="1691"/>
        <w:gridCol w:w="6431"/>
      </w:tblGrid>
      <w:tr w:rsidR="00920D02" w14:paraId="0EA80F5C" w14:textId="77777777" w:rsidTr="005203E9">
        <w:trPr>
          <w:trHeight w:val="444"/>
        </w:trPr>
        <w:tc>
          <w:tcPr>
            <w:tcW w:w="1242" w:type="dxa"/>
            <w:shd w:val="clear" w:color="auto" w:fill="B8CCE4" w:themeFill="accent1" w:themeFillTint="66"/>
            <w:vAlign w:val="center"/>
          </w:tcPr>
          <w:p w14:paraId="080974D7" w14:textId="77777777" w:rsidR="00920D02" w:rsidRPr="00A41F53" w:rsidRDefault="00920D02" w:rsidP="00BA4DA2">
            <w:pPr>
              <w:pStyle w:val="Maintext"/>
              <w:rPr>
                <w:bCs/>
                <w:szCs w:val="22"/>
              </w:rPr>
            </w:pPr>
            <w:r w:rsidRPr="00A41F53">
              <w:rPr>
                <w:bCs/>
                <w:szCs w:val="22"/>
              </w:rPr>
              <w:t>Version</w:t>
            </w:r>
          </w:p>
        </w:tc>
        <w:tc>
          <w:tcPr>
            <w:tcW w:w="1701" w:type="dxa"/>
            <w:shd w:val="clear" w:color="auto" w:fill="B8CCE4" w:themeFill="accent1" w:themeFillTint="66"/>
            <w:vAlign w:val="center"/>
          </w:tcPr>
          <w:p w14:paraId="6DD40E15" w14:textId="77777777" w:rsidR="00920D02" w:rsidRPr="00A41F53" w:rsidRDefault="00920D02" w:rsidP="00BA4DA2">
            <w:pPr>
              <w:pStyle w:val="Maintext"/>
              <w:rPr>
                <w:bCs/>
                <w:szCs w:val="22"/>
              </w:rPr>
            </w:pPr>
            <w:r w:rsidRPr="00A41F53">
              <w:rPr>
                <w:bCs/>
                <w:szCs w:val="22"/>
              </w:rPr>
              <w:t>Release date</w:t>
            </w:r>
          </w:p>
        </w:tc>
        <w:tc>
          <w:tcPr>
            <w:tcW w:w="6571" w:type="dxa"/>
            <w:shd w:val="clear" w:color="auto" w:fill="B8CCE4" w:themeFill="accent1" w:themeFillTint="66"/>
            <w:vAlign w:val="center"/>
          </w:tcPr>
          <w:p w14:paraId="7B2D29C3" w14:textId="77777777" w:rsidR="00920D02" w:rsidRPr="00A41F53" w:rsidRDefault="00920D02" w:rsidP="00BA4DA2">
            <w:pPr>
              <w:pStyle w:val="Maintext"/>
              <w:rPr>
                <w:bCs/>
                <w:szCs w:val="22"/>
              </w:rPr>
            </w:pPr>
            <w:r w:rsidRPr="00A41F53">
              <w:rPr>
                <w:bCs/>
                <w:szCs w:val="22"/>
              </w:rPr>
              <w:t>Description of changes</w:t>
            </w:r>
          </w:p>
        </w:tc>
      </w:tr>
      <w:tr w:rsidR="00E80372" w:rsidRPr="00806054" w:rsidDel="004313E1" w14:paraId="57487F5D" w14:textId="77777777" w:rsidTr="00437CBF">
        <w:trPr>
          <w:trHeight w:val="444"/>
        </w:trPr>
        <w:tc>
          <w:tcPr>
            <w:tcW w:w="1242" w:type="dxa"/>
            <w:shd w:val="clear" w:color="auto" w:fill="FFFFFF" w:themeFill="background1"/>
            <w:vAlign w:val="center"/>
          </w:tcPr>
          <w:p w14:paraId="5AA267FC" w14:textId="77777777" w:rsidR="00E80372" w:rsidRPr="00C754C5" w:rsidRDefault="00E80372" w:rsidP="0047068A">
            <w:pPr>
              <w:pStyle w:val="Maintext"/>
              <w:rPr>
                <w:szCs w:val="22"/>
              </w:rPr>
            </w:pPr>
            <w:r w:rsidRPr="00C754C5">
              <w:rPr>
                <w:szCs w:val="22"/>
              </w:rPr>
              <w:t>1.0</w:t>
            </w:r>
          </w:p>
        </w:tc>
        <w:tc>
          <w:tcPr>
            <w:tcW w:w="1701" w:type="dxa"/>
            <w:shd w:val="clear" w:color="auto" w:fill="FFFFFF" w:themeFill="background1"/>
            <w:vAlign w:val="center"/>
          </w:tcPr>
          <w:p w14:paraId="237C1A5F" w14:textId="78CE2860" w:rsidR="00E80372" w:rsidRPr="00C754C5" w:rsidRDefault="00901390" w:rsidP="003B3BF8">
            <w:pPr>
              <w:pStyle w:val="Maintext"/>
              <w:rPr>
                <w:szCs w:val="22"/>
              </w:rPr>
            </w:pPr>
            <w:r>
              <w:rPr>
                <w:szCs w:val="22"/>
              </w:rPr>
              <w:t>29</w:t>
            </w:r>
            <w:r w:rsidR="00E80372" w:rsidRPr="00C754C5">
              <w:rPr>
                <w:szCs w:val="22"/>
              </w:rPr>
              <w:t>/0</w:t>
            </w:r>
            <w:r w:rsidR="0030560F">
              <w:rPr>
                <w:szCs w:val="22"/>
              </w:rPr>
              <w:t>9</w:t>
            </w:r>
            <w:r w:rsidR="00E80372" w:rsidRPr="00C754C5">
              <w:rPr>
                <w:szCs w:val="22"/>
              </w:rPr>
              <w:t>/20</w:t>
            </w:r>
            <w:r w:rsidR="008040DB" w:rsidRPr="00C754C5">
              <w:rPr>
                <w:szCs w:val="22"/>
              </w:rPr>
              <w:t>2</w:t>
            </w:r>
            <w:r w:rsidR="00277B9A">
              <w:rPr>
                <w:szCs w:val="22"/>
              </w:rPr>
              <w:t>2</w:t>
            </w:r>
          </w:p>
        </w:tc>
        <w:tc>
          <w:tcPr>
            <w:tcW w:w="6571" w:type="dxa"/>
            <w:shd w:val="clear" w:color="auto" w:fill="FFFFFF" w:themeFill="background1"/>
            <w:vAlign w:val="center"/>
          </w:tcPr>
          <w:p w14:paraId="6B0C7099" w14:textId="6764BA65" w:rsidR="00E80372" w:rsidRPr="00C754C5" w:rsidRDefault="00E80372" w:rsidP="0047068A">
            <w:pPr>
              <w:pStyle w:val="Maintext"/>
              <w:spacing w:before="60"/>
              <w:rPr>
                <w:szCs w:val="22"/>
              </w:rPr>
            </w:pPr>
            <w:r w:rsidRPr="00C754C5">
              <w:rPr>
                <w:szCs w:val="22"/>
              </w:rPr>
              <w:t xml:space="preserve">Final </w:t>
            </w:r>
            <w:r w:rsidR="00B12839">
              <w:rPr>
                <w:szCs w:val="22"/>
              </w:rPr>
              <w:t>version</w:t>
            </w:r>
            <w:r w:rsidR="00B12839" w:rsidRPr="00C754C5">
              <w:rPr>
                <w:szCs w:val="22"/>
              </w:rPr>
              <w:t xml:space="preserve"> </w:t>
            </w:r>
            <w:r w:rsidRPr="00C754C5">
              <w:rPr>
                <w:szCs w:val="22"/>
              </w:rPr>
              <w:t>endorsed for publishing</w:t>
            </w:r>
          </w:p>
        </w:tc>
      </w:tr>
    </w:tbl>
    <w:p w14:paraId="134AEE47" w14:textId="7B6A92D8" w:rsidR="00920D02" w:rsidRDefault="00920D02" w:rsidP="00336249">
      <w:pPr>
        <w:pStyle w:val="VersionHeadA"/>
        <w:ind w:right="-844"/>
      </w:pPr>
    </w:p>
    <w:p w14:paraId="4290514B" w14:textId="4D2DA8EE" w:rsidR="00277B9A" w:rsidRDefault="00277B9A" w:rsidP="00336249">
      <w:pPr>
        <w:pStyle w:val="VersionHeadA"/>
        <w:ind w:right="-844"/>
      </w:pPr>
    </w:p>
    <w:p w14:paraId="6BB68F85" w14:textId="55ACD215" w:rsidR="003920FE" w:rsidRDefault="003920FE" w:rsidP="00336249">
      <w:pPr>
        <w:pStyle w:val="VersionHeadA"/>
        <w:ind w:right="-844"/>
      </w:pPr>
    </w:p>
    <w:p w14:paraId="620457B4" w14:textId="4619D031" w:rsidR="003920FE" w:rsidRDefault="003920FE" w:rsidP="00336249">
      <w:pPr>
        <w:pStyle w:val="VersionHeadA"/>
        <w:ind w:right="-844"/>
      </w:pPr>
    </w:p>
    <w:p w14:paraId="6754D3C5" w14:textId="77777777" w:rsidR="00984688" w:rsidRDefault="00984688" w:rsidP="00336249">
      <w:pPr>
        <w:pStyle w:val="VersionHeadA"/>
        <w:ind w:right="-844"/>
      </w:pPr>
    </w:p>
    <w:p w14:paraId="2182228E" w14:textId="77777777" w:rsidR="003920FE" w:rsidRDefault="003920FE" w:rsidP="00336249">
      <w:pPr>
        <w:pStyle w:val="VersionHeadA"/>
        <w:ind w:right="-844"/>
      </w:pPr>
    </w:p>
    <w:p w14:paraId="42DBCDE1" w14:textId="77777777" w:rsidR="003920FE" w:rsidRDefault="003920FE" w:rsidP="00336249">
      <w:pPr>
        <w:pStyle w:val="VersionHeadA"/>
        <w:ind w:right="-844"/>
      </w:pPr>
    </w:p>
    <w:p w14:paraId="75C1F8F9" w14:textId="1432FEA8" w:rsidR="00277B9A" w:rsidRDefault="00277B9A" w:rsidP="00277B9A">
      <w:pPr>
        <w:pStyle w:val="VersionHeadA"/>
        <w:ind w:right="-844"/>
        <w:rPr>
          <w:bCs/>
          <w:color w:val="0F243E" w:themeColor="text2" w:themeShade="80"/>
          <w:sz w:val="56"/>
          <w:szCs w:val="56"/>
        </w:rPr>
      </w:pPr>
      <w:r w:rsidRPr="00C754C5">
        <w:rPr>
          <w:bCs/>
          <w:color w:val="0F243E" w:themeColor="text2" w:themeShade="80"/>
          <w:sz w:val="56"/>
          <w:szCs w:val="56"/>
        </w:rPr>
        <w:t>E</w:t>
      </w:r>
      <w:r w:rsidRPr="00910BD5">
        <w:rPr>
          <w:bCs/>
          <w:color w:val="0F243E" w:themeColor="text2" w:themeShade="80"/>
          <w:sz w:val="56"/>
          <w:szCs w:val="56"/>
        </w:rPr>
        <w:t>ndorsement</w:t>
      </w:r>
    </w:p>
    <w:tbl>
      <w:tblPr>
        <w:tblStyle w:val="TableGrid"/>
        <w:tblW w:w="9356" w:type="dxa"/>
        <w:tblLook w:val="04A0" w:firstRow="1" w:lastRow="0" w:firstColumn="1" w:lastColumn="0" w:noHBand="0" w:noVBand="1"/>
      </w:tblPr>
      <w:tblGrid>
        <w:gridCol w:w="4531"/>
        <w:gridCol w:w="4825"/>
      </w:tblGrid>
      <w:tr w:rsidR="00B77508" w14:paraId="7840048D" w14:textId="77777777" w:rsidTr="005203E9">
        <w:trPr>
          <w:trHeight w:val="444"/>
        </w:trPr>
        <w:tc>
          <w:tcPr>
            <w:tcW w:w="4531" w:type="dxa"/>
            <w:shd w:val="clear" w:color="auto" w:fill="B8CCE4" w:themeFill="accent1" w:themeFillTint="66"/>
            <w:vAlign w:val="center"/>
          </w:tcPr>
          <w:p w14:paraId="19E04458" w14:textId="06989B31" w:rsidR="00B77508" w:rsidRPr="00A41F53" w:rsidRDefault="008F7006" w:rsidP="007E74D5">
            <w:pPr>
              <w:pStyle w:val="Maintext"/>
              <w:rPr>
                <w:bCs/>
                <w:szCs w:val="22"/>
              </w:rPr>
            </w:pPr>
            <w:r w:rsidRPr="00A41F53">
              <w:rPr>
                <w:bCs/>
                <w:szCs w:val="22"/>
              </w:rPr>
              <w:t>Vlad Dugandzic</w:t>
            </w:r>
            <w:r w:rsidR="00B77508" w:rsidRPr="00A41F53">
              <w:rPr>
                <w:bCs/>
                <w:szCs w:val="22"/>
              </w:rPr>
              <w:t xml:space="preserve"> </w:t>
            </w:r>
            <w:r w:rsidR="00B472D7">
              <w:rPr>
                <w:bCs/>
                <w:szCs w:val="22"/>
              </w:rPr>
              <w:t>–</w:t>
            </w:r>
            <w:r w:rsidR="00B77508" w:rsidRPr="00A41F53">
              <w:rPr>
                <w:bCs/>
                <w:szCs w:val="22"/>
              </w:rPr>
              <w:t xml:space="preserve"> Director</w:t>
            </w:r>
          </w:p>
          <w:p w14:paraId="4BAA90ED" w14:textId="77777777" w:rsidR="00B77508" w:rsidRPr="00A41F53" w:rsidRDefault="00B77508" w:rsidP="007E74D5">
            <w:pPr>
              <w:pStyle w:val="Maintext"/>
              <w:rPr>
                <w:bCs/>
                <w:szCs w:val="22"/>
              </w:rPr>
            </w:pPr>
          </w:p>
          <w:p w14:paraId="6986AD56" w14:textId="0EB2570F" w:rsidR="00B77508" w:rsidRPr="00A41F53" w:rsidRDefault="002D6D08" w:rsidP="007E74D5">
            <w:pPr>
              <w:pStyle w:val="Maintext"/>
              <w:rPr>
                <w:bCs/>
                <w:szCs w:val="22"/>
              </w:rPr>
            </w:pPr>
            <w:r w:rsidRPr="00A41F53">
              <w:rPr>
                <w:bCs/>
                <w:szCs w:val="22"/>
              </w:rPr>
              <w:t>Small Business</w:t>
            </w:r>
          </w:p>
        </w:tc>
        <w:tc>
          <w:tcPr>
            <w:tcW w:w="4825" w:type="dxa"/>
            <w:shd w:val="clear" w:color="auto" w:fill="B8CCE4" w:themeFill="accent1" w:themeFillTint="66"/>
            <w:vAlign w:val="center"/>
          </w:tcPr>
          <w:p w14:paraId="6EB4A2E4" w14:textId="6897D798" w:rsidR="00B77508" w:rsidRPr="00A41F53" w:rsidRDefault="005E3405" w:rsidP="007E74D5">
            <w:pPr>
              <w:pStyle w:val="Maintext"/>
              <w:rPr>
                <w:bCs/>
                <w:szCs w:val="22"/>
              </w:rPr>
            </w:pPr>
            <w:r w:rsidRPr="00A41F53">
              <w:rPr>
                <w:bCs/>
                <w:szCs w:val="22"/>
              </w:rPr>
              <w:t>David Baker</w:t>
            </w:r>
            <w:r w:rsidR="00B77508" w:rsidRPr="00A41F53">
              <w:rPr>
                <w:bCs/>
                <w:szCs w:val="22"/>
              </w:rPr>
              <w:t xml:space="preserve"> </w:t>
            </w:r>
            <w:r w:rsidR="009C0BC0">
              <w:rPr>
                <w:bCs/>
                <w:szCs w:val="22"/>
              </w:rPr>
              <w:t>–</w:t>
            </w:r>
            <w:r w:rsidR="00B77508" w:rsidRPr="00A41F53">
              <w:rPr>
                <w:bCs/>
                <w:szCs w:val="22"/>
              </w:rPr>
              <w:t xml:space="preserve"> Director</w:t>
            </w:r>
          </w:p>
          <w:p w14:paraId="22D9FF30" w14:textId="77777777" w:rsidR="00B77508" w:rsidRPr="00A41F53" w:rsidRDefault="00B77508" w:rsidP="007E74D5">
            <w:pPr>
              <w:pStyle w:val="Maintext"/>
              <w:rPr>
                <w:bCs/>
                <w:szCs w:val="22"/>
              </w:rPr>
            </w:pPr>
          </w:p>
          <w:p w14:paraId="201F9FBE" w14:textId="77777777" w:rsidR="00B77508" w:rsidRPr="00A41F53" w:rsidRDefault="00B77508" w:rsidP="007E74D5">
            <w:pPr>
              <w:pStyle w:val="Maintext"/>
              <w:rPr>
                <w:bCs/>
                <w:szCs w:val="22"/>
              </w:rPr>
            </w:pPr>
            <w:r w:rsidRPr="00A41F53">
              <w:rPr>
                <w:bCs/>
                <w:szCs w:val="22"/>
              </w:rPr>
              <w:t>Individuals and Intermediaries</w:t>
            </w:r>
          </w:p>
        </w:tc>
      </w:tr>
      <w:tr w:rsidR="00B77508" w14:paraId="27CFD1F3" w14:textId="77777777" w:rsidTr="00B77508">
        <w:trPr>
          <w:trHeight w:val="506"/>
        </w:trPr>
        <w:tc>
          <w:tcPr>
            <w:tcW w:w="4531" w:type="dxa"/>
            <w:vAlign w:val="center"/>
          </w:tcPr>
          <w:p w14:paraId="4AFB8ED5" w14:textId="77777777" w:rsidR="00B77508" w:rsidRPr="00F73E0B" w:rsidRDefault="00B77508" w:rsidP="007E74D5">
            <w:pPr>
              <w:pStyle w:val="Maintext"/>
              <w:rPr>
                <w:bCs/>
                <w:szCs w:val="22"/>
              </w:rPr>
            </w:pPr>
            <w:r w:rsidRPr="00F73E0B">
              <w:rPr>
                <w:bCs/>
                <w:szCs w:val="22"/>
              </w:rPr>
              <w:t>Endorsed for business context</w:t>
            </w:r>
          </w:p>
        </w:tc>
        <w:tc>
          <w:tcPr>
            <w:tcW w:w="4825" w:type="dxa"/>
            <w:vAlign w:val="center"/>
          </w:tcPr>
          <w:p w14:paraId="2FA353BA" w14:textId="77777777" w:rsidR="00B77508" w:rsidRPr="00F73E0B" w:rsidRDefault="00B77508" w:rsidP="007E74D5">
            <w:pPr>
              <w:pStyle w:val="Maintext"/>
              <w:rPr>
                <w:bCs/>
                <w:szCs w:val="22"/>
              </w:rPr>
            </w:pPr>
            <w:r w:rsidRPr="00F73E0B">
              <w:rPr>
                <w:bCs/>
                <w:szCs w:val="22"/>
              </w:rPr>
              <w:t>Endorsed for publication</w:t>
            </w:r>
          </w:p>
        </w:tc>
      </w:tr>
    </w:tbl>
    <w:p w14:paraId="1D4ACF03" w14:textId="77777777" w:rsidR="00277B9A" w:rsidRDefault="00277B9A" w:rsidP="00277B9A">
      <w:pPr>
        <w:rPr>
          <w:bCs/>
          <w:color w:val="17365D" w:themeColor="text2" w:themeShade="BF"/>
          <w:sz w:val="34"/>
          <w:szCs w:val="34"/>
        </w:rPr>
      </w:pPr>
    </w:p>
    <w:p w14:paraId="078172DD" w14:textId="5BA579B1" w:rsidR="00277B9A" w:rsidRDefault="00277B9A" w:rsidP="00336249">
      <w:pPr>
        <w:pStyle w:val="VersionHeadA"/>
        <w:ind w:right="-844"/>
      </w:pPr>
    </w:p>
    <w:p w14:paraId="34D478FE" w14:textId="77777777" w:rsidR="00984688" w:rsidRDefault="00984688" w:rsidP="00336249">
      <w:pPr>
        <w:pStyle w:val="VersionHeadA"/>
        <w:ind w:right="-844"/>
      </w:pPr>
    </w:p>
    <w:p w14:paraId="42334900" w14:textId="77777777" w:rsidR="003920FE" w:rsidRDefault="003920FE" w:rsidP="00336249">
      <w:pPr>
        <w:pStyle w:val="VersionHeadA"/>
        <w:ind w:right="-844"/>
      </w:pPr>
    </w:p>
    <w:p w14:paraId="46BE35FD" w14:textId="0A2A04C1" w:rsidR="00277B9A" w:rsidRDefault="00277B9A" w:rsidP="00336249">
      <w:pPr>
        <w:pStyle w:val="VersionHeadA"/>
        <w:ind w:right="-844"/>
      </w:pPr>
    </w:p>
    <w:p w14:paraId="09050B6D" w14:textId="77777777" w:rsidR="00277B9A" w:rsidRDefault="00277B9A" w:rsidP="00336249">
      <w:pPr>
        <w:pStyle w:val="VersionHeadA"/>
        <w:ind w:right="-844"/>
      </w:pPr>
    </w:p>
    <w:p w14:paraId="7135D9FE" w14:textId="00E8BB6A" w:rsidR="008040DB" w:rsidRPr="00C418EE" w:rsidRDefault="00277B9A" w:rsidP="008040DB">
      <w:pPr>
        <w:rPr>
          <w:b/>
          <w:color w:val="17365D" w:themeColor="text2" w:themeShade="BF"/>
          <w:sz w:val="26"/>
          <w:szCs w:val="26"/>
        </w:rPr>
      </w:pPr>
      <w:r w:rsidRPr="00C418EE">
        <w:rPr>
          <w:b/>
          <w:color w:val="17365D" w:themeColor="text2" w:themeShade="BF"/>
          <w:sz w:val="26"/>
          <w:szCs w:val="26"/>
        </w:rPr>
        <w:t>C</w:t>
      </w:r>
      <w:r w:rsidR="00910BD5" w:rsidRPr="00C418EE">
        <w:rPr>
          <w:b/>
          <w:color w:val="17365D" w:themeColor="text2" w:themeShade="BF"/>
          <w:sz w:val="26"/>
          <w:szCs w:val="26"/>
        </w:rPr>
        <w:t xml:space="preserve">opyright </w:t>
      </w:r>
    </w:p>
    <w:p w14:paraId="39F8D19F" w14:textId="77777777" w:rsidR="008040DB" w:rsidRDefault="008040DB" w:rsidP="008040DB">
      <w:pPr>
        <w:pStyle w:val="VersionHeadA"/>
        <w:ind w:right="-844"/>
        <w:rPr>
          <w:sz w:val="22"/>
          <w:szCs w:val="22"/>
        </w:rPr>
      </w:pPr>
    </w:p>
    <w:p w14:paraId="198E8D6B" w14:textId="46A69D2E" w:rsidR="008040DB" w:rsidRDefault="008040DB" w:rsidP="008040DB">
      <w:pPr>
        <w:rPr>
          <w:rFonts w:cs="Arial"/>
          <w:szCs w:val="22"/>
          <w:u w:val="single"/>
        </w:rPr>
      </w:pPr>
      <w:r>
        <w:rPr>
          <w:rFonts w:cs="Arial"/>
          <w:szCs w:val="22"/>
        </w:rPr>
        <w:t>© Commonwealth of Australia 202</w:t>
      </w:r>
      <w:r w:rsidR="00277B9A">
        <w:rPr>
          <w:rFonts w:cs="Arial"/>
          <w:szCs w:val="22"/>
        </w:rPr>
        <w:t>2</w:t>
      </w:r>
    </w:p>
    <w:p w14:paraId="0CD3EE62" w14:textId="77777777" w:rsidR="008040DB" w:rsidRDefault="008040DB" w:rsidP="008040DB">
      <w:pPr>
        <w:jc w:val="both"/>
        <w:rPr>
          <w:rFonts w:cs="Arial"/>
          <w:szCs w:val="22"/>
        </w:rPr>
      </w:pPr>
      <w:r>
        <w:rPr>
          <w:rFonts w:cs="Arial"/>
          <w:szCs w:val="22"/>
        </w:rPr>
        <w:br/>
        <w:t xml:space="preserve">This work is copyright. Use of this Information and Material is subject to the terms and conditions in the "SBR Disclaimer and Conditions of Use" that is available at </w:t>
      </w:r>
      <w:hyperlink r:id="rId15" w:history="1">
        <w:r w:rsidRPr="00E56D42">
          <w:rPr>
            <w:rStyle w:val="Hyperlink"/>
            <w:b w:val="0"/>
            <w:bCs/>
            <w:szCs w:val="22"/>
          </w:rPr>
          <w:t>http://www.sbr.gov.au</w:t>
        </w:r>
      </w:hyperlink>
      <w:r>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396CD508" w14:textId="77777777" w:rsidR="008040DB" w:rsidRDefault="008040DB" w:rsidP="008040DB">
      <w:pPr>
        <w:jc w:val="both"/>
        <w:rPr>
          <w:rFonts w:cs="Arial"/>
          <w:szCs w:val="22"/>
        </w:rPr>
      </w:pPr>
    </w:p>
    <w:p w14:paraId="50917F92" w14:textId="5287B5D3" w:rsidR="003349AD" w:rsidRDefault="008040DB" w:rsidP="00E74E65">
      <w:pPr>
        <w:jc w:val="both"/>
        <w:sectPr w:rsidR="003349AD" w:rsidSect="008123D3">
          <w:headerReference w:type="default" r:id="rId16"/>
          <w:footerReference w:type="default" r:id="rId17"/>
          <w:pgSz w:w="11906" w:h="16838" w:code="9"/>
          <w:pgMar w:top="826" w:right="1304" w:bottom="1814" w:left="1304" w:header="425" w:footer="680" w:gutter="0"/>
          <w:cols w:space="708"/>
          <w:formProt w:val="0"/>
          <w:titlePg/>
          <w:docGrid w:linePitch="360"/>
        </w:sectPr>
      </w:pPr>
      <w:r>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78D7F2DB" w14:textId="56504AE0" w:rsidR="00561E38" w:rsidRPr="00C754C5" w:rsidRDefault="00483D3F" w:rsidP="00A437EB">
      <w:pPr>
        <w:pStyle w:val="VersionHeadA"/>
        <w:ind w:right="-844"/>
        <w:rPr>
          <w:bCs/>
          <w:color w:val="0F243E" w:themeColor="text2" w:themeShade="80"/>
          <w:sz w:val="56"/>
          <w:szCs w:val="56"/>
        </w:rPr>
      </w:pPr>
      <w:r w:rsidRPr="00C754C5">
        <w:rPr>
          <w:bCs/>
          <w:color w:val="0F243E" w:themeColor="text2" w:themeShade="80"/>
          <w:sz w:val="56"/>
          <w:szCs w:val="56"/>
        </w:rPr>
        <w:t>T</w:t>
      </w:r>
      <w:r w:rsidR="00910BD5" w:rsidRPr="00910BD5">
        <w:rPr>
          <w:bCs/>
          <w:color w:val="0F243E" w:themeColor="text2" w:themeShade="80"/>
          <w:sz w:val="56"/>
          <w:szCs w:val="56"/>
        </w:rPr>
        <w:t>able</w:t>
      </w:r>
      <w:r w:rsidRPr="00C754C5">
        <w:rPr>
          <w:bCs/>
          <w:color w:val="0F243E" w:themeColor="text2" w:themeShade="80"/>
          <w:sz w:val="56"/>
          <w:szCs w:val="56"/>
        </w:rPr>
        <w:t xml:space="preserve"> </w:t>
      </w:r>
      <w:r w:rsidR="00910BD5" w:rsidRPr="00910BD5">
        <w:rPr>
          <w:bCs/>
          <w:color w:val="0F243E" w:themeColor="text2" w:themeShade="80"/>
          <w:sz w:val="56"/>
          <w:szCs w:val="56"/>
        </w:rPr>
        <w:t xml:space="preserve">of </w:t>
      </w:r>
      <w:r w:rsidRPr="00C754C5">
        <w:rPr>
          <w:bCs/>
          <w:color w:val="0F243E" w:themeColor="text2" w:themeShade="80"/>
          <w:sz w:val="56"/>
          <w:szCs w:val="56"/>
        </w:rPr>
        <w:t>C</w:t>
      </w:r>
      <w:r w:rsidR="00910BD5" w:rsidRPr="00910BD5">
        <w:rPr>
          <w:bCs/>
          <w:color w:val="0F243E" w:themeColor="text2" w:themeShade="80"/>
          <w:sz w:val="56"/>
          <w:szCs w:val="56"/>
        </w:rPr>
        <w:t>ontents</w:t>
      </w:r>
    </w:p>
    <w:p w14:paraId="0F8CAE34" w14:textId="77777777" w:rsidR="00A437EB" w:rsidRPr="002607F0" w:rsidRDefault="00A437EB" w:rsidP="00A437EB">
      <w:pPr>
        <w:pStyle w:val="Maintext"/>
        <w:rPr>
          <w:szCs w:val="22"/>
        </w:rPr>
      </w:pPr>
    </w:p>
    <w:p w14:paraId="2303B112" w14:textId="77777777" w:rsidR="009077EF" w:rsidRPr="002F79E0" w:rsidRDefault="009077EF" w:rsidP="00A437EB">
      <w:pPr>
        <w:pStyle w:val="Maintext"/>
        <w:rPr>
          <w:szCs w:val="22"/>
        </w:rPr>
      </w:pPr>
    </w:p>
    <w:p w14:paraId="39CFC9F1" w14:textId="2CE8590F" w:rsidR="00581F65" w:rsidRPr="00E74E65" w:rsidRDefault="00A437EB">
      <w:pPr>
        <w:pStyle w:val="TOC1"/>
        <w:rPr>
          <w:rFonts w:asciiTheme="minorHAnsi" w:eastAsiaTheme="minorEastAsia" w:hAnsiTheme="minorHAnsi" w:cstheme="minorBidi"/>
          <w:noProof/>
          <w:sz w:val="22"/>
        </w:rPr>
      </w:pPr>
      <w:r w:rsidRPr="00E74E65">
        <w:rPr>
          <w:sz w:val="22"/>
          <w:highlight w:val="yellow"/>
        </w:rPr>
        <w:fldChar w:fldCharType="begin"/>
      </w:r>
      <w:r w:rsidRPr="00E74E65">
        <w:rPr>
          <w:sz w:val="22"/>
          <w:highlight w:val="yellow"/>
        </w:rPr>
        <w:instrText xml:space="preserve"> TOC \o "1-3" \h \z \u </w:instrText>
      </w:r>
      <w:r w:rsidRPr="00E74E65">
        <w:rPr>
          <w:sz w:val="22"/>
          <w:highlight w:val="yellow"/>
        </w:rPr>
        <w:fldChar w:fldCharType="separate"/>
      </w:r>
      <w:hyperlink w:anchor="_Toc113894643" w:history="1">
        <w:r w:rsidR="00581F65" w:rsidRPr="00E74E65">
          <w:rPr>
            <w:rStyle w:val="Hyperlink"/>
            <w:sz w:val="22"/>
          </w:rPr>
          <w:t>1.</w:t>
        </w:r>
        <w:r w:rsidR="00581F65" w:rsidRPr="00E74E65">
          <w:rPr>
            <w:rFonts w:asciiTheme="minorHAnsi" w:eastAsiaTheme="minorEastAsia" w:hAnsiTheme="minorHAnsi" w:cstheme="minorBidi"/>
            <w:noProof/>
            <w:sz w:val="22"/>
          </w:rPr>
          <w:tab/>
        </w:r>
        <w:r w:rsidR="00581F65" w:rsidRPr="00E74E65">
          <w:rPr>
            <w:rStyle w:val="Hyperlink"/>
            <w:sz w:val="22"/>
          </w:rPr>
          <w:t>Introduction</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_Toc113894643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4</w:t>
        </w:r>
        <w:r w:rsidR="00581F65" w:rsidRPr="00E74E65">
          <w:rPr>
            <w:noProof/>
            <w:webHidden/>
            <w:sz w:val="22"/>
          </w:rPr>
          <w:fldChar w:fldCharType="end"/>
        </w:r>
      </w:hyperlink>
    </w:p>
    <w:p w14:paraId="7382FE09" w14:textId="3B574B8D" w:rsidR="00581F65" w:rsidRPr="00E74E65" w:rsidRDefault="00B11815">
      <w:pPr>
        <w:pStyle w:val="TOC2"/>
        <w:rPr>
          <w:rFonts w:asciiTheme="minorHAnsi" w:eastAsiaTheme="minorEastAsia" w:hAnsiTheme="minorHAnsi" w:cstheme="minorBidi"/>
          <w:noProof/>
          <w:sz w:val="22"/>
        </w:rPr>
      </w:pPr>
      <w:hyperlink w:anchor="_Toc113894644" w:history="1">
        <w:r w:rsidR="00581F65" w:rsidRPr="00E74E65">
          <w:rPr>
            <w:rStyle w:val="Hyperlink"/>
            <w:sz w:val="22"/>
          </w:rPr>
          <w:t>1.1</w:t>
        </w:r>
        <w:r w:rsidR="00581F65" w:rsidRPr="00E74E65">
          <w:rPr>
            <w:rFonts w:asciiTheme="minorHAnsi" w:eastAsiaTheme="minorEastAsia" w:hAnsiTheme="minorHAnsi" w:cstheme="minorBidi"/>
            <w:noProof/>
            <w:sz w:val="22"/>
          </w:rPr>
          <w:tab/>
        </w:r>
        <w:r w:rsidR="00581F65" w:rsidRPr="00E74E65">
          <w:rPr>
            <w:rStyle w:val="Hyperlink"/>
            <w:sz w:val="22"/>
          </w:rPr>
          <w:t>Purpose</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_Toc113894644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4</w:t>
        </w:r>
        <w:r w:rsidR="00581F65" w:rsidRPr="00E74E65">
          <w:rPr>
            <w:noProof/>
            <w:webHidden/>
            <w:sz w:val="22"/>
          </w:rPr>
          <w:fldChar w:fldCharType="end"/>
        </w:r>
      </w:hyperlink>
    </w:p>
    <w:p w14:paraId="03589729" w14:textId="619C6E55" w:rsidR="00581F65" w:rsidRPr="00E74E65" w:rsidRDefault="00B11815">
      <w:pPr>
        <w:pStyle w:val="TOC2"/>
        <w:rPr>
          <w:rFonts w:asciiTheme="minorHAnsi" w:eastAsiaTheme="minorEastAsia" w:hAnsiTheme="minorHAnsi" w:cstheme="minorBidi"/>
          <w:noProof/>
          <w:sz w:val="22"/>
        </w:rPr>
      </w:pPr>
      <w:hyperlink w:anchor="_Toc113894645" w:history="1">
        <w:r w:rsidR="00581F65" w:rsidRPr="00E74E65">
          <w:rPr>
            <w:rStyle w:val="Hyperlink"/>
            <w:sz w:val="22"/>
          </w:rPr>
          <w:t>1.2</w:t>
        </w:r>
        <w:r w:rsidR="00581F65" w:rsidRPr="00E74E65">
          <w:rPr>
            <w:rFonts w:asciiTheme="minorHAnsi" w:eastAsiaTheme="minorEastAsia" w:hAnsiTheme="minorHAnsi" w:cstheme="minorBidi"/>
            <w:noProof/>
            <w:sz w:val="22"/>
          </w:rPr>
          <w:tab/>
        </w:r>
        <w:r w:rsidR="00581F65" w:rsidRPr="00E74E65">
          <w:rPr>
            <w:rStyle w:val="Hyperlink"/>
            <w:sz w:val="22"/>
          </w:rPr>
          <w:t>Glossary</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_Toc113894645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4</w:t>
        </w:r>
        <w:r w:rsidR="00581F65" w:rsidRPr="00E74E65">
          <w:rPr>
            <w:noProof/>
            <w:webHidden/>
            <w:sz w:val="22"/>
          </w:rPr>
          <w:fldChar w:fldCharType="end"/>
        </w:r>
      </w:hyperlink>
    </w:p>
    <w:p w14:paraId="78ABA4FB" w14:textId="28F75ACE" w:rsidR="00581F65" w:rsidRPr="00E74E65" w:rsidRDefault="00B11815">
      <w:pPr>
        <w:pStyle w:val="TOC1"/>
        <w:rPr>
          <w:rFonts w:asciiTheme="minorHAnsi" w:eastAsiaTheme="minorEastAsia" w:hAnsiTheme="minorHAnsi" w:cstheme="minorBidi"/>
          <w:noProof/>
          <w:sz w:val="22"/>
        </w:rPr>
      </w:pPr>
      <w:hyperlink w:anchor="_Toc113894646" w:history="1">
        <w:r w:rsidR="007560AC" w:rsidRPr="00E74E65">
          <w:rPr>
            <w:rStyle w:val="Hyperlink"/>
            <w:sz w:val="22"/>
          </w:rPr>
          <w:t>2.</w:t>
        </w:r>
        <w:r w:rsidR="007560AC" w:rsidRPr="00E74E65">
          <w:rPr>
            <w:rFonts w:asciiTheme="minorHAnsi" w:eastAsiaTheme="minorEastAsia" w:hAnsiTheme="minorHAnsi" w:cstheme="minorBidi"/>
            <w:noProof/>
            <w:sz w:val="22"/>
          </w:rPr>
          <w:tab/>
        </w:r>
        <w:r w:rsidR="007560AC" w:rsidRPr="00E74E65">
          <w:rPr>
            <w:rStyle w:val="Hyperlink"/>
            <w:sz w:val="22"/>
          </w:rPr>
          <w:t>What is the TPAR service?</w:t>
        </w:r>
        <w:r w:rsidR="007560AC" w:rsidRPr="00E74E65">
          <w:rPr>
            <w:noProof/>
            <w:webHidden/>
            <w:sz w:val="22"/>
          </w:rPr>
          <w:tab/>
          <w:t>5</w:t>
        </w:r>
      </w:hyperlink>
    </w:p>
    <w:p w14:paraId="6BE52E03" w14:textId="073C5657" w:rsidR="00581F65" w:rsidRPr="00E74E65" w:rsidRDefault="00B11815">
      <w:pPr>
        <w:pStyle w:val="TOC2"/>
        <w:rPr>
          <w:rFonts w:asciiTheme="minorHAnsi" w:eastAsiaTheme="minorEastAsia" w:hAnsiTheme="minorHAnsi" w:cstheme="minorBidi"/>
          <w:noProof/>
          <w:sz w:val="22"/>
        </w:rPr>
      </w:pPr>
      <w:hyperlink w:anchor="_Toc113894648" w:history="1">
        <w:r w:rsidR="00581F65" w:rsidRPr="00E74E65">
          <w:rPr>
            <w:rStyle w:val="Hyperlink"/>
            <w:bCs/>
            <w:sz w:val="22"/>
          </w:rPr>
          <w:t>2.1</w:t>
        </w:r>
        <w:r w:rsidR="00581F65" w:rsidRPr="00E74E65">
          <w:rPr>
            <w:rFonts w:asciiTheme="minorHAnsi" w:eastAsiaTheme="minorEastAsia" w:hAnsiTheme="minorHAnsi" w:cstheme="minorBidi"/>
            <w:noProof/>
            <w:sz w:val="22"/>
          </w:rPr>
          <w:tab/>
        </w:r>
        <w:r w:rsidR="00581F65" w:rsidRPr="00E74E65">
          <w:rPr>
            <w:rStyle w:val="Hyperlink"/>
            <w:sz w:val="22"/>
          </w:rPr>
          <w:t>Where Standard business reporting (SBR) fits into TPAR lodgment obligations?</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_Toc113894648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5</w:t>
        </w:r>
        <w:r w:rsidR="00581F65" w:rsidRPr="00E74E65">
          <w:rPr>
            <w:noProof/>
            <w:webHidden/>
            <w:sz w:val="22"/>
          </w:rPr>
          <w:fldChar w:fldCharType="end"/>
        </w:r>
      </w:hyperlink>
    </w:p>
    <w:p w14:paraId="52231A9B" w14:textId="10D9B5B2" w:rsidR="00581F65" w:rsidRPr="00E74E65" w:rsidRDefault="00B11815">
      <w:pPr>
        <w:pStyle w:val="TOC2"/>
        <w:rPr>
          <w:rFonts w:asciiTheme="minorHAnsi" w:eastAsiaTheme="minorEastAsia" w:hAnsiTheme="minorHAnsi" w:cstheme="minorBidi"/>
          <w:noProof/>
          <w:sz w:val="22"/>
        </w:rPr>
      </w:pPr>
      <w:hyperlink w:anchor="_Toc113894652" w:history="1">
        <w:r w:rsidR="00581F65" w:rsidRPr="00E74E65">
          <w:rPr>
            <w:rStyle w:val="Hyperlink"/>
            <w:sz w:val="22"/>
          </w:rPr>
          <w:t>2.2</w:t>
        </w:r>
        <w:r w:rsidR="00581F65" w:rsidRPr="00E74E65">
          <w:rPr>
            <w:rFonts w:asciiTheme="minorHAnsi" w:eastAsiaTheme="minorEastAsia" w:hAnsiTheme="minorHAnsi" w:cstheme="minorBidi"/>
            <w:noProof/>
            <w:sz w:val="22"/>
          </w:rPr>
          <w:tab/>
        </w:r>
        <w:r w:rsidR="00581F65" w:rsidRPr="00E74E65">
          <w:rPr>
            <w:rStyle w:val="Hyperlink"/>
            <w:sz w:val="22"/>
          </w:rPr>
          <w:t>Parent and child events specification</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_Toc113894652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6</w:t>
        </w:r>
        <w:r w:rsidR="00581F65" w:rsidRPr="00E74E65">
          <w:rPr>
            <w:noProof/>
            <w:webHidden/>
            <w:sz w:val="22"/>
          </w:rPr>
          <w:fldChar w:fldCharType="end"/>
        </w:r>
      </w:hyperlink>
    </w:p>
    <w:p w14:paraId="27C08D58" w14:textId="63EBB106" w:rsidR="00581F65" w:rsidRPr="00E74E65" w:rsidRDefault="00B11815">
      <w:pPr>
        <w:pStyle w:val="TOC3"/>
        <w:rPr>
          <w:rFonts w:asciiTheme="minorHAnsi" w:eastAsiaTheme="minorEastAsia" w:hAnsiTheme="minorHAnsi" w:cstheme="minorBidi"/>
          <w:sz w:val="22"/>
        </w:rPr>
      </w:pPr>
      <w:hyperlink w:anchor="_Toc113894653" w:history="1">
        <w:r w:rsidR="00581F65" w:rsidRPr="00E74E65">
          <w:rPr>
            <w:rStyle w:val="Hyperlink"/>
            <w:sz w:val="22"/>
          </w:rPr>
          <w:t>Correct reporting of payer and payee data</w:t>
        </w:r>
        <w:r w:rsidR="00581F65" w:rsidRPr="00E74E65">
          <w:rPr>
            <w:webHidden/>
            <w:sz w:val="22"/>
          </w:rPr>
          <w:tab/>
        </w:r>
        <w:r w:rsidR="00581F65" w:rsidRPr="00E74E65">
          <w:rPr>
            <w:webHidden/>
            <w:sz w:val="22"/>
          </w:rPr>
          <w:fldChar w:fldCharType="begin"/>
        </w:r>
        <w:r w:rsidR="00581F65" w:rsidRPr="00E74E65">
          <w:rPr>
            <w:webHidden/>
            <w:sz w:val="22"/>
          </w:rPr>
          <w:instrText xml:space="preserve"> PAGEREF _Toc113894653 \h </w:instrText>
        </w:r>
        <w:r w:rsidR="00581F65" w:rsidRPr="00E74E65">
          <w:rPr>
            <w:webHidden/>
            <w:sz w:val="22"/>
          </w:rPr>
        </w:r>
        <w:r w:rsidR="00581F65" w:rsidRPr="00E74E65">
          <w:rPr>
            <w:webHidden/>
            <w:sz w:val="22"/>
          </w:rPr>
          <w:fldChar w:fldCharType="separate"/>
        </w:r>
        <w:r w:rsidR="00581F65" w:rsidRPr="00E74E65">
          <w:rPr>
            <w:webHidden/>
            <w:sz w:val="22"/>
          </w:rPr>
          <w:t>6</w:t>
        </w:r>
        <w:r w:rsidR="00581F65" w:rsidRPr="00E74E65">
          <w:rPr>
            <w:webHidden/>
            <w:sz w:val="22"/>
          </w:rPr>
          <w:fldChar w:fldCharType="end"/>
        </w:r>
      </w:hyperlink>
    </w:p>
    <w:p w14:paraId="20FB2510" w14:textId="2C84AD88" w:rsidR="00581F65" w:rsidRPr="00E74E65" w:rsidRDefault="00B11815">
      <w:pPr>
        <w:pStyle w:val="TOC3"/>
        <w:rPr>
          <w:rFonts w:asciiTheme="minorHAnsi" w:eastAsiaTheme="minorEastAsia" w:hAnsiTheme="minorHAnsi" w:cstheme="minorBidi"/>
          <w:sz w:val="22"/>
        </w:rPr>
      </w:pPr>
      <w:hyperlink w:anchor="_Toc113894654" w:history="1">
        <w:r w:rsidR="00581F65" w:rsidRPr="00E74E65">
          <w:rPr>
            <w:rStyle w:val="Hyperlink"/>
            <w:sz w:val="22"/>
          </w:rPr>
          <w:t>Government reporting</w:t>
        </w:r>
        <w:r w:rsidR="00581F65" w:rsidRPr="00E74E65">
          <w:rPr>
            <w:webHidden/>
            <w:sz w:val="22"/>
          </w:rPr>
          <w:tab/>
        </w:r>
        <w:r w:rsidR="00581F65" w:rsidRPr="00E74E65">
          <w:rPr>
            <w:webHidden/>
            <w:sz w:val="22"/>
          </w:rPr>
          <w:fldChar w:fldCharType="begin"/>
        </w:r>
        <w:r w:rsidR="00581F65" w:rsidRPr="00E74E65">
          <w:rPr>
            <w:webHidden/>
            <w:sz w:val="22"/>
          </w:rPr>
          <w:instrText xml:space="preserve"> PAGEREF _Toc113894654 \h </w:instrText>
        </w:r>
        <w:r w:rsidR="00581F65" w:rsidRPr="00E74E65">
          <w:rPr>
            <w:webHidden/>
            <w:sz w:val="22"/>
          </w:rPr>
        </w:r>
        <w:r w:rsidR="00581F65" w:rsidRPr="00E74E65">
          <w:rPr>
            <w:webHidden/>
            <w:sz w:val="22"/>
          </w:rPr>
          <w:fldChar w:fldCharType="separate"/>
        </w:r>
        <w:r w:rsidR="00581F65" w:rsidRPr="00E74E65">
          <w:rPr>
            <w:webHidden/>
            <w:sz w:val="22"/>
          </w:rPr>
          <w:t>6</w:t>
        </w:r>
        <w:r w:rsidR="00581F65" w:rsidRPr="00E74E65">
          <w:rPr>
            <w:webHidden/>
            <w:sz w:val="22"/>
          </w:rPr>
          <w:fldChar w:fldCharType="end"/>
        </w:r>
      </w:hyperlink>
    </w:p>
    <w:p w14:paraId="5DC9A436" w14:textId="0D0FD3C1" w:rsidR="00581F65" w:rsidRPr="00E74E65" w:rsidRDefault="00B11815">
      <w:pPr>
        <w:pStyle w:val="TOC3"/>
        <w:rPr>
          <w:rFonts w:asciiTheme="minorHAnsi" w:eastAsiaTheme="minorEastAsia" w:hAnsiTheme="minorHAnsi" w:cstheme="minorBidi"/>
          <w:sz w:val="22"/>
        </w:rPr>
      </w:pPr>
      <w:hyperlink w:anchor="_Toc113894655" w:history="1">
        <w:r w:rsidR="00581F65" w:rsidRPr="00E74E65">
          <w:rPr>
            <w:rStyle w:val="Hyperlink"/>
            <w:sz w:val="22"/>
          </w:rPr>
          <w:t>Amendments</w:t>
        </w:r>
        <w:r w:rsidR="00581F65" w:rsidRPr="00E74E65">
          <w:rPr>
            <w:webHidden/>
            <w:sz w:val="22"/>
          </w:rPr>
          <w:tab/>
        </w:r>
        <w:r w:rsidR="00581F65" w:rsidRPr="00E74E65">
          <w:rPr>
            <w:webHidden/>
            <w:sz w:val="22"/>
          </w:rPr>
          <w:fldChar w:fldCharType="begin"/>
        </w:r>
        <w:r w:rsidR="00581F65" w:rsidRPr="00E74E65">
          <w:rPr>
            <w:webHidden/>
            <w:sz w:val="22"/>
          </w:rPr>
          <w:instrText xml:space="preserve"> PAGEREF _Toc113894655 \h </w:instrText>
        </w:r>
        <w:r w:rsidR="00581F65" w:rsidRPr="00E74E65">
          <w:rPr>
            <w:webHidden/>
            <w:sz w:val="22"/>
          </w:rPr>
        </w:r>
        <w:r w:rsidR="00581F65" w:rsidRPr="00E74E65">
          <w:rPr>
            <w:webHidden/>
            <w:sz w:val="22"/>
          </w:rPr>
          <w:fldChar w:fldCharType="separate"/>
        </w:r>
        <w:r w:rsidR="00581F65" w:rsidRPr="00E74E65">
          <w:rPr>
            <w:webHidden/>
            <w:sz w:val="22"/>
          </w:rPr>
          <w:t>7</w:t>
        </w:r>
        <w:r w:rsidR="00581F65" w:rsidRPr="00E74E65">
          <w:rPr>
            <w:webHidden/>
            <w:sz w:val="22"/>
          </w:rPr>
          <w:fldChar w:fldCharType="end"/>
        </w:r>
      </w:hyperlink>
    </w:p>
    <w:p w14:paraId="1BAD9DCF" w14:textId="1EFA2948" w:rsidR="00581F65" w:rsidRPr="00E74E65" w:rsidRDefault="00B11815">
      <w:pPr>
        <w:pStyle w:val="TOC2"/>
        <w:rPr>
          <w:rFonts w:asciiTheme="minorHAnsi" w:eastAsiaTheme="minorEastAsia" w:hAnsiTheme="minorHAnsi" w:cstheme="minorBidi"/>
          <w:noProof/>
          <w:sz w:val="22"/>
        </w:rPr>
      </w:pPr>
      <w:hyperlink w:anchor="_Toc113894689" w:history="1">
        <w:r w:rsidR="00E74E65" w:rsidRPr="00E74E65">
          <w:rPr>
            <w:rStyle w:val="Hyperlink"/>
            <w:sz w:val="22"/>
          </w:rPr>
          <w:t>2.3</w:t>
        </w:r>
        <w:r w:rsidR="00E74E65" w:rsidRPr="00E74E65">
          <w:rPr>
            <w:rFonts w:asciiTheme="minorHAnsi" w:eastAsiaTheme="minorEastAsia" w:hAnsiTheme="minorHAnsi" w:cstheme="minorBidi"/>
            <w:noProof/>
            <w:sz w:val="22"/>
          </w:rPr>
          <w:tab/>
        </w:r>
        <w:r w:rsidR="00E74E65" w:rsidRPr="00E74E65">
          <w:rPr>
            <w:rStyle w:val="Hyperlink"/>
            <w:sz w:val="22"/>
          </w:rPr>
          <w:t>Interactions</w:t>
        </w:r>
        <w:r w:rsidR="00E74E65" w:rsidRPr="00E74E65">
          <w:rPr>
            <w:noProof/>
            <w:webHidden/>
            <w:sz w:val="22"/>
          </w:rPr>
          <w:tab/>
        </w:r>
        <w:r w:rsidR="00E74E65">
          <w:rPr>
            <w:noProof/>
            <w:webHidden/>
            <w:sz w:val="22"/>
          </w:rPr>
          <w:t>8</w:t>
        </w:r>
      </w:hyperlink>
    </w:p>
    <w:p w14:paraId="07492535" w14:textId="0E0440C6" w:rsidR="00581F65" w:rsidRPr="00E74E65" w:rsidRDefault="00B11815">
      <w:pPr>
        <w:pStyle w:val="TOC1"/>
        <w:rPr>
          <w:rFonts w:asciiTheme="minorHAnsi" w:eastAsiaTheme="minorEastAsia" w:hAnsiTheme="minorHAnsi" w:cstheme="minorBidi"/>
          <w:noProof/>
          <w:sz w:val="22"/>
        </w:rPr>
      </w:pPr>
      <w:hyperlink w:anchor="_Toc113894699" w:history="1">
        <w:r w:rsidR="00581F65" w:rsidRPr="00E74E65">
          <w:rPr>
            <w:rStyle w:val="Hyperlink"/>
            <w:sz w:val="22"/>
          </w:rPr>
          <w:t>3.</w:t>
        </w:r>
        <w:r w:rsidR="00581F65" w:rsidRPr="00E74E65">
          <w:rPr>
            <w:rFonts w:asciiTheme="minorHAnsi" w:eastAsiaTheme="minorEastAsia" w:hAnsiTheme="minorHAnsi" w:cstheme="minorBidi"/>
            <w:noProof/>
            <w:sz w:val="22"/>
          </w:rPr>
          <w:tab/>
        </w:r>
        <w:r w:rsidR="00581F65" w:rsidRPr="00E74E65">
          <w:rPr>
            <w:rStyle w:val="Hyperlink"/>
            <w:sz w:val="22"/>
          </w:rPr>
          <w:t>Authorisation</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_Toc113894699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8</w:t>
        </w:r>
        <w:r w:rsidR="00581F65" w:rsidRPr="00E74E65">
          <w:rPr>
            <w:noProof/>
            <w:webHidden/>
            <w:sz w:val="22"/>
          </w:rPr>
          <w:fldChar w:fldCharType="end"/>
        </w:r>
      </w:hyperlink>
    </w:p>
    <w:p w14:paraId="1C2510F0" w14:textId="34DD435E" w:rsidR="00581F65" w:rsidRPr="00E74E65" w:rsidRDefault="00B11815">
      <w:pPr>
        <w:pStyle w:val="TOC2"/>
        <w:rPr>
          <w:rFonts w:eastAsiaTheme="minorEastAsia"/>
          <w:noProof/>
          <w:sz w:val="22"/>
        </w:rPr>
      </w:pPr>
      <w:hyperlink w:anchor="_Toc113894700" w:history="1">
        <w:r w:rsidR="00581F65" w:rsidRPr="00E74E65">
          <w:rPr>
            <w:rStyle w:val="Hyperlink"/>
            <w:sz w:val="22"/>
          </w:rPr>
          <w:t>3.1</w:t>
        </w:r>
        <w:r w:rsidR="00581F65" w:rsidRPr="00E74E65">
          <w:rPr>
            <w:rFonts w:asciiTheme="minorHAnsi" w:eastAsiaTheme="minorEastAsia" w:hAnsiTheme="minorHAnsi" w:cstheme="minorBidi"/>
            <w:noProof/>
            <w:sz w:val="22"/>
          </w:rPr>
          <w:tab/>
        </w:r>
        <w:r w:rsidR="00581F65" w:rsidRPr="00E74E65">
          <w:rPr>
            <w:rStyle w:val="Hyperlink"/>
            <w:sz w:val="22"/>
          </w:rPr>
          <w:t>Intermediary relationship</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_Toc113894700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8</w:t>
        </w:r>
        <w:r w:rsidR="00581F65" w:rsidRPr="00E74E65">
          <w:rPr>
            <w:noProof/>
            <w:webHidden/>
            <w:sz w:val="22"/>
          </w:rPr>
          <w:fldChar w:fldCharType="end"/>
        </w:r>
      </w:hyperlink>
    </w:p>
    <w:p w14:paraId="550780E2" w14:textId="7E0E6673" w:rsidR="00581F65" w:rsidRPr="00E74E65" w:rsidRDefault="00B11815">
      <w:pPr>
        <w:pStyle w:val="TOC2"/>
        <w:rPr>
          <w:rFonts w:asciiTheme="minorHAnsi" w:eastAsiaTheme="minorEastAsia" w:hAnsiTheme="minorHAnsi" w:cstheme="minorBidi"/>
          <w:noProof/>
          <w:sz w:val="22"/>
        </w:rPr>
      </w:pPr>
      <w:hyperlink w:anchor="_Toc113894702" w:history="1">
        <w:r w:rsidR="00E74E65" w:rsidRPr="00E74E65">
          <w:rPr>
            <w:rStyle w:val="Hyperlink"/>
            <w:sz w:val="22"/>
          </w:rPr>
          <w:t>3.2</w:t>
        </w:r>
        <w:r w:rsidR="00E74E65" w:rsidRPr="00E74E65">
          <w:rPr>
            <w:rFonts w:asciiTheme="minorHAnsi" w:eastAsiaTheme="minorEastAsia" w:hAnsiTheme="minorHAnsi" w:cstheme="minorBidi"/>
            <w:noProof/>
            <w:sz w:val="22"/>
          </w:rPr>
          <w:tab/>
        </w:r>
        <w:r w:rsidR="00E74E65" w:rsidRPr="00E74E65">
          <w:rPr>
            <w:rStyle w:val="Hyperlink"/>
            <w:sz w:val="22"/>
          </w:rPr>
          <w:t xml:space="preserve">Access and initiating parties </w:t>
        </w:r>
        <w:r w:rsidR="00E74E65" w:rsidRPr="00E74E65">
          <w:rPr>
            <w:noProof/>
            <w:webHidden/>
            <w:sz w:val="22"/>
          </w:rPr>
          <w:tab/>
        </w:r>
        <w:r w:rsidR="00E74E65">
          <w:rPr>
            <w:noProof/>
            <w:webHidden/>
            <w:sz w:val="22"/>
          </w:rPr>
          <w:t>9</w:t>
        </w:r>
      </w:hyperlink>
    </w:p>
    <w:p w14:paraId="1BE832B3" w14:textId="097D4BEE" w:rsidR="00581F65" w:rsidRPr="00E74E65" w:rsidRDefault="00B11815">
      <w:pPr>
        <w:pStyle w:val="TOC1"/>
        <w:rPr>
          <w:rFonts w:asciiTheme="minorHAnsi" w:eastAsiaTheme="minorEastAsia" w:hAnsiTheme="minorHAnsi" w:cstheme="minorBidi"/>
          <w:noProof/>
          <w:sz w:val="22"/>
        </w:rPr>
      </w:pPr>
      <w:hyperlink w:anchor="_Toc113894703" w:history="1">
        <w:r w:rsidR="00E74E65" w:rsidRPr="00E74E65">
          <w:rPr>
            <w:rStyle w:val="Hyperlink"/>
            <w:sz w:val="22"/>
          </w:rPr>
          <w:t>4.</w:t>
        </w:r>
        <w:r w:rsidR="00E74E65" w:rsidRPr="00E74E65">
          <w:rPr>
            <w:rFonts w:asciiTheme="minorHAnsi" w:eastAsiaTheme="minorEastAsia" w:hAnsiTheme="minorHAnsi" w:cstheme="minorBidi"/>
            <w:noProof/>
            <w:sz w:val="22"/>
          </w:rPr>
          <w:tab/>
        </w:r>
        <w:r w:rsidR="00E74E65" w:rsidRPr="00E74E65">
          <w:rPr>
            <w:rStyle w:val="Hyperlink"/>
            <w:sz w:val="22"/>
          </w:rPr>
          <w:t>Constraints and known issues</w:t>
        </w:r>
        <w:r w:rsidR="00E74E65" w:rsidRPr="00E74E65">
          <w:rPr>
            <w:noProof/>
            <w:webHidden/>
            <w:sz w:val="22"/>
          </w:rPr>
          <w:tab/>
        </w:r>
        <w:r w:rsidR="00E74E65">
          <w:rPr>
            <w:noProof/>
            <w:webHidden/>
            <w:sz w:val="22"/>
          </w:rPr>
          <w:t>10</w:t>
        </w:r>
      </w:hyperlink>
    </w:p>
    <w:p w14:paraId="35EDB347" w14:textId="26D6B092" w:rsidR="00581F65" w:rsidRPr="00E74E65" w:rsidRDefault="00B11815">
      <w:pPr>
        <w:pStyle w:val="TOC2"/>
        <w:rPr>
          <w:rFonts w:asciiTheme="minorHAnsi" w:eastAsiaTheme="minorEastAsia" w:hAnsiTheme="minorHAnsi" w:cstheme="minorBidi"/>
          <w:noProof/>
          <w:sz w:val="22"/>
        </w:rPr>
      </w:pPr>
      <w:hyperlink w:anchor="_Toc113894704" w:history="1">
        <w:r w:rsidR="00E74E65" w:rsidRPr="00E74E65">
          <w:rPr>
            <w:rStyle w:val="Hyperlink"/>
            <w:sz w:val="22"/>
          </w:rPr>
          <w:t>4.1</w:t>
        </w:r>
        <w:r w:rsidR="00E74E65" w:rsidRPr="00E74E65">
          <w:rPr>
            <w:rFonts w:asciiTheme="minorHAnsi" w:eastAsiaTheme="minorEastAsia" w:hAnsiTheme="minorHAnsi" w:cstheme="minorBidi"/>
            <w:noProof/>
            <w:sz w:val="22"/>
          </w:rPr>
          <w:tab/>
        </w:r>
        <w:r w:rsidR="00E74E65" w:rsidRPr="00E74E65">
          <w:rPr>
            <w:rStyle w:val="Hyperlink"/>
            <w:caps/>
            <w:sz w:val="22"/>
          </w:rPr>
          <w:t>U</w:t>
        </w:r>
        <w:r w:rsidR="00E74E65" w:rsidRPr="00E74E65">
          <w:rPr>
            <w:rStyle w:val="Hyperlink"/>
            <w:sz w:val="22"/>
          </w:rPr>
          <w:t>sage restrictions</w:t>
        </w:r>
        <w:r w:rsidR="00E74E65" w:rsidRPr="00E74E65">
          <w:rPr>
            <w:noProof/>
            <w:webHidden/>
            <w:sz w:val="22"/>
          </w:rPr>
          <w:tab/>
        </w:r>
        <w:r w:rsidR="00E74E65">
          <w:rPr>
            <w:noProof/>
            <w:webHidden/>
            <w:sz w:val="22"/>
          </w:rPr>
          <w:t>10</w:t>
        </w:r>
      </w:hyperlink>
    </w:p>
    <w:p w14:paraId="7B0371BF" w14:textId="0ADC06D4" w:rsidR="00581F65" w:rsidRPr="00E74E65" w:rsidRDefault="00B11815">
      <w:pPr>
        <w:pStyle w:val="TOC1"/>
        <w:rPr>
          <w:rFonts w:asciiTheme="minorHAnsi" w:eastAsiaTheme="minorEastAsia" w:hAnsiTheme="minorHAnsi" w:cstheme="minorBidi"/>
          <w:noProof/>
          <w:sz w:val="22"/>
        </w:rPr>
      </w:pPr>
      <w:hyperlink w:anchor="_Toc113894705" w:history="1">
        <w:r w:rsidR="00581F65" w:rsidRPr="00E74E65">
          <w:rPr>
            <w:rStyle w:val="Hyperlink"/>
            <w:sz w:val="22"/>
          </w:rPr>
          <w:t>5.</w:t>
        </w:r>
        <w:r w:rsidR="00581F65" w:rsidRPr="00E74E65">
          <w:rPr>
            <w:rFonts w:asciiTheme="minorHAnsi" w:eastAsiaTheme="minorEastAsia" w:hAnsiTheme="minorHAnsi" w:cstheme="minorBidi"/>
            <w:noProof/>
            <w:sz w:val="22"/>
          </w:rPr>
          <w:tab/>
        </w:r>
        <w:r w:rsidR="00581F65" w:rsidRPr="00E74E65">
          <w:rPr>
            <w:rStyle w:val="Hyperlink"/>
            <w:sz w:val="22"/>
          </w:rPr>
          <w:t xml:space="preserve">Taxpayer declarations </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_Toc113894705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10</w:t>
        </w:r>
        <w:r w:rsidR="00581F65" w:rsidRPr="00E74E65">
          <w:rPr>
            <w:noProof/>
            <w:webHidden/>
            <w:sz w:val="22"/>
          </w:rPr>
          <w:fldChar w:fldCharType="end"/>
        </w:r>
      </w:hyperlink>
    </w:p>
    <w:p w14:paraId="4E2FAD1D" w14:textId="59D36832" w:rsidR="00581F65" w:rsidRPr="00E74E65" w:rsidRDefault="00B11815">
      <w:pPr>
        <w:pStyle w:val="TOC2"/>
        <w:rPr>
          <w:rFonts w:asciiTheme="minorHAnsi" w:eastAsiaTheme="minorEastAsia" w:hAnsiTheme="minorHAnsi" w:cstheme="minorBidi"/>
          <w:noProof/>
          <w:sz w:val="22"/>
        </w:rPr>
      </w:pPr>
      <w:hyperlink w:anchor="_Toc113894706" w:history="1">
        <w:r w:rsidR="00581F65" w:rsidRPr="00E74E65">
          <w:rPr>
            <w:rStyle w:val="Hyperlink"/>
            <w:sz w:val="22"/>
          </w:rPr>
          <w:t>5.1</w:t>
        </w:r>
        <w:r w:rsidR="00581F65" w:rsidRPr="00E74E65">
          <w:rPr>
            <w:rFonts w:asciiTheme="minorHAnsi" w:eastAsiaTheme="minorEastAsia" w:hAnsiTheme="minorHAnsi" w:cstheme="minorBidi"/>
            <w:noProof/>
            <w:sz w:val="22"/>
          </w:rPr>
          <w:tab/>
        </w:r>
        <w:r w:rsidR="00581F65" w:rsidRPr="00E74E65">
          <w:rPr>
            <w:rStyle w:val="Hyperlink"/>
            <w:sz w:val="22"/>
          </w:rPr>
          <w:t>Suggested wording</w:t>
        </w:r>
        <w:r w:rsidR="00581F65" w:rsidRPr="00E74E65">
          <w:rPr>
            <w:noProof/>
            <w:webHidden/>
            <w:sz w:val="22"/>
          </w:rPr>
          <w:tab/>
        </w:r>
        <w:r w:rsidR="00581F65" w:rsidRPr="00E74E65">
          <w:rPr>
            <w:noProof/>
            <w:webHidden/>
            <w:sz w:val="22"/>
          </w:rPr>
          <w:fldChar w:fldCharType="begin"/>
        </w:r>
        <w:r w:rsidR="00581F65" w:rsidRPr="00E74E65">
          <w:rPr>
            <w:noProof/>
            <w:webHidden/>
            <w:sz w:val="22"/>
          </w:rPr>
          <w:instrText xml:space="preserve"> PAGEREF _Toc113894706 \h </w:instrText>
        </w:r>
        <w:r w:rsidR="00581F65" w:rsidRPr="00E74E65">
          <w:rPr>
            <w:noProof/>
            <w:webHidden/>
            <w:sz w:val="22"/>
          </w:rPr>
        </w:r>
        <w:r w:rsidR="00581F65" w:rsidRPr="00E74E65">
          <w:rPr>
            <w:noProof/>
            <w:webHidden/>
            <w:sz w:val="22"/>
          </w:rPr>
          <w:fldChar w:fldCharType="separate"/>
        </w:r>
        <w:r w:rsidR="00581F65" w:rsidRPr="00E74E65">
          <w:rPr>
            <w:noProof/>
            <w:webHidden/>
            <w:sz w:val="22"/>
          </w:rPr>
          <w:t>10</w:t>
        </w:r>
        <w:r w:rsidR="00581F65" w:rsidRPr="00E74E65">
          <w:rPr>
            <w:noProof/>
            <w:webHidden/>
            <w:sz w:val="22"/>
          </w:rPr>
          <w:fldChar w:fldCharType="end"/>
        </w:r>
      </w:hyperlink>
    </w:p>
    <w:p w14:paraId="16110DC6" w14:textId="154092FB" w:rsidR="00581F65" w:rsidRPr="00E74E65" w:rsidRDefault="00B11815">
      <w:pPr>
        <w:pStyle w:val="TOC1"/>
        <w:rPr>
          <w:rFonts w:asciiTheme="minorHAnsi" w:eastAsiaTheme="minorEastAsia" w:hAnsiTheme="minorHAnsi" w:cstheme="minorBidi"/>
          <w:noProof/>
          <w:sz w:val="22"/>
        </w:rPr>
      </w:pPr>
      <w:hyperlink w:anchor="_Toc113894707" w:history="1">
        <w:r w:rsidR="00E74E65" w:rsidRPr="00E74E65">
          <w:rPr>
            <w:rStyle w:val="Hyperlink"/>
            <w:sz w:val="22"/>
          </w:rPr>
          <w:t>6.</w:t>
        </w:r>
        <w:r w:rsidR="00E74E65" w:rsidRPr="00E74E65">
          <w:rPr>
            <w:rFonts w:asciiTheme="minorHAnsi" w:eastAsiaTheme="minorEastAsia" w:hAnsiTheme="minorHAnsi" w:cstheme="minorBidi"/>
            <w:noProof/>
            <w:sz w:val="22"/>
          </w:rPr>
          <w:tab/>
        </w:r>
        <w:r w:rsidR="00E74E65" w:rsidRPr="00E74E65">
          <w:rPr>
            <w:rStyle w:val="Hyperlink"/>
            <w:sz w:val="22"/>
          </w:rPr>
          <w:t xml:space="preserve">TPAR guidance </w:t>
        </w:r>
        <w:r w:rsidR="00E74E65" w:rsidRPr="00E74E65">
          <w:rPr>
            <w:noProof/>
            <w:webHidden/>
            <w:sz w:val="22"/>
          </w:rPr>
          <w:tab/>
        </w:r>
        <w:r w:rsidR="00E74E65" w:rsidRPr="00E74E65">
          <w:rPr>
            <w:noProof/>
            <w:webHidden/>
            <w:sz w:val="22"/>
          </w:rPr>
          <w:fldChar w:fldCharType="begin"/>
        </w:r>
        <w:r w:rsidR="00E74E65" w:rsidRPr="00E74E65">
          <w:rPr>
            <w:noProof/>
            <w:webHidden/>
            <w:sz w:val="22"/>
          </w:rPr>
          <w:instrText xml:space="preserve"> PAGEREF _Toc113894707 \h </w:instrText>
        </w:r>
        <w:r w:rsidR="00E74E65" w:rsidRPr="00E74E65">
          <w:rPr>
            <w:noProof/>
            <w:webHidden/>
            <w:sz w:val="22"/>
          </w:rPr>
        </w:r>
        <w:r w:rsidR="00E74E65" w:rsidRPr="00E74E65">
          <w:rPr>
            <w:noProof/>
            <w:webHidden/>
            <w:sz w:val="22"/>
          </w:rPr>
          <w:fldChar w:fldCharType="separate"/>
        </w:r>
        <w:r w:rsidR="00E74E65" w:rsidRPr="00E74E65">
          <w:rPr>
            <w:noProof/>
            <w:webHidden/>
            <w:sz w:val="22"/>
          </w:rPr>
          <w:t>1</w:t>
        </w:r>
        <w:r w:rsidR="00E74E65">
          <w:rPr>
            <w:noProof/>
            <w:webHidden/>
            <w:sz w:val="22"/>
          </w:rPr>
          <w:t>1</w:t>
        </w:r>
        <w:r w:rsidR="00E74E65" w:rsidRPr="00E74E65">
          <w:rPr>
            <w:noProof/>
            <w:webHidden/>
            <w:sz w:val="22"/>
          </w:rPr>
          <w:fldChar w:fldCharType="end"/>
        </w:r>
      </w:hyperlink>
    </w:p>
    <w:p w14:paraId="274A2F69" w14:textId="695354AA" w:rsidR="00581F65" w:rsidRPr="00E74E65" w:rsidRDefault="00B11815">
      <w:pPr>
        <w:pStyle w:val="TOC2"/>
        <w:rPr>
          <w:rFonts w:asciiTheme="minorHAnsi" w:eastAsiaTheme="minorEastAsia" w:hAnsiTheme="minorHAnsi" w:cstheme="minorBidi"/>
          <w:noProof/>
          <w:sz w:val="22"/>
        </w:rPr>
      </w:pPr>
      <w:hyperlink w:anchor="_Toc113894720" w:history="1">
        <w:r w:rsidR="00E74E65" w:rsidRPr="00E74E65">
          <w:rPr>
            <w:rStyle w:val="Hyperlink"/>
            <w:sz w:val="22"/>
          </w:rPr>
          <w:t>6.1</w:t>
        </w:r>
        <w:r w:rsidR="00E74E65" w:rsidRPr="00E74E65">
          <w:rPr>
            <w:rFonts w:asciiTheme="minorHAnsi" w:eastAsiaTheme="minorEastAsia" w:hAnsiTheme="minorHAnsi" w:cstheme="minorBidi"/>
            <w:noProof/>
            <w:sz w:val="22"/>
          </w:rPr>
          <w:tab/>
        </w:r>
        <w:r w:rsidR="00E74E65" w:rsidRPr="00E74E65">
          <w:rPr>
            <w:rStyle w:val="Hyperlink"/>
            <w:sz w:val="22"/>
          </w:rPr>
          <w:t>TFN and ABN algorithm validation</w:t>
        </w:r>
        <w:r w:rsidR="00E74E65" w:rsidRPr="00E74E65">
          <w:rPr>
            <w:noProof/>
            <w:webHidden/>
            <w:sz w:val="22"/>
          </w:rPr>
          <w:tab/>
        </w:r>
        <w:r w:rsidR="00E74E65" w:rsidRPr="00E74E65">
          <w:rPr>
            <w:noProof/>
            <w:webHidden/>
            <w:sz w:val="22"/>
          </w:rPr>
          <w:fldChar w:fldCharType="begin"/>
        </w:r>
        <w:r w:rsidR="00E74E65" w:rsidRPr="00E74E65">
          <w:rPr>
            <w:noProof/>
            <w:webHidden/>
            <w:sz w:val="22"/>
          </w:rPr>
          <w:instrText xml:space="preserve"> PAGEREF _Toc113894720 \h </w:instrText>
        </w:r>
        <w:r w:rsidR="00E74E65" w:rsidRPr="00E74E65">
          <w:rPr>
            <w:noProof/>
            <w:webHidden/>
            <w:sz w:val="22"/>
          </w:rPr>
        </w:r>
        <w:r w:rsidR="00E74E65" w:rsidRPr="00E74E65">
          <w:rPr>
            <w:noProof/>
            <w:webHidden/>
            <w:sz w:val="22"/>
          </w:rPr>
          <w:fldChar w:fldCharType="separate"/>
        </w:r>
        <w:r w:rsidR="00E74E65" w:rsidRPr="00E74E65">
          <w:rPr>
            <w:noProof/>
            <w:webHidden/>
            <w:sz w:val="22"/>
          </w:rPr>
          <w:t>1</w:t>
        </w:r>
        <w:r w:rsidR="00E74E65">
          <w:rPr>
            <w:noProof/>
            <w:webHidden/>
            <w:sz w:val="22"/>
          </w:rPr>
          <w:t>1</w:t>
        </w:r>
        <w:r w:rsidR="00E74E65" w:rsidRPr="00E74E65">
          <w:rPr>
            <w:noProof/>
            <w:webHidden/>
            <w:sz w:val="22"/>
          </w:rPr>
          <w:fldChar w:fldCharType="end"/>
        </w:r>
      </w:hyperlink>
    </w:p>
    <w:p w14:paraId="399717AD" w14:textId="1362FF42" w:rsidR="00F00304" w:rsidRPr="00E74E65" w:rsidRDefault="00A437EB" w:rsidP="00F00304">
      <w:pPr>
        <w:pStyle w:val="Maintext"/>
        <w:rPr>
          <w:szCs w:val="22"/>
        </w:rPr>
      </w:pPr>
      <w:r w:rsidRPr="00E74E65">
        <w:rPr>
          <w:rFonts w:cs="Arial"/>
          <w:szCs w:val="22"/>
          <w:highlight w:val="yellow"/>
        </w:rPr>
        <w:fldChar w:fldCharType="end"/>
      </w:r>
    </w:p>
    <w:p w14:paraId="747428A7" w14:textId="14213D51" w:rsidR="001664BD" w:rsidRPr="00E74E65" w:rsidRDefault="003D5ACC">
      <w:pPr>
        <w:pStyle w:val="TableofFigures"/>
        <w:tabs>
          <w:tab w:val="right" w:leader="dot" w:pos="9288"/>
        </w:tabs>
        <w:rPr>
          <w:rFonts w:asciiTheme="minorHAnsi" w:eastAsiaTheme="minorEastAsia" w:hAnsiTheme="minorHAnsi" w:cstheme="minorBidi"/>
          <w:noProof/>
          <w:sz w:val="22"/>
          <w:szCs w:val="22"/>
        </w:rPr>
      </w:pPr>
      <w:r w:rsidRPr="00E74E65">
        <w:rPr>
          <w:sz w:val="22"/>
          <w:szCs w:val="22"/>
        </w:rPr>
        <w:fldChar w:fldCharType="begin"/>
      </w:r>
      <w:r w:rsidRPr="00E74E65">
        <w:rPr>
          <w:sz w:val="22"/>
          <w:szCs w:val="22"/>
        </w:rPr>
        <w:instrText xml:space="preserve"> TOC \h \z \c "Table" </w:instrText>
      </w:r>
      <w:r w:rsidRPr="00E74E65">
        <w:rPr>
          <w:sz w:val="22"/>
          <w:szCs w:val="22"/>
        </w:rPr>
        <w:fldChar w:fldCharType="separate"/>
      </w:r>
      <w:hyperlink w:anchor="_Toc516666856" w:history="1">
        <w:r w:rsidR="001664BD" w:rsidRPr="00E74E65">
          <w:rPr>
            <w:rStyle w:val="Hyperlink"/>
            <w:sz w:val="22"/>
            <w:szCs w:val="22"/>
          </w:rPr>
          <w:t xml:space="preserve">Table 1: </w:t>
        </w:r>
        <w:r w:rsidR="0087022D" w:rsidRPr="00E74E65">
          <w:rPr>
            <w:sz w:val="22"/>
            <w:szCs w:val="22"/>
          </w:rPr>
          <w:t>Context of SBR interactions and the T</w:t>
        </w:r>
        <w:r w:rsidR="0000715D" w:rsidRPr="00E74E65">
          <w:rPr>
            <w:sz w:val="22"/>
            <w:szCs w:val="22"/>
          </w:rPr>
          <w:t>PA</w:t>
        </w:r>
        <w:r w:rsidR="0087022D" w:rsidRPr="00E74E65">
          <w:rPr>
            <w:sz w:val="22"/>
            <w:szCs w:val="22"/>
          </w:rPr>
          <w:t>R process</w:t>
        </w:r>
        <w:r w:rsidR="0087022D" w:rsidRPr="00E74E65" w:rsidDel="0087022D">
          <w:rPr>
            <w:rStyle w:val="Hyperlink"/>
            <w:sz w:val="22"/>
            <w:szCs w:val="22"/>
          </w:rPr>
          <w:t xml:space="preserve"> </w:t>
        </w:r>
        <w:r w:rsidR="001664BD" w:rsidRPr="00E74E65">
          <w:rPr>
            <w:noProof/>
            <w:webHidden/>
            <w:sz w:val="22"/>
            <w:szCs w:val="22"/>
          </w:rPr>
          <w:tab/>
        </w:r>
        <w:r w:rsidR="00F2205C" w:rsidRPr="00E74E65">
          <w:rPr>
            <w:noProof/>
            <w:webHidden/>
            <w:sz w:val="22"/>
            <w:szCs w:val="22"/>
          </w:rPr>
          <w:t>5</w:t>
        </w:r>
      </w:hyperlink>
    </w:p>
    <w:p w14:paraId="27488295" w14:textId="62C43A41" w:rsidR="001664BD" w:rsidRPr="00E74E65" w:rsidRDefault="00B11815">
      <w:pPr>
        <w:pStyle w:val="TableofFigures"/>
        <w:tabs>
          <w:tab w:val="right" w:leader="dot" w:pos="9288"/>
        </w:tabs>
        <w:rPr>
          <w:rFonts w:asciiTheme="minorHAnsi" w:eastAsiaTheme="minorEastAsia" w:hAnsiTheme="minorHAnsi" w:cstheme="minorBidi"/>
          <w:noProof/>
          <w:sz w:val="22"/>
          <w:szCs w:val="22"/>
        </w:rPr>
      </w:pPr>
      <w:hyperlink w:anchor="_Toc516666857" w:history="1">
        <w:r w:rsidR="007560AC" w:rsidRPr="00E74E65">
          <w:rPr>
            <w:rStyle w:val="Hyperlink"/>
            <w:sz w:val="22"/>
            <w:szCs w:val="22"/>
          </w:rPr>
          <w:t>Table 2: Amendment reasons</w:t>
        </w:r>
        <w:r w:rsidR="007560AC" w:rsidRPr="00E74E65">
          <w:rPr>
            <w:noProof/>
            <w:webHidden/>
            <w:sz w:val="22"/>
            <w:szCs w:val="22"/>
          </w:rPr>
          <w:tab/>
          <w:t>7</w:t>
        </w:r>
      </w:hyperlink>
    </w:p>
    <w:p w14:paraId="23C667F8" w14:textId="3CE3E16A" w:rsidR="001664BD" w:rsidRPr="00E74E65" w:rsidRDefault="00B11815">
      <w:pPr>
        <w:pStyle w:val="TableofFigures"/>
        <w:tabs>
          <w:tab w:val="right" w:leader="dot" w:pos="9288"/>
        </w:tabs>
        <w:rPr>
          <w:rFonts w:asciiTheme="minorHAnsi" w:eastAsiaTheme="minorEastAsia" w:hAnsiTheme="minorHAnsi" w:cstheme="minorBidi"/>
          <w:noProof/>
          <w:sz w:val="22"/>
          <w:szCs w:val="22"/>
        </w:rPr>
      </w:pPr>
      <w:hyperlink w:anchor="_Toc516666858" w:history="1">
        <w:r w:rsidR="00E74E65" w:rsidRPr="00E74E65">
          <w:rPr>
            <w:rStyle w:val="Hyperlink"/>
            <w:sz w:val="22"/>
            <w:szCs w:val="22"/>
          </w:rPr>
          <w:t xml:space="preserve">Table 3: </w:t>
        </w:r>
        <w:r w:rsidR="00E74E65" w:rsidRPr="00E74E65">
          <w:rPr>
            <w:sz w:val="22"/>
            <w:szCs w:val="22"/>
          </w:rPr>
          <w:t>Interactions available in the TPAR lodgment process</w:t>
        </w:r>
        <w:r w:rsidR="00E74E65" w:rsidRPr="00E74E65" w:rsidDel="006B1C00">
          <w:rPr>
            <w:rStyle w:val="Hyperlink"/>
            <w:sz w:val="22"/>
            <w:szCs w:val="22"/>
          </w:rPr>
          <w:t xml:space="preserve"> </w:t>
        </w:r>
        <w:r w:rsidR="00E74E65" w:rsidRPr="00E74E65">
          <w:rPr>
            <w:noProof/>
            <w:webHidden/>
            <w:sz w:val="22"/>
            <w:szCs w:val="22"/>
          </w:rPr>
          <w:tab/>
        </w:r>
        <w:r w:rsidR="00E74E65">
          <w:rPr>
            <w:noProof/>
            <w:webHidden/>
            <w:sz w:val="22"/>
            <w:szCs w:val="22"/>
          </w:rPr>
          <w:t>8</w:t>
        </w:r>
      </w:hyperlink>
    </w:p>
    <w:p w14:paraId="0D8F66C5" w14:textId="7FBA20A0" w:rsidR="001664BD" w:rsidRPr="00E74E65" w:rsidRDefault="00B11815">
      <w:pPr>
        <w:pStyle w:val="TableofFigures"/>
        <w:tabs>
          <w:tab w:val="right" w:leader="dot" w:pos="9288"/>
        </w:tabs>
        <w:rPr>
          <w:noProof/>
          <w:sz w:val="22"/>
          <w:szCs w:val="22"/>
        </w:rPr>
      </w:pPr>
      <w:hyperlink w:anchor="_Toc516666859" w:history="1">
        <w:r w:rsidR="007560AC" w:rsidRPr="00E74E65">
          <w:rPr>
            <w:rStyle w:val="Hyperlink"/>
            <w:sz w:val="22"/>
            <w:szCs w:val="22"/>
          </w:rPr>
          <w:t>Table 4: TPAR permissions</w:t>
        </w:r>
        <w:r w:rsidR="007560AC" w:rsidRPr="00E74E65" w:rsidDel="006B1C00">
          <w:rPr>
            <w:rStyle w:val="Hyperlink"/>
            <w:sz w:val="22"/>
            <w:szCs w:val="22"/>
          </w:rPr>
          <w:t xml:space="preserve"> </w:t>
        </w:r>
        <w:r w:rsidR="007560AC" w:rsidRPr="00E74E65">
          <w:rPr>
            <w:noProof/>
            <w:webHidden/>
            <w:sz w:val="22"/>
            <w:szCs w:val="22"/>
          </w:rPr>
          <w:tab/>
          <w:t>9</w:t>
        </w:r>
      </w:hyperlink>
    </w:p>
    <w:p w14:paraId="098C396A" w14:textId="22829682" w:rsidR="002607F0" w:rsidRPr="00E74E65" w:rsidRDefault="00B11815" w:rsidP="002607F0">
      <w:pPr>
        <w:pStyle w:val="TableofFigures"/>
        <w:tabs>
          <w:tab w:val="right" w:leader="dot" w:pos="9288"/>
        </w:tabs>
        <w:rPr>
          <w:noProof/>
          <w:sz w:val="22"/>
          <w:szCs w:val="22"/>
        </w:rPr>
      </w:pPr>
      <w:hyperlink w:anchor="_Toc516666856" w:history="1">
        <w:r w:rsidR="007560AC" w:rsidRPr="00E74E65">
          <w:rPr>
            <w:rStyle w:val="Hyperlink"/>
            <w:sz w:val="22"/>
            <w:szCs w:val="22"/>
          </w:rPr>
          <w:t>Table 5: Access Manager permissions for TPAR</w:t>
        </w:r>
        <w:r w:rsidR="007560AC" w:rsidRPr="00E74E65" w:rsidDel="0087022D">
          <w:rPr>
            <w:rStyle w:val="Hyperlink"/>
            <w:sz w:val="22"/>
            <w:szCs w:val="22"/>
          </w:rPr>
          <w:t xml:space="preserve"> </w:t>
        </w:r>
        <w:r w:rsidR="007560AC" w:rsidRPr="00E74E65">
          <w:rPr>
            <w:noProof/>
            <w:webHidden/>
            <w:sz w:val="22"/>
            <w:szCs w:val="22"/>
          </w:rPr>
          <w:tab/>
          <w:t>9</w:t>
        </w:r>
      </w:hyperlink>
    </w:p>
    <w:p w14:paraId="5BAF0371" w14:textId="77777777" w:rsidR="00512FBA" w:rsidRPr="001B13A4" w:rsidRDefault="003D5ACC" w:rsidP="00512FBA">
      <w:pPr>
        <w:pStyle w:val="Maintext"/>
        <w:rPr>
          <w:sz w:val="18"/>
        </w:rPr>
      </w:pPr>
      <w:r w:rsidRPr="00E74E65">
        <w:rPr>
          <w:szCs w:val="22"/>
        </w:rPr>
        <w:fldChar w:fldCharType="end"/>
      </w:r>
    </w:p>
    <w:p w14:paraId="6423F82A" w14:textId="77777777" w:rsidR="000B4796" w:rsidRPr="001B13A4" w:rsidRDefault="000B4796" w:rsidP="00561E38">
      <w:pPr>
        <w:pStyle w:val="Maintext"/>
        <w:rPr>
          <w:sz w:val="18"/>
        </w:rPr>
      </w:pPr>
    </w:p>
    <w:p w14:paraId="52F45599" w14:textId="3F5BC01F" w:rsidR="00D4079C" w:rsidRDefault="00D4079C">
      <w:pPr>
        <w:rPr>
          <w:sz w:val="18"/>
        </w:rPr>
      </w:pPr>
      <w:r>
        <w:rPr>
          <w:sz w:val="18"/>
        </w:rPr>
        <w:br w:type="page"/>
      </w:r>
    </w:p>
    <w:p w14:paraId="3DE6306A" w14:textId="77777777" w:rsidR="00561E38" w:rsidRPr="001B13A4" w:rsidRDefault="00561E38" w:rsidP="00561E38">
      <w:pPr>
        <w:pStyle w:val="Maintext"/>
        <w:rPr>
          <w:sz w:val="18"/>
        </w:rPr>
        <w:sectPr w:rsidR="00561E38" w:rsidRPr="001B13A4" w:rsidSect="001A1239">
          <w:headerReference w:type="even" r:id="rId18"/>
          <w:headerReference w:type="first" r:id="rId19"/>
          <w:pgSz w:w="11906" w:h="16838" w:code="9"/>
          <w:pgMar w:top="1702" w:right="1304" w:bottom="1814" w:left="1304" w:header="425" w:footer="680" w:gutter="0"/>
          <w:cols w:space="708"/>
          <w:formProt w:val="0"/>
          <w:docGrid w:linePitch="360"/>
        </w:sectPr>
      </w:pPr>
    </w:p>
    <w:p w14:paraId="0284AF78" w14:textId="4CB836AE" w:rsidR="00432D6B" w:rsidRPr="00910BD5" w:rsidRDefault="00E0253E" w:rsidP="00776DED">
      <w:pPr>
        <w:pStyle w:val="Heading1"/>
        <w:numPr>
          <w:ilvl w:val="0"/>
          <w:numId w:val="24"/>
        </w:numPr>
      </w:pPr>
      <w:bookmarkStart w:id="0" w:name="STARTINGNUMBER"/>
      <w:bookmarkStart w:id="1" w:name="_Toc113894643"/>
      <w:bookmarkEnd w:id="0"/>
      <w:r w:rsidRPr="00910BD5">
        <w:t>I</w:t>
      </w:r>
      <w:r w:rsidR="007F0637" w:rsidRPr="00910BD5">
        <w:rPr>
          <w:caps w:val="0"/>
        </w:rPr>
        <w:t>ntroduction</w:t>
      </w:r>
      <w:bookmarkEnd w:id="1"/>
    </w:p>
    <w:p w14:paraId="374C3CC0" w14:textId="0D4B6951" w:rsidR="0032267E" w:rsidRPr="00CE1740" w:rsidRDefault="001941AB" w:rsidP="003567A7">
      <w:pPr>
        <w:pStyle w:val="Head2"/>
      </w:pPr>
      <w:bookmarkStart w:id="2" w:name="_Toc406679165"/>
      <w:bookmarkStart w:id="3" w:name="_Toc113894644"/>
      <w:r w:rsidRPr="00CE1740">
        <w:t>P</w:t>
      </w:r>
      <w:r w:rsidR="00982D91" w:rsidRPr="00CE1740">
        <w:t>urpose</w:t>
      </w:r>
      <w:bookmarkEnd w:id="2"/>
      <w:r w:rsidR="00982D91" w:rsidRPr="00CE1740">
        <w:t xml:space="preserve"> </w:t>
      </w:r>
      <w:bookmarkEnd w:id="3"/>
    </w:p>
    <w:p w14:paraId="7D91590F" w14:textId="20B4C087" w:rsidR="0032267E" w:rsidRPr="00C754C5" w:rsidRDefault="0032267E" w:rsidP="005E0E42">
      <w:pPr>
        <w:spacing w:after="120"/>
        <w:rPr>
          <w:rFonts w:cs="Arial"/>
          <w:szCs w:val="22"/>
        </w:rPr>
      </w:pPr>
      <w:r w:rsidRPr="00C754C5">
        <w:rPr>
          <w:szCs w:val="22"/>
        </w:rPr>
        <w:t xml:space="preserve">The purpose of this document is to assist </w:t>
      </w:r>
      <w:r w:rsidR="00910BD5">
        <w:rPr>
          <w:szCs w:val="22"/>
        </w:rPr>
        <w:t>Digital Service Providers</w:t>
      </w:r>
      <w:r w:rsidR="000F5C9A">
        <w:rPr>
          <w:szCs w:val="22"/>
        </w:rPr>
        <w:t xml:space="preserve"> to</w:t>
      </w:r>
      <w:r w:rsidRPr="00C754C5">
        <w:rPr>
          <w:szCs w:val="22"/>
        </w:rPr>
        <w:t xml:space="preserve"> </w:t>
      </w:r>
      <w:r w:rsidR="00BB245E">
        <w:rPr>
          <w:szCs w:val="22"/>
        </w:rPr>
        <w:t xml:space="preserve">understand </w:t>
      </w:r>
      <w:r w:rsidRPr="00C754C5">
        <w:rPr>
          <w:szCs w:val="22"/>
        </w:rPr>
        <w:t xml:space="preserve">the business context surrounding </w:t>
      </w:r>
      <w:r w:rsidR="00125FF9">
        <w:rPr>
          <w:szCs w:val="22"/>
        </w:rPr>
        <w:t>the</w:t>
      </w:r>
      <w:r w:rsidR="00910BD5">
        <w:rPr>
          <w:szCs w:val="22"/>
        </w:rPr>
        <w:t xml:space="preserve"> Tax</w:t>
      </w:r>
      <w:r w:rsidR="00CB38C1">
        <w:rPr>
          <w:szCs w:val="22"/>
        </w:rPr>
        <w:t>able Payments Annual</w:t>
      </w:r>
      <w:r w:rsidR="00910BD5">
        <w:rPr>
          <w:szCs w:val="22"/>
        </w:rPr>
        <w:t xml:space="preserve"> Return </w:t>
      </w:r>
      <w:r w:rsidR="00D2226D" w:rsidRPr="00C754C5">
        <w:rPr>
          <w:szCs w:val="22"/>
        </w:rPr>
        <w:t>(</w:t>
      </w:r>
      <w:r w:rsidR="00CB38C1">
        <w:rPr>
          <w:szCs w:val="22"/>
        </w:rPr>
        <w:t>TPAR</w:t>
      </w:r>
      <w:r w:rsidR="00D2226D" w:rsidRPr="00C754C5">
        <w:rPr>
          <w:szCs w:val="22"/>
        </w:rPr>
        <w:t>)</w:t>
      </w:r>
      <w:r w:rsidRPr="00C754C5">
        <w:rPr>
          <w:szCs w:val="22"/>
        </w:rPr>
        <w:t xml:space="preserve"> </w:t>
      </w:r>
      <w:r w:rsidR="00804AB5">
        <w:rPr>
          <w:szCs w:val="22"/>
        </w:rPr>
        <w:t xml:space="preserve">lodgment </w:t>
      </w:r>
      <w:r w:rsidRPr="00C754C5">
        <w:rPr>
          <w:szCs w:val="22"/>
        </w:rPr>
        <w:t xml:space="preserve">through the Standard Business Reporting (SBR) </w:t>
      </w:r>
      <w:r w:rsidR="008D3E74" w:rsidRPr="00C754C5">
        <w:rPr>
          <w:rFonts w:cs="Arial"/>
          <w:color w:val="000000"/>
          <w:szCs w:val="22"/>
        </w:rPr>
        <w:t>platform.</w:t>
      </w:r>
      <w:r w:rsidR="00BB245E">
        <w:rPr>
          <w:rFonts w:cs="Arial"/>
          <w:color w:val="000000"/>
          <w:szCs w:val="22"/>
        </w:rPr>
        <w:t xml:space="preserve"> </w:t>
      </w:r>
      <w:bookmarkStart w:id="4" w:name="_Toc77764249"/>
      <w:bookmarkEnd w:id="4"/>
      <w:r w:rsidRPr="00C754C5">
        <w:rPr>
          <w:rFonts w:cs="Arial"/>
          <w:szCs w:val="22"/>
        </w:rPr>
        <w:t xml:space="preserve">The </w:t>
      </w:r>
      <w:r w:rsidRPr="001D565A">
        <w:rPr>
          <w:rFonts w:cs="Arial"/>
          <w:szCs w:val="22"/>
        </w:rPr>
        <w:t xml:space="preserve">ATO </w:t>
      </w:r>
      <w:r w:rsidR="005E0E42" w:rsidRPr="001D565A">
        <w:rPr>
          <w:rFonts w:cs="Arial"/>
          <w:szCs w:val="22"/>
        </w:rPr>
        <w:t>TPA</w:t>
      </w:r>
      <w:r w:rsidR="00D2226D" w:rsidRPr="001D565A">
        <w:rPr>
          <w:rFonts w:cs="Arial"/>
          <w:szCs w:val="22"/>
        </w:rPr>
        <w:t>R</w:t>
      </w:r>
      <w:r w:rsidRPr="001D565A">
        <w:rPr>
          <w:rFonts w:cs="Arial"/>
          <w:szCs w:val="22"/>
        </w:rPr>
        <w:t xml:space="preserve"> Business Implementation Guide</w:t>
      </w:r>
      <w:r w:rsidRPr="005E0E42">
        <w:rPr>
          <w:rFonts w:cs="Arial"/>
          <w:i/>
          <w:iCs/>
          <w:szCs w:val="22"/>
        </w:rPr>
        <w:t xml:space="preserve"> </w:t>
      </w:r>
      <w:r w:rsidRPr="00C754C5">
        <w:rPr>
          <w:rFonts w:cs="Arial"/>
          <w:szCs w:val="22"/>
        </w:rPr>
        <w:t>forms part of the broader suite of documents used by the ATO to describe or interpret how the technical implementation relates back to the business context and process.</w:t>
      </w:r>
      <w:r w:rsidR="00BE6FE7" w:rsidRPr="00C754C5">
        <w:rPr>
          <w:rFonts w:cs="Arial"/>
          <w:szCs w:val="22"/>
        </w:rPr>
        <w:t xml:space="preserve"> </w:t>
      </w:r>
      <w:r w:rsidRPr="00C754C5">
        <w:rPr>
          <w:rFonts w:cs="Arial"/>
          <w:szCs w:val="22"/>
        </w:rPr>
        <w:t>This document is designed to be read in conjunction with the ATO SBR documentation suite including the:</w:t>
      </w:r>
    </w:p>
    <w:p w14:paraId="4C127E53" w14:textId="3E11AD3E" w:rsidR="0032267E" w:rsidRPr="00F05F29" w:rsidRDefault="00CC7BCE" w:rsidP="00DD395D">
      <w:pPr>
        <w:pStyle w:val="ListParagraph"/>
        <w:numPr>
          <w:ilvl w:val="0"/>
          <w:numId w:val="10"/>
        </w:numPr>
        <w:spacing w:after="120"/>
        <w:rPr>
          <w:rFonts w:cs="Arial"/>
          <w:sz w:val="22"/>
          <w:szCs w:val="22"/>
        </w:rPr>
      </w:pPr>
      <w:r w:rsidRPr="00F05F29">
        <w:rPr>
          <w:rFonts w:ascii="Arial" w:hAnsi="Arial" w:cs="Arial"/>
          <w:sz w:val="22"/>
          <w:szCs w:val="22"/>
        </w:rPr>
        <w:t>w</w:t>
      </w:r>
      <w:r w:rsidR="0032267E" w:rsidRPr="00F05F29">
        <w:rPr>
          <w:rFonts w:ascii="Arial" w:hAnsi="Arial" w:cs="Arial"/>
          <w:sz w:val="22"/>
          <w:szCs w:val="22"/>
        </w:rPr>
        <w:t>eb service/platform information</w:t>
      </w:r>
      <w:r w:rsidR="00B73BF1">
        <w:rPr>
          <w:rFonts w:ascii="Arial" w:hAnsi="Arial" w:cs="Arial"/>
          <w:sz w:val="22"/>
          <w:szCs w:val="22"/>
        </w:rPr>
        <w:t>.</w:t>
      </w:r>
    </w:p>
    <w:p w14:paraId="7C850E7D" w14:textId="175407BE" w:rsidR="008040DB" w:rsidRPr="00A41F53" w:rsidRDefault="008040DB" w:rsidP="00DD395D">
      <w:pPr>
        <w:pStyle w:val="ListParagraph"/>
        <w:numPr>
          <w:ilvl w:val="0"/>
          <w:numId w:val="10"/>
        </w:numPr>
        <w:spacing w:after="120"/>
        <w:rPr>
          <w:rFonts w:cs="Arial"/>
          <w:sz w:val="22"/>
          <w:szCs w:val="22"/>
        </w:rPr>
      </w:pPr>
      <w:r w:rsidRPr="00A41F53">
        <w:rPr>
          <w:rFonts w:ascii="Arial" w:hAnsi="Arial" w:cs="Arial"/>
          <w:sz w:val="22"/>
          <w:szCs w:val="22"/>
        </w:rPr>
        <w:t>ATO Common Business Implementation and Taxpayer Declaration Guide</w:t>
      </w:r>
      <w:r w:rsidR="00B73BF1" w:rsidRPr="00A41F53">
        <w:rPr>
          <w:rFonts w:ascii="Arial" w:hAnsi="Arial" w:cs="Arial"/>
          <w:sz w:val="22"/>
          <w:szCs w:val="22"/>
        </w:rPr>
        <w:t>.</w:t>
      </w:r>
    </w:p>
    <w:p w14:paraId="1789D789" w14:textId="5EB170D4" w:rsidR="0032267E" w:rsidRPr="00F05F29" w:rsidRDefault="00F625DF" w:rsidP="00DD395D">
      <w:pPr>
        <w:pStyle w:val="ListParagraph"/>
        <w:numPr>
          <w:ilvl w:val="0"/>
          <w:numId w:val="10"/>
        </w:numPr>
        <w:spacing w:after="120"/>
        <w:rPr>
          <w:rFonts w:ascii="Arial" w:hAnsi="Arial" w:cs="Arial"/>
          <w:sz w:val="22"/>
          <w:szCs w:val="22"/>
        </w:rPr>
      </w:pPr>
      <w:r w:rsidRPr="00F05F29">
        <w:rPr>
          <w:rFonts w:ascii="Arial" w:hAnsi="Arial" w:cs="Arial"/>
          <w:sz w:val="22"/>
          <w:szCs w:val="22"/>
        </w:rPr>
        <w:t>ATO Service Registry (SR)</w:t>
      </w:r>
    </w:p>
    <w:p w14:paraId="1E1E5BA4" w14:textId="584254EC" w:rsidR="008040DB" w:rsidRPr="00F05F29" w:rsidRDefault="00CC7BCE" w:rsidP="00DD395D">
      <w:pPr>
        <w:pStyle w:val="ListParagraph"/>
        <w:numPr>
          <w:ilvl w:val="0"/>
          <w:numId w:val="9"/>
        </w:numPr>
        <w:spacing w:after="120"/>
        <w:jc w:val="both"/>
        <w:rPr>
          <w:rFonts w:cs="Arial"/>
          <w:sz w:val="22"/>
          <w:szCs w:val="22"/>
        </w:rPr>
      </w:pPr>
      <w:r w:rsidRPr="00F05F29">
        <w:rPr>
          <w:rFonts w:ascii="Arial" w:hAnsi="Arial" w:cs="Arial"/>
          <w:sz w:val="22"/>
          <w:szCs w:val="22"/>
        </w:rPr>
        <w:t>t</w:t>
      </w:r>
      <w:r w:rsidR="0032267E" w:rsidRPr="00F05F29">
        <w:rPr>
          <w:rFonts w:ascii="Arial" w:hAnsi="Arial" w:cs="Arial"/>
          <w:sz w:val="22"/>
          <w:szCs w:val="22"/>
        </w:rPr>
        <w:t>est information</w:t>
      </w:r>
      <w:r w:rsidR="00B271C1" w:rsidRPr="00F05F29">
        <w:rPr>
          <w:rFonts w:ascii="Arial" w:hAnsi="Arial" w:cs="Arial"/>
          <w:sz w:val="22"/>
          <w:szCs w:val="22"/>
        </w:rPr>
        <w:t>, for example</w:t>
      </w:r>
      <w:r w:rsidR="00344A0A" w:rsidRPr="00F05F29">
        <w:rPr>
          <w:rFonts w:ascii="Arial" w:hAnsi="Arial" w:cs="Arial"/>
          <w:sz w:val="22"/>
          <w:szCs w:val="22"/>
        </w:rPr>
        <w:t>,</w:t>
      </w:r>
      <w:r w:rsidR="00B271C1" w:rsidRPr="00F05F29">
        <w:rPr>
          <w:rFonts w:ascii="Arial" w:hAnsi="Arial" w:cs="Arial"/>
          <w:sz w:val="22"/>
          <w:szCs w:val="22"/>
        </w:rPr>
        <w:t xml:space="preserve"> </w:t>
      </w:r>
      <w:r w:rsidR="002E2B6A" w:rsidRPr="00F05F29">
        <w:rPr>
          <w:rFonts w:ascii="Arial" w:hAnsi="Arial" w:cs="Arial"/>
          <w:sz w:val="22"/>
          <w:szCs w:val="22"/>
        </w:rPr>
        <w:t>c</w:t>
      </w:r>
      <w:r w:rsidR="0032267E" w:rsidRPr="00F05F29">
        <w:rPr>
          <w:rFonts w:ascii="Arial" w:hAnsi="Arial" w:cs="Arial"/>
          <w:sz w:val="22"/>
          <w:szCs w:val="22"/>
        </w:rPr>
        <w:t>onformance suites</w:t>
      </w:r>
    </w:p>
    <w:p w14:paraId="0DAE7740" w14:textId="16C8A6F8" w:rsidR="008040DB" w:rsidRPr="00F05F29" w:rsidRDefault="00FE64B9" w:rsidP="00DD395D">
      <w:pPr>
        <w:pStyle w:val="ListParagraph"/>
        <w:numPr>
          <w:ilvl w:val="0"/>
          <w:numId w:val="9"/>
        </w:numPr>
        <w:jc w:val="both"/>
        <w:rPr>
          <w:rFonts w:cs="Arial"/>
          <w:sz w:val="22"/>
          <w:szCs w:val="22"/>
        </w:rPr>
      </w:pPr>
      <w:r>
        <w:rPr>
          <w:rFonts w:ascii="Arial" w:hAnsi="Arial" w:cs="Arial"/>
          <w:sz w:val="22"/>
          <w:szCs w:val="22"/>
        </w:rPr>
        <w:t>m</w:t>
      </w:r>
      <w:r w:rsidRPr="00F05F29">
        <w:rPr>
          <w:rFonts w:ascii="Arial" w:hAnsi="Arial" w:cs="Arial"/>
          <w:sz w:val="22"/>
          <w:szCs w:val="22"/>
        </w:rPr>
        <w:t xml:space="preserve">essage </w:t>
      </w:r>
      <w:r w:rsidR="008040DB" w:rsidRPr="00F05F29">
        <w:rPr>
          <w:rFonts w:ascii="Arial" w:hAnsi="Arial" w:cs="Arial"/>
          <w:sz w:val="22"/>
          <w:szCs w:val="22"/>
        </w:rPr>
        <w:t>Structure Tables</w:t>
      </w:r>
    </w:p>
    <w:p w14:paraId="79218F77" w14:textId="7E0535C3" w:rsidR="00F625DF" w:rsidRPr="00F05F29" w:rsidRDefault="00CC7BCE" w:rsidP="00DD395D">
      <w:pPr>
        <w:pStyle w:val="ListParagraph"/>
        <w:numPr>
          <w:ilvl w:val="0"/>
          <w:numId w:val="9"/>
        </w:numPr>
        <w:spacing w:after="120"/>
        <w:jc w:val="both"/>
        <w:rPr>
          <w:rFonts w:cs="Arial"/>
          <w:sz w:val="22"/>
          <w:szCs w:val="22"/>
        </w:rPr>
      </w:pPr>
      <w:r w:rsidRPr="00F05F29">
        <w:rPr>
          <w:rFonts w:ascii="Arial" w:hAnsi="Arial" w:cs="Arial"/>
          <w:sz w:val="22"/>
          <w:szCs w:val="22"/>
        </w:rPr>
        <w:t>v</w:t>
      </w:r>
      <w:r w:rsidR="008040DB" w:rsidRPr="00F05F29">
        <w:rPr>
          <w:rFonts w:ascii="Arial" w:hAnsi="Arial" w:cs="Arial"/>
          <w:sz w:val="22"/>
          <w:szCs w:val="22"/>
        </w:rPr>
        <w:t>alidation rules.</w:t>
      </w:r>
      <w:bookmarkStart w:id="5" w:name="_Toc405993391"/>
      <w:bookmarkStart w:id="6" w:name="_Toc405995078"/>
      <w:bookmarkStart w:id="7" w:name="_Toc405995223"/>
      <w:bookmarkStart w:id="8" w:name="_Toc405996886"/>
      <w:bookmarkStart w:id="9" w:name="_Toc405989444"/>
      <w:bookmarkStart w:id="10" w:name="_Toc405989492"/>
      <w:bookmarkStart w:id="11" w:name="_Toc405993392"/>
      <w:bookmarkStart w:id="12" w:name="_Toc405995079"/>
      <w:bookmarkStart w:id="13" w:name="_Toc405995224"/>
      <w:bookmarkStart w:id="14" w:name="_Toc405996887"/>
      <w:bookmarkStart w:id="15" w:name="_Toc405989445"/>
      <w:bookmarkStart w:id="16" w:name="_Toc405989493"/>
      <w:bookmarkStart w:id="17" w:name="_Toc405993393"/>
      <w:bookmarkStart w:id="18" w:name="_Toc405995080"/>
      <w:bookmarkStart w:id="19" w:name="_Toc405995225"/>
      <w:bookmarkStart w:id="20" w:name="_Toc40599688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68A3B4" w14:textId="42DEB2F4" w:rsidR="00E0253E" w:rsidRPr="00E41A76" w:rsidRDefault="00E0253E" w:rsidP="003567A7">
      <w:pPr>
        <w:pStyle w:val="Head2"/>
      </w:pPr>
      <w:bookmarkStart w:id="21" w:name="_Toc77764251"/>
      <w:bookmarkStart w:id="22" w:name="_Toc113894645"/>
      <w:bookmarkEnd w:id="21"/>
      <w:r w:rsidRPr="00E41A76">
        <w:t>G</w:t>
      </w:r>
      <w:r w:rsidR="006A30E3" w:rsidRPr="00E41A76">
        <w:t>lossary</w:t>
      </w:r>
      <w:bookmarkEnd w:id="22"/>
    </w:p>
    <w:p w14:paraId="5F35D1C7" w14:textId="4AE8198E" w:rsidR="003739D1" w:rsidRDefault="003739D1" w:rsidP="003739D1">
      <w:pPr>
        <w:pStyle w:val="Maintext"/>
        <w:rPr>
          <w:rFonts w:cs="Arial"/>
          <w:color w:val="404040" w:themeColor="text1" w:themeTint="BF"/>
          <w:szCs w:val="22"/>
        </w:rPr>
      </w:pPr>
      <w:r w:rsidRPr="00CC3357">
        <w:rPr>
          <w:rFonts w:cs="Arial"/>
          <w:szCs w:val="22"/>
        </w:rPr>
        <w:t>For a glossary of terms,</w:t>
      </w:r>
      <w:r w:rsidRPr="00CC3357">
        <w:rPr>
          <w:rFonts w:cs="Arial"/>
          <w:b/>
          <w:bCs/>
          <w:szCs w:val="22"/>
        </w:rPr>
        <w:t xml:space="preserve"> </w:t>
      </w:r>
      <w:r w:rsidRPr="00CC3357">
        <w:rPr>
          <w:rFonts w:cs="Arial"/>
          <w:b/>
          <w:bCs/>
          <w:color w:val="404040" w:themeColor="text1" w:themeTint="BF"/>
          <w:szCs w:val="22"/>
        </w:rPr>
        <w:t>see a</w:t>
      </w:r>
      <w:r w:rsidR="0072161A">
        <w:rPr>
          <w:rFonts w:cs="Arial"/>
          <w:b/>
          <w:bCs/>
          <w:color w:val="404040" w:themeColor="text1" w:themeTint="BF"/>
          <w:szCs w:val="22"/>
        </w:rPr>
        <w:t>l</w:t>
      </w:r>
      <w:r w:rsidRPr="00CC3357">
        <w:rPr>
          <w:rFonts w:cs="Arial"/>
          <w:b/>
          <w:bCs/>
          <w:color w:val="404040" w:themeColor="text1" w:themeTint="BF"/>
          <w:szCs w:val="22"/>
        </w:rPr>
        <w:t>so</w:t>
      </w:r>
      <w:r w:rsidRPr="00CC3357">
        <w:rPr>
          <w:rFonts w:cs="Arial"/>
          <w:color w:val="404040" w:themeColor="text1" w:themeTint="BF"/>
          <w:szCs w:val="22"/>
        </w:rPr>
        <w:t>:</w:t>
      </w:r>
    </w:p>
    <w:p w14:paraId="45293347" w14:textId="77777777" w:rsidR="00DA0392" w:rsidRPr="00741866" w:rsidRDefault="00DA0392" w:rsidP="003739D1">
      <w:pPr>
        <w:pStyle w:val="Maintext"/>
        <w:rPr>
          <w:rFonts w:cs="Arial"/>
          <w:color w:val="404040" w:themeColor="text1" w:themeTint="BF"/>
          <w:szCs w:val="22"/>
        </w:rPr>
      </w:pPr>
    </w:p>
    <w:p w14:paraId="2EBDAA97" w14:textId="2ABA3E4E" w:rsidR="003739D1" w:rsidRPr="001D75D7" w:rsidRDefault="00B11815" w:rsidP="00DD395D">
      <w:pPr>
        <w:pStyle w:val="Maintext"/>
        <w:numPr>
          <w:ilvl w:val="0"/>
          <w:numId w:val="25"/>
        </w:numPr>
        <w:rPr>
          <w:rStyle w:val="Hyperlink"/>
          <w:b w:val="0"/>
          <w:bCs/>
          <w:szCs w:val="22"/>
        </w:rPr>
      </w:pPr>
      <w:hyperlink r:id="rId20" w:history="1">
        <w:r w:rsidR="003739D1" w:rsidRPr="00910AB8">
          <w:rPr>
            <w:rStyle w:val="Hyperlink"/>
            <w:b w:val="0"/>
            <w:bCs/>
            <w:szCs w:val="22"/>
          </w:rPr>
          <w:t>SBR glossary</w:t>
        </w:r>
      </w:hyperlink>
    </w:p>
    <w:p w14:paraId="3D4640E4" w14:textId="60DCF52C" w:rsidR="003739D1" w:rsidRPr="00910AB8" w:rsidRDefault="00B11815" w:rsidP="00DD395D">
      <w:pPr>
        <w:pStyle w:val="Maintext"/>
        <w:numPr>
          <w:ilvl w:val="0"/>
          <w:numId w:val="25"/>
        </w:numPr>
        <w:rPr>
          <w:b/>
          <w:bCs/>
          <w:szCs w:val="22"/>
        </w:rPr>
      </w:pPr>
      <w:hyperlink r:id="rId21" w:history="1">
        <w:r w:rsidR="005069EC">
          <w:rPr>
            <w:rStyle w:val="Hyperlink"/>
            <w:rFonts w:cs="Arial"/>
            <w:b w:val="0"/>
            <w:bCs/>
            <w:szCs w:val="22"/>
          </w:rPr>
          <w:t>ATO definitions</w:t>
        </w:r>
      </w:hyperlink>
    </w:p>
    <w:p w14:paraId="4B344318" w14:textId="78DCDF7A" w:rsidR="00901390" w:rsidRPr="00E74E65" w:rsidRDefault="008F7006" w:rsidP="00DD395D">
      <w:pPr>
        <w:pStyle w:val="Maintext"/>
        <w:numPr>
          <w:ilvl w:val="0"/>
          <w:numId w:val="25"/>
        </w:numPr>
        <w:rPr>
          <w:szCs w:val="22"/>
        </w:rPr>
      </w:pPr>
      <w:bookmarkStart w:id="23" w:name="_Hlk106345802"/>
      <w:r w:rsidRPr="00E74E65">
        <w:rPr>
          <w:szCs w:val="22"/>
        </w:rPr>
        <w:t xml:space="preserve">ATO </w:t>
      </w:r>
      <w:r w:rsidR="003739D1" w:rsidRPr="00E74E65">
        <w:rPr>
          <w:szCs w:val="22"/>
        </w:rPr>
        <w:t>Common Business Implementation and Taxpayer Declaration Guide</w:t>
      </w:r>
      <w:r w:rsidR="000F5C9A" w:rsidRPr="00E74E65">
        <w:rPr>
          <w:szCs w:val="22"/>
        </w:rPr>
        <w:t>.</w:t>
      </w:r>
    </w:p>
    <w:p w14:paraId="1E4F996B" w14:textId="56D3928E" w:rsidR="00901390" w:rsidRDefault="00901390">
      <w:pPr>
        <w:rPr>
          <w:i/>
          <w:iCs/>
          <w:szCs w:val="22"/>
        </w:rPr>
      </w:pPr>
      <w:r>
        <w:rPr>
          <w:i/>
          <w:iCs/>
          <w:szCs w:val="22"/>
        </w:rPr>
        <w:br w:type="page"/>
      </w:r>
    </w:p>
    <w:p w14:paraId="636DAF84" w14:textId="40C99C8E" w:rsidR="008A35BD" w:rsidRPr="00646172" w:rsidRDefault="00F42FA4" w:rsidP="00437CBF">
      <w:pPr>
        <w:pStyle w:val="Heading1"/>
      </w:pPr>
      <w:bookmarkStart w:id="24" w:name="_Toc483223156"/>
      <w:bookmarkStart w:id="25" w:name="_Toc483223157"/>
      <w:bookmarkStart w:id="26" w:name="_Toc483223158"/>
      <w:bookmarkStart w:id="27" w:name="_Toc113894646"/>
      <w:bookmarkEnd w:id="23"/>
      <w:bookmarkEnd w:id="24"/>
      <w:bookmarkEnd w:id="25"/>
      <w:bookmarkEnd w:id="26"/>
      <w:r w:rsidRPr="00646172">
        <w:t>W</w:t>
      </w:r>
      <w:r w:rsidR="007F0637" w:rsidRPr="00646172">
        <w:rPr>
          <w:caps w:val="0"/>
        </w:rPr>
        <w:t xml:space="preserve">hat </w:t>
      </w:r>
      <w:r w:rsidR="005B6361" w:rsidRPr="00646172">
        <w:rPr>
          <w:caps w:val="0"/>
        </w:rPr>
        <w:t>is</w:t>
      </w:r>
      <w:r w:rsidR="007F0637" w:rsidRPr="00646172">
        <w:rPr>
          <w:caps w:val="0"/>
        </w:rPr>
        <w:t xml:space="preserve"> the </w:t>
      </w:r>
      <w:r w:rsidR="00CC7BCE" w:rsidRPr="00646172">
        <w:t>T</w:t>
      </w:r>
      <w:r w:rsidR="005B6361" w:rsidRPr="00646172">
        <w:t>PA</w:t>
      </w:r>
      <w:r w:rsidR="00CC7BCE" w:rsidRPr="00646172">
        <w:t xml:space="preserve">R </w:t>
      </w:r>
      <w:r w:rsidR="007F0637" w:rsidRPr="00646172">
        <w:rPr>
          <w:caps w:val="0"/>
        </w:rPr>
        <w:t>service</w:t>
      </w:r>
      <w:r w:rsidR="00AA4980" w:rsidRPr="00646172">
        <w:t>?</w:t>
      </w:r>
      <w:bookmarkEnd w:id="27"/>
    </w:p>
    <w:p w14:paraId="20667FB6" w14:textId="54A0A867" w:rsidR="000F5C9A" w:rsidRDefault="00804AB5" w:rsidP="004B7428">
      <w:pPr>
        <w:pStyle w:val="Bullet2"/>
        <w:numPr>
          <w:ilvl w:val="0"/>
          <w:numId w:val="0"/>
        </w:numPr>
        <w:rPr>
          <w:szCs w:val="22"/>
        </w:rPr>
      </w:pPr>
      <w:r w:rsidRPr="00F05F29">
        <w:rPr>
          <w:szCs w:val="22"/>
        </w:rPr>
        <w:t>The TPAR</w:t>
      </w:r>
      <w:r w:rsidR="00B16E50">
        <w:rPr>
          <w:szCs w:val="22"/>
        </w:rPr>
        <w:t xml:space="preserve"> service</w:t>
      </w:r>
      <w:r w:rsidRPr="00F05F29">
        <w:rPr>
          <w:szCs w:val="22"/>
        </w:rPr>
        <w:t xml:space="preserve"> is used by some businesses and </w:t>
      </w:r>
      <w:r w:rsidR="003A768E" w:rsidRPr="00F05F29">
        <w:rPr>
          <w:szCs w:val="22"/>
        </w:rPr>
        <w:t>g</w:t>
      </w:r>
      <w:r w:rsidRPr="00F05F29">
        <w:rPr>
          <w:szCs w:val="22"/>
        </w:rPr>
        <w:t xml:space="preserve">overnment entities to report payments made to contractors </w:t>
      </w:r>
      <w:r w:rsidR="00D9697C" w:rsidRPr="00F05F29">
        <w:rPr>
          <w:szCs w:val="22"/>
        </w:rPr>
        <w:t xml:space="preserve">wholly or partly </w:t>
      </w:r>
      <w:r w:rsidRPr="00F05F29">
        <w:rPr>
          <w:szCs w:val="22"/>
        </w:rPr>
        <w:t xml:space="preserve">for </w:t>
      </w:r>
      <w:r w:rsidR="00581F65">
        <w:rPr>
          <w:szCs w:val="22"/>
        </w:rPr>
        <w:t xml:space="preserve">certain </w:t>
      </w:r>
      <w:r w:rsidRPr="00F05F29">
        <w:rPr>
          <w:szCs w:val="22"/>
        </w:rPr>
        <w:t xml:space="preserve">services. Some </w:t>
      </w:r>
      <w:r w:rsidR="003A768E" w:rsidRPr="00F05F29">
        <w:rPr>
          <w:szCs w:val="22"/>
        </w:rPr>
        <w:t>g</w:t>
      </w:r>
      <w:r w:rsidRPr="00F05F29">
        <w:rPr>
          <w:szCs w:val="22"/>
        </w:rPr>
        <w:t>overnment entities need to report grants paid to people or organisations with an Australian business number (ABN).</w:t>
      </w:r>
    </w:p>
    <w:p w14:paraId="39E80110" w14:textId="77777777" w:rsidR="000F5C9A" w:rsidRDefault="000F5C9A" w:rsidP="004B7428">
      <w:pPr>
        <w:pStyle w:val="Bullet2"/>
        <w:numPr>
          <w:ilvl w:val="0"/>
          <w:numId w:val="0"/>
        </w:numPr>
        <w:rPr>
          <w:szCs w:val="22"/>
        </w:rPr>
      </w:pPr>
    </w:p>
    <w:p w14:paraId="37BA218E" w14:textId="1EAE5102" w:rsidR="00804AB5" w:rsidRPr="00F05F29" w:rsidRDefault="0071151E" w:rsidP="005203E9">
      <w:pPr>
        <w:pStyle w:val="Bullet2"/>
        <w:numPr>
          <w:ilvl w:val="0"/>
          <w:numId w:val="0"/>
        </w:numPr>
        <w:rPr>
          <w:szCs w:val="22"/>
        </w:rPr>
      </w:pPr>
      <w:r>
        <w:rPr>
          <w:szCs w:val="22"/>
        </w:rPr>
        <w:t>The</w:t>
      </w:r>
      <w:r w:rsidR="00804AB5" w:rsidRPr="00F05F29">
        <w:rPr>
          <w:szCs w:val="22"/>
        </w:rPr>
        <w:t xml:space="preserve"> </w:t>
      </w:r>
      <w:r w:rsidR="00874607" w:rsidRPr="00F05F29">
        <w:rPr>
          <w:szCs w:val="22"/>
        </w:rPr>
        <w:t>third-party</w:t>
      </w:r>
      <w:r w:rsidR="00804AB5" w:rsidRPr="00F05F29">
        <w:rPr>
          <w:szCs w:val="22"/>
        </w:rPr>
        <w:t xml:space="preserve"> data reported in the TPAR </w:t>
      </w:r>
      <w:r w:rsidR="00874607" w:rsidRPr="00F05F29">
        <w:rPr>
          <w:szCs w:val="22"/>
        </w:rPr>
        <w:t xml:space="preserve">enables the ATO to help businesses (contractors) </w:t>
      </w:r>
      <w:r w:rsidR="0088590E" w:rsidRPr="00F05F29">
        <w:rPr>
          <w:szCs w:val="22"/>
        </w:rPr>
        <w:t>to ensure correct reporting</w:t>
      </w:r>
      <w:r w:rsidR="00874607" w:rsidRPr="00F05F29">
        <w:rPr>
          <w:szCs w:val="22"/>
        </w:rPr>
        <w:t xml:space="preserve"> by including the third-party data in our pre-fill services and reported transactions service in ATO online platforms. These service</w:t>
      </w:r>
      <w:r w:rsidR="009467C3" w:rsidRPr="00F05F29">
        <w:rPr>
          <w:szCs w:val="22"/>
        </w:rPr>
        <w:t>s</w:t>
      </w:r>
      <w:r w:rsidR="00874607" w:rsidRPr="00F05F29">
        <w:rPr>
          <w:szCs w:val="22"/>
        </w:rPr>
        <w:t xml:space="preserve"> provide transparency about the data that has been reported to the ATO about the business’s (contractors) transactions.</w:t>
      </w:r>
    </w:p>
    <w:p w14:paraId="1C05E704" w14:textId="1E4F90AB" w:rsidR="00874607" w:rsidRPr="00F05F29" w:rsidRDefault="00874607" w:rsidP="00CB7F61">
      <w:pPr>
        <w:pStyle w:val="Bullet2"/>
        <w:numPr>
          <w:ilvl w:val="0"/>
          <w:numId w:val="0"/>
        </w:numPr>
        <w:jc w:val="both"/>
        <w:rPr>
          <w:szCs w:val="22"/>
        </w:rPr>
      </w:pPr>
      <w:r w:rsidRPr="00F05F29">
        <w:rPr>
          <w:szCs w:val="22"/>
        </w:rPr>
        <w:t>The ATO also collects this information to:</w:t>
      </w:r>
    </w:p>
    <w:p w14:paraId="7E579C40" w14:textId="73631992" w:rsidR="00874607" w:rsidRPr="00F05F29" w:rsidRDefault="00874607" w:rsidP="00874607">
      <w:pPr>
        <w:pStyle w:val="Bullet2"/>
        <w:numPr>
          <w:ilvl w:val="0"/>
          <w:numId w:val="25"/>
        </w:numPr>
        <w:jc w:val="both"/>
        <w:rPr>
          <w:szCs w:val="22"/>
        </w:rPr>
      </w:pPr>
      <w:r w:rsidRPr="00F05F29">
        <w:rPr>
          <w:szCs w:val="22"/>
        </w:rPr>
        <w:t xml:space="preserve">Identify contractors who do not meet their tax obligations so we can </w:t>
      </w:r>
      <w:r w:rsidR="003A768E" w:rsidRPr="00F05F29">
        <w:rPr>
          <w:szCs w:val="22"/>
        </w:rPr>
        <w:t>assist</w:t>
      </w:r>
      <w:r w:rsidRPr="00F05F29">
        <w:rPr>
          <w:szCs w:val="22"/>
        </w:rPr>
        <w:t xml:space="preserve"> them</w:t>
      </w:r>
      <w:r w:rsidR="003A768E" w:rsidRPr="00F05F29">
        <w:rPr>
          <w:szCs w:val="22"/>
        </w:rPr>
        <w:t xml:space="preserve"> to</w:t>
      </w:r>
      <w:r w:rsidRPr="00F05F29">
        <w:rPr>
          <w:szCs w:val="22"/>
        </w:rPr>
        <w:t xml:space="preserve"> correctly report their income</w:t>
      </w:r>
      <w:r w:rsidR="00B73BF1">
        <w:rPr>
          <w:szCs w:val="22"/>
        </w:rPr>
        <w:t>.</w:t>
      </w:r>
    </w:p>
    <w:p w14:paraId="429A9900" w14:textId="4B6EC3A8" w:rsidR="00874607" w:rsidRPr="001D565A" w:rsidRDefault="00F937CA" w:rsidP="00874607">
      <w:pPr>
        <w:pStyle w:val="Bullet2"/>
        <w:numPr>
          <w:ilvl w:val="0"/>
          <w:numId w:val="25"/>
        </w:numPr>
        <w:jc w:val="both"/>
        <w:rPr>
          <w:szCs w:val="22"/>
        </w:rPr>
      </w:pPr>
      <w:r w:rsidRPr="001D565A">
        <w:rPr>
          <w:szCs w:val="22"/>
        </w:rPr>
        <w:t>Ensure</w:t>
      </w:r>
      <w:r w:rsidR="00874607" w:rsidRPr="001D565A">
        <w:rPr>
          <w:szCs w:val="22"/>
        </w:rPr>
        <w:t xml:space="preserve"> businesses aren’t disadvantage</w:t>
      </w:r>
      <w:r w:rsidRPr="001D565A">
        <w:rPr>
          <w:szCs w:val="22"/>
        </w:rPr>
        <w:t>d</w:t>
      </w:r>
      <w:r w:rsidR="00874607" w:rsidRPr="001D565A">
        <w:rPr>
          <w:szCs w:val="22"/>
        </w:rPr>
        <w:t xml:space="preserve"> by competitors who don’t declare all their income</w:t>
      </w:r>
      <w:r w:rsidR="000F5C9A" w:rsidRPr="001D565A">
        <w:rPr>
          <w:szCs w:val="22"/>
        </w:rPr>
        <w:t>.</w:t>
      </w:r>
    </w:p>
    <w:p w14:paraId="03EDE47B" w14:textId="3D238621" w:rsidR="00874607" w:rsidRPr="00F05F29" w:rsidRDefault="00874607" w:rsidP="00874607">
      <w:pPr>
        <w:pStyle w:val="Bullet2"/>
        <w:numPr>
          <w:ilvl w:val="0"/>
          <w:numId w:val="0"/>
        </w:numPr>
        <w:jc w:val="both"/>
        <w:rPr>
          <w:szCs w:val="22"/>
        </w:rPr>
      </w:pPr>
      <w:r w:rsidRPr="00F05F29">
        <w:rPr>
          <w:szCs w:val="22"/>
        </w:rPr>
        <w:t xml:space="preserve">The information reported in the TPAR also enables the ATO to </w:t>
      </w:r>
      <w:r w:rsidR="00F937CA" w:rsidRPr="00F05F29">
        <w:rPr>
          <w:szCs w:val="22"/>
        </w:rPr>
        <w:t>assist</w:t>
      </w:r>
      <w:r w:rsidRPr="00F05F29">
        <w:rPr>
          <w:szCs w:val="22"/>
        </w:rPr>
        <w:t xml:space="preserve"> businesses (contractors) </w:t>
      </w:r>
      <w:r w:rsidR="00F937CA" w:rsidRPr="00F05F29">
        <w:rPr>
          <w:szCs w:val="22"/>
        </w:rPr>
        <w:t>to correctly report</w:t>
      </w:r>
      <w:r w:rsidRPr="00F05F29">
        <w:rPr>
          <w:szCs w:val="22"/>
        </w:rPr>
        <w:t xml:space="preserve"> other tax and super obligations when working as a contractor including:</w:t>
      </w:r>
    </w:p>
    <w:p w14:paraId="7CF6C74C" w14:textId="3397704F" w:rsidR="00874607" w:rsidRPr="00F05F29" w:rsidRDefault="00FE64B9" w:rsidP="00874607">
      <w:pPr>
        <w:pStyle w:val="Bullet2"/>
        <w:numPr>
          <w:ilvl w:val="0"/>
          <w:numId w:val="25"/>
        </w:numPr>
        <w:jc w:val="both"/>
        <w:rPr>
          <w:szCs w:val="22"/>
        </w:rPr>
      </w:pPr>
      <w:r>
        <w:rPr>
          <w:szCs w:val="22"/>
        </w:rPr>
        <w:t>w</w:t>
      </w:r>
      <w:r w:rsidRPr="00F05F29">
        <w:rPr>
          <w:szCs w:val="22"/>
        </w:rPr>
        <w:t xml:space="preserve">hat </w:t>
      </w:r>
      <w:r w:rsidR="00874607" w:rsidRPr="00F05F29">
        <w:rPr>
          <w:szCs w:val="22"/>
        </w:rPr>
        <w:t>they need to know when starting a business</w:t>
      </w:r>
    </w:p>
    <w:p w14:paraId="4098A36C" w14:textId="7A693B7A" w:rsidR="00874607" w:rsidRPr="00F05F29" w:rsidRDefault="00FE64B9" w:rsidP="00874607">
      <w:pPr>
        <w:pStyle w:val="Bullet2"/>
        <w:numPr>
          <w:ilvl w:val="0"/>
          <w:numId w:val="25"/>
        </w:numPr>
        <w:jc w:val="both"/>
        <w:rPr>
          <w:szCs w:val="22"/>
        </w:rPr>
      </w:pPr>
      <w:r>
        <w:rPr>
          <w:szCs w:val="22"/>
        </w:rPr>
        <w:t>t</w:t>
      </w:r>
      <w:r w:rsidRPr="00F05F29">
        <w:rPr>
          <w:szCs w:val="22"/>
        </w:rPr>
        <w:t xml:space="preserve">ax </w:t>
      </w:r>
      <w:r w:rsidR="00874607" w:rsidRPr="00F05F29">
        <w:rPr>
          <w:szCs w:val="22"/>
        </w:rPr>
        <w:t>registrations they may need</w:t>
      </w:r>
    </w:p>
    <w:p w14:paraId="6DE4CEAD" w14:textId="6C39E2FA" w:rsidR="00874607" w:rsidRPr="00F05F29" w:rsidRDefault="00FE64B9" w:rsidP="00874607">
      <w:pPr>
        <w:pStyle w:val="Bullet2"/>
        <w:numPr>
          <w:ilvl w:val="0"/>
          <w:numId w:val="25"/>
        </w:numPr>
        <w:jc w:val="both"/>
        <w:rPr>
          <w:szCs w:val="22"/>
        </w:rPr>
      </w:pPr>
      <w:r>
        <w:rPr>
          <w:szCs w:val="22"/>
        </w:rPr>
        <w:t>k</w:t>
      </w:r>
      <w:r w:rsidRPr="00F05F29">
        <w:rPr>
          <w:szCs w:val="22"/>
        </w:rPr>
        <w:t xml:space="preserve">eeping </w:t>
      </w:r>
      <w:r w:rsidR="00874607" w:rsidRPr="00F05F29">
        <w:rPr>
          <w:szCs w:val="22"/>
        </w:rPr>
        <w:t>records</w:t>
      </w:r>
    </w:p>
    <w:p w14:paraId="2CE0549B" w14:textId="03C57C46" w:rsidR="00874607" w:rsidRPr="00F05F29" w:rsidRDefault="00FE64B9" w:rsidP="00874607">
      <w:pPr>
        <w:pStyle w:val="Bullet2"/>
        <w:numPr>
          <w:ilvl w:val="0"/>
          <w:numId w:val="25"/>
        </w:numPr>
        <w:jc w:val="both"/>
        <w:rPr>
          <w:szCs w:val="22"/>
        </w:rPr>
      </w:pPr>
      <w:r>
        <w:rPr>
          <w:szCs w:val="22"/>
        </w:rPr>
        <w:t>r</w:t>
      </w:r>
      <w:r w:rsidRPr="00F05F29">
        <w:rPr>
          <w:szCs w:val="22"/>
        </w:rPr>
        <w:t xml:space="preserve">eporting </w:t>
      </w:r>
      <w:r w:rsidR="00874607" w:rsidRPr="00F05F29">
        <w:rPr>
          <w:szCs w:val="22"/>
        </w:rPr>
        <w:t>and paying tax</w:t>
      </w:r>
      <w:r w:rsidR="000F5C9A">
        <w:rPr>
          <w:szCs w:val="22"/>
        </w:rPr>
        <w:t>.</w:t>
      </w:r>
    </w:p>
    <w:p w14:paraId="21B2FC0E" w14:textId="0C8D62F0" w:rsidR="00BB245E" w:rsidRDefault="00BB245E" w:rsidP="00BB245E">
      <w:pPr>
        <w:pStyle w:val="Bullet2"/>
        <w:numPr>
          <w:ilvl w:val="0"/>
          <w:numId w:val="0"/>
        </w:numPr>
        <w:jc w:val="both"/>
        <w:rPr>
          <w:szCs w:val="22"/>
        </w:rPr>
      </w:pPr>
    </w:p>
    <w:p w14:paraId="0DD0F1ED" w14:textId="77777777" w:rsidR="00AF7531" w:rsidRDefault="00AF7531" w:rsidP="00AF7531">
      <w:pPr>
        <w:pStyle w:val="Content"/>
        <w:rPr>
          <w:rStyle w:val="BodyTextChar1"/>
          <w:b/>
          <w:bCs/>
          <w:color w:val="404040" w:themeColor="text1" w:themeTint="BF"/>
        </w:rPr>
      </w:pPr>
      <w:r w:rsidRPr="00873257">
        <w:rPr>
          <w:rStyle w:val="BodyTextChar1"/>
          <w:b/>
          <w:bCs/>
          <w:color w:val="404040" w:themeColor="text1" w:themeTint="BF"/>
        </w:rPr>
        <w:t>See also</w:t>
      </w:r>
      <w:r>
        <w:rPr>
          <w:rStyle w:val="BodyTextChar1"/>
          <w:b/>
          <w:bCs/>
          <w:color w:val="404040" w:themeColor="text1" w:themeTint="BF"/>
        </w:rPr>
        <w:t>:</w:t>
      </w:r>
    </w:p>
    <w:p w14:paraId="429FF87B" w14:textId="6D6DC277" w:rsidR="00BB245E" w:rsidRPr="00C7327B" w:rsidRDefault="00AF7531" w:rsidP="00646172">
      <w:pPr>
        <w:pStyle w:val="Content"/>
        <w:numPr>
          <w:ilvl w:val="0"/>
          <w:numId w:val="37"/>
        </w:numPr>
        <w:jc w:val="both"/>
      </w:pPr>
      <w:r w:rsidRPr="00646172">
        <w:rPr>
          <w:sz w:val="22"/>
        </w:rPr>
        <w:t xml:space="preserve">The </w:t>
      </w:r>
      <w:hyperlink r:id="rId22" w:history="1">
        <w:r w:rsidR="00901390">
          <w:rPr>
            <w:rStyle w:val="Hyperlink"/>
            <w:sz w:val="22"/>
          </w:rPr>
          <w:t>ATO website</w:t>
        </w:r>
      </w:hyperlink>
      <w:r w:rsidRPr="00646172">
        <w:rPr>
          <w:sz w:val="22"/>
        </w:rPr>
        <w:t xml:space="preserve"> </w:t>
      </w:r>
      <w:r w:rsidRPr="00C7327B">
        <w:rPr>
          <w:rStyle w:val="BodyTextChar1"/>
          <w:szCs w:val="22"/>
        </w:rPr>
        <w:t xml:space="preserve">for more information on TPAR </w:t>
      </w:r>
      <w:r w:rsidR="00BB245E" w:rsidRPr="00646172">
        <w:rPr>
          <w:sz w:val="22"/>
        </w:rPr>
        <w:t xml:space="preserve">services </w:t>
      </w:r>
      <w:r w:rsidR="00F05F29" w:rsidRPr="00646172">
        <w:rPr>
          <w:sz w:val="22"/>
        </w:rPr>
        <w:t>and lodgment due dates</w:t>
      </w:r>
      <w:r>
        <w:rPr>
          <w:sz w:val="22"/>
        </w:rPr>
        <w:t>.</w:t>
      </w:r>
    </w:p>
    <w:p w14:paraId="6EEBD6F3" w14:textId="46B4CCED" w:rsidR="001B0F0F" w:rsidRPr="00EC1F20" w:rsidRDefault="001B0F0F" w:rsidP="003567A7">
      <w:pPr>
        <w:pStyle w:val="Heading2"/>
      </w:pPr>
      <w:bookmarkStart w:id="28" w:name="_Toc113894647"/>
      <w:bookmarkStart w:id="29" w:name="_Toc427056908"/>
      <w:bookmarkStart w:id="30" w:name="_Toc113894648"/>
      <w:bookmarkEnd w:id="28"/>
      <w:r w:rsidRPr="00EC1F20">
        <w:t>W</w:t>
      </w:r>
      <w:r w:rsidR="00485DE5" w:rsidRPr="00EC1F20">
        <w:t>h</w:t>
      </w:r>
      <w:r w:rsidR="006A30E3" w:rsidRPr="00EC1F20">
        <w:t>ere</w:t>
      </w:r>
      <w:r w:rsidR="00292E49" w:rsidRPr="00EC1F20">
        <w:t xml:space="preserve"> </w:t>
      </w:r>
      <w:r w:rsidR="006C00AC" w:rsidRPr="00EC1F20">
        <w:t>S</w:t>
      </w:r>
      <w:r w:rsidR="00485DE5" w:rsidRPr="00EC1F20">
        <w:t>tandard</w:t>
      </w:r>
      <w:r w:rsidR="006C00AC" w:rsidRPr="00EC1F20">
        <w:t xml:space="preserve"> b</w:t>
      </w:r>
      <w:r w:rsidR="00485DE5" w:rsidRPr="00EC1F20">
        <w:t>usiness</w:t>
      </w:r>
      <w:r w:rsidR="006C00AC" w:rsidRPr="00EC1F20">
        <w:t xml:space="preserve"> r</w:t>
      </w:r>
      <w:r w:rsidR="00485DE5" w:rsidRPr="00EC1F20">
        <w:t>eporting</w:t>
      </w:r>
      <w:r w:rsidR="0087022D" w:rsidRPr="00EC1F20">
        <w:t xml:space="preserve"> </w:t>
      </w:r>
      <w:r w:rsidR="006C00AC" w:rsidRPr="00EC1F20">
        <w:t>(SBR)</w:t>
      </w:r>
      <w:r w:rsidR="00A54ADE">
        <w:t xml:space="preserve"> </w:t>
      </w:r>
      <w:r w:rsidR="00485DE5" w:rsidRPr="00EC1F20">
        <w:t xml:space="preserve">fits into </w:t>
      </w:r>
      <w:r w:rsidR="007A5F14">
        <w:t>TPAR</w:t>
      </w:r>
      <w:r w:rsidR="007A5F14" w:rsidRPr="00EC1F20">
        <w:t xml:space="preserve"> </w:t>
      </w:r>
      <w:r w:rsidR="006A30E3" w:rsidRPr="00EC1F20">
        <w:t>lodgment obligations</w:t>
      </w:r>
      <w:bookmarkEnd w:id="29"/>
      <w:r w:rsidR="006947A3">
        <w:t>?</w:t>
      </w:r>
      <w:bookmarkEnd w:id="30"/>
    </w:p>
    <w:p w14:paraId="566798D0" w14:textId="53CF1DE6" w:rsidR="00BA7042" w:rsidRPr="009467C3" w:rsidRDefault="001B0F0F" w:rsidP="00BE6FE7">
      <w:pPr>
        <w:pStyle w:val="Bullet2"/>
        <w:numPr>
          <w:ilvl w:val="0"/>
          <w:numId w:val="0"/>
        </w:numPr>
        <w:tabs>
          <w:tab w:val="left" w:pos="720"/>
        </w:tabs>
        <w:rPr>
          <w:szCs w:val="22"/>
        </w:rPr>
      </w:pPr>
      <w:r w:rsidRPr="009467C3">
        <w:rPr>
          <w:szCs w:val="22"/>
        </w:rPr>
        <w:t xml:space="preserve">The </w:t>
      </w:r>
      <w:r w:rsidR="005D1CDD" w:rsidRPr="009467C3">
        <w:rPr>
          <w:szCs w:val="22"/>
        </w:rPr>
        <w:t>validate</w:t>
      </w:r>
      <w:r w:rsidRPr="009467C3">
        <w:rPr>
          <w:szCs w:val="22"/>
        </w:rPr>
        <w:t xml:space="preserve"> and </w:t>
      </w:r>
      <w:r w:rsidR="005D1CDD" w:rsidRPr="009467C3">
        <w:rPr>
          <w:szCs w:val="22"/>
        </w:rPr>
        <w:t xml:space="preserve">submit </w:t>
      </w:r>
      <w:r w:rsidRPr="009467C3">
        <w:rPr>
          <w:szCs w:val="22"/>
        </w:rPr>
        <w:t xml:space="preserve">interactions are the core part of the SBR-enabled </w:t>
      </w:r>
      <w:r w:rsidR="005D1CDD" w:rsidRPr="009467C3">
        <w:rPr>
          <w:szCs w:val="22"/>
        </w:rPr>
        <w:t xml:space="preserve">TPAR </w:t>
      </w:r>
      <w:r w:rsidRPr="009467C3">
        <w:rPr>
          <w:szCs w:val="22"/>
        </w:rPr>
        <w:t>business process.</w:t>
      </w:r>
      <w:r w:rsidR="00BE6FE7" w:rsidRPr="009467C3">
        <w:rPr>
          <w:szCs w:val="22"/>
        </w:rPr>
        <w:t xml:space="preserve"> </w:t>
      </w:r>
    </w:p>
    <w:p w14:paraId="7457C6ED" w14:textId="6600BACB" w:rsidR="00BB6C0C" w:rsidRPr="009467C3" w:rsidRDefault="00BB6C0C" w:rsidP="00BE6FE7">
      <w:pPr>
        <w:pStyle w:val="Bullet2"/>
        <w:numPr>
          <w:ilvl w:val="0"/>
          <w:numId w:val="0"/>
        </w:numPr>
        <w:tabs>
          <w:tab w:val="left" w:pos="720"/>
        </w:tabs>
        <w:rPr>
          <w:szCs w:val="22"/>
        </w:rPr>
      </w:pPr>
    </w:p>
    <w:p w14:paraId="1EF33A81" w14:textId="4E34CBDD" w:rsidR="00BB6C0C" w:rsidRPr="00A41F53" w:rsidRDefault="00BB6C0C" w:rsidP="00BB6C0C">
      <w:pPr>
        <w:pStyle w:val="Caption"/>
        <w:rPr>
          <w:b w:val="0"/>
          <w:bCs w:val="0"/>
          <w:sz w:val="22"/>
          <w:szCs w:val="22"/>
        </w:rPr>
      </w:pPr>
      <w:r w:rsidRPr="00A41F53">
        <w:rPr>
          <w:b w:val="0"/>
          <w:bCs w:val="0"/>
          <w:sz w:val="22"/>
          <w:szCs w:val="22"/>
        </w:rPr>
        <w:t xml:space="preserve">Table </w:t>
      </w:r>
      <w:r w:rsidRPr="0068299B">
        <w:rPr>
          <w:b w:val="0"/>
          <w:bCs w:val="0"/>
          <w:sz w:val="22"/>
          <w:szCs w:val="22"/>
        </w:rPr>
        <w:fldChar w:fldCharType="begin"/>
      </w:r>
      <w:r w:rsidRPr="00A41F53">
        <w:rPr>
          <w:b w:val="0"/>
          <w:bCs w:val="0"/>
          <w:sz w:val="22"/>
          <w:szCs w:val="22"/>
        </w:rPr>
        <w:instrText xml:space="preserve"> SEQ Figure \* ARABIC </w:instrText>
      </w:r>
      <w:r w:rsidRPr="0068299B">
        <w:rPr>
          <w:b w:val="0"/>
          <w:bCs w:val="0"/>
          <w:sz w:val="22"/>
          <w:szCs w:val="22"/>
        </w:rPr>
        <w:fldChar w:fldCharType="separate"/>
      </w:r>
      <w:r w:rsidR="000D47EA" w:rsidRPr="00A41F53">
        <w:rPr>
          <w:b w:val="0"/>
          <w:bCs w:val="0"/>
          <w:noProof/>
          <w:sz w:val="22"/>
          <w:szCs w:val="22"/>
        </w:rPr>
        <w:t>1</w:t>
      </w:r>
      <w:r w:rsidRPr="0068299B">
        <w:rPr>
          <w:b w:val="0"/>
          <w:bCs w:val="0"/>
          <w:noProof/>
          <w:sz w:val="22"/>
          <w:szCs w:val="22"/>
        </w:rPr>
        <w:fldChar w:fldCharType="end"/>
      </w:r>
      <w:r w:rsidRPr="00A41F53">
        <w:rPr>
          <w:b w:val="0"/>
          <w:bCs w:val="0"/>
          <w:sz w:val="22"/>
          <w:szCs w:val="22"/>
        </w:rPr>
        <w:t>: Context of SBR interactions and the</w:t>
      </w:r>
      <w:r w:rsidR="007560AC" w:rsidRPr="00A41F53">
        <w:rPr>
          <w:b w:val="0"/>
          <w:bCs w:val="0"/>
          <w:sz w:val="22"/>
          <w:szCs w:val="22"/>
        </w:rPr>
        <w:t xml:space="preserve"> T</w:t>
      </w:r>
      <w:r w:rsidR="00B156DC" w:rsidRPr="00A41F53">
        <w:rPr>
          <w:b w:val="0"/>
          <w:bCs w:val="0"/>
          <w:sz w:val="22"/>
          <w:szCs w:val="22"/>
        </w:rPr>
        <w:t xml:space="preserve">PAR </w:t>
      </w:r>
      <w:r w:rsidRPr="00A41F53">
        <w:rPr>
          <w:b w:val="0"/>
          <w:bCs w:val="0"/>
          <w:sz w:val="22"/>
          <w:szCs w:val="22"/>
        </w:rPr>
        <w:t>process</w:t>
      </w:r>
    </w:p>
    <w:tbl>
      <w:tblPr>
        <w:tblStyle w:val="TableGrid"/>
        <w:tblW w:w="9356" w:type="dxa"/>
        <w:tblLook w:val="04A0" w:firstRow="1" w:lastRow="0" w:firstColumn="1" w:lastColumn="0" w:noHBand="0" w:noVBand="1"/>
      </w:tblPr>
      <w:tblGrid>
        <w:gridCol w:w="4667"/>
        <w:gridCol w:w="4689"/>
      </w:tblGrid>
      <w:tr w:rsidR="00BB6C0C" w:rsidRPr="00A41F53" w14:paraId="6E49A85F" w14:textId="77777777" w:rsidTr="005203E9">
        <w:trPr>
          <w:trHeight w:val="233"/>
        </w:trPr>
        <w:tc>
          <w:tcPr>
            <w:tcW w:w="4667" w:type="dxa"/>
            <w:shd w:val="clear" w:color="auto" w:fill="B8CCE4" w:themeFill="accent1" w:themeFillTint="66"/>
          </w:tcPr>
          <w:p w14:paraId="678F86CD" w14:textId="77777777" w:rsidR="00BB6C0C" w:rsidRPr="00A41F53" w:rsidRDefault="00BB6C0C" w:rsidP="00FA4F27">
            <w:pPr>
              <w:rPr>
                <w:rFonts w:cs="Arial"/>
              </w:rPr>
            </w:pPr>
            <w:r w:rsidRPr="00A41F53">
              <w:rPr>
                <w:rFonts w:cs="Arial"/>
              </w:rPr>
              <w:t xml:space="preserve">Initiating party </w:t>
            </w:r>
          </w:p>
        </w:tc>
        <w:tc>
          <w:tcPr>
            <w:tcW w:w="4689" w:type="dxa"/>
            <w:shd w:val="clear" w:color="auto" w:fill="B8CCE4" w:themeFill="accent1" w:themeFillTint="66"/>
          </w:tcPr>
          <w:p w14:paraId="36477469" w14:textId="26CA40F9" w:rsidR="00BB6C0C" w:rsidRPr="00A41F53" w:rsidRDefault="00BB6C0C">
            <w:pPr>
              <w:rPr>
                <w:rFonts w:cs="Arial"/>
              </w:rPr>
            </w:pPr>
            <w:r w:rsidRPr="00A41F53">
              <w:rPr>
                <w:rFonts w:cs="Arial"/>
              </w:rPr>
              <w:t>SBR service offering</w:t>
            </w:r>
          </w:p>
        </w:tc>
      </w:tr>
      <w:tr w:rsidR="00BB6C0C" w:rsidRPr="00B156DC" w14:paraId="0A7A3F9D" w14:textId="77777777" w:rsidTr="00646172">
        <w:trPr>
          <w:trHeight w:val="716"/>
        </w:trPr>
        <w:tc>
          <w:tcPr>
            <w:tcW w:w="4667" w:type="dxa"/>
            <w:shd w:val="clear" w:color="auto" w:fill="auto"/>
          </w:tcPr>
          <w:p w14:paraId="1ACD489D" w14:textId="4BBAF571" w:rsidR="00BB6C0C" w:rsidRPr="00A41F53" w:rsidRDefault="00BB6C0C" w:rsidP="00FA4F27">
            <w:pPr>
              <w:rPr>
                <w:rFonts w:cs="Arial"/>
              </w:rPr>
            </w:pPr>
            <w:r w:rsidRPr="0068299B">
              <w:rPr>
                <w:rFonts w:cs="Arial"/>
              </w:rPr>
              <w:t>Step 1</w:t>
            </w:r>
            <w:r w:rsidRPr="00A41F53">
              <w:rPr>
                <w:rFonts w:cs="Arial"/>
              </w:rPr>
              <w:t xml:space="preserve">: </w:t>
            </w:r>
            <w:r w:rsidR="002973A8" w:rsidRPr="00A41F53">
              <w:rPr>
                <w:rFonts w:cs="Arial"/>
              </w:rPr>
              <w:t>Check lodgment obligations</w:t>
            </w:r>
            <w:r w:rsidRPr="00A41F53">
              <w:rPr>
                <w:rFonts w:cs="Arial"/>
              </w:rPr>
              <w:t xml:space="preserve"> </w:t>
            </w:r>
          </w:p>
        </w:tc>
        <w:tc>
          <w:tcPr>
            <w:tcW w:w="4689" w:type="dxa"/>
            <w:shd w:val="clear" w:color="auto" w:fill="auto"/>
          </w:tcPr>
          <w:p w14:paraId="50676B80" w14:textId="2A6CE9B5" w:rsidR="00BB6C0C" w:rsidRPr="00A41F53" w:rsidRDefault="005D1CDD" w:rsidP="00FA4F27">
            <w:pPr>
              <w:rPr>
                <w:rFonts w:cs="Arial"/>
              </w:rPr>
            </w:pPr>
            <w:r w:rsidRPr="00A41F53">
              <w:rPr>
                <w:rFonts w:cs="Arial"/>
              </w:rPr>
              <w:t>LDGLST.list</w:t>
            </w:r>
          </w:p>
          <w:p w14:paraId="2A93FDBF" w14:textId="5F94A9BB" w:rsidR="00BB6C0C" w:rsidRPr="00901390" w:rsidRDefault="005D1CDD" w:rsidP="00FA4F27">
            <w:pPr>
              <w:rPr>
                <w:rFonts w:cs="Arial"/>
              </w:rPr>
            </w:pPr>
            <w:r w:rsidRPr="00901390">
              <w:rPr>
                <w:rFonts w:cs="Arial"/>
              </w:rPr>
              <w:t>View required lodgments</w:t>
            </w:r>
          </w:p>
        </w:tc>
      </w:tr>
      <w:tr w:rsidR="004B7428" w:rsidRPr="00B156DC" w14:paraId="05CF645B" w14:textId="77777777" w:rsidTr="00646172">
        <w:trPr>
          <w:trHeight w:val="716"/>
        </w:trPr>
        <w:tc>
          <w:tcPr>
            <w:tcW w:w="4667" w:type="dxa"/>
            <w:shd w:val="clear" w:color="auto" w:fill="auto"/>
          </w:tcPr>
          <w:p w14:paraId="315F34D8" w14:textId="500C42AB" w:rsidR="004B7428" w:rsidRPr="00A41F53" w:rsidRDefault="004B7428" w:rsidP="004B7428">
            <w:pPr>
              <w:rPr>
                <w:rFonts w:cs="Arial"/>
              </w:rPr>
            </w:pPr>
            <w:r w:rsidRPr="0068299B">
              <w:rPr>
                <w:rFonts w:cs="Arial"/>
              </w:rPr>
              <w:t>Step 2</w:t>
            </w:r>
            <w:r w:rsidRPr="00A41F53">
              <w:rPr>
                <w:rFonts w:cs="Arial"/>
              </w:rPr>
              <w:t xml:space="preserve">: Complete TPAR </w:t>
            </w:r>
          </w:p>
        </w:tc>
        <w:tc>
          <w:tcPr>
            <w:tcW w:w="4689" w:type="dxa"/>
            <w:shd w:val="clear" w:color="auto" w:fill="auto"/>
          </w:tcPr>
          <w:p w14:paraId="7F864E95" w14:textId="77777777" w:rsidR="004B7428" w:rsidRPr="00A41F53" w:rsidRDefault="004B7428" w:rsidP="004B7428">
            <w:pPr>
              <w:rPr>
                <w:rFonts w:cs="Arial"/>
              </w:rPr>
            </w:pPr>
            <w:r w:rsidRPr="00A41F53">
              <w:rPr>
                <w:rFonts w:cs="Arial"/>
              </w:rPr>
              <w:t>TPAR.validate</w:t>
            </w:r>
          </w:p>
          <w:p w14:paraId="2C7B0083" w14:textId="5E81A430" w:rsidR="004B7428" w:rsidRPr="00901390" w:rsidRDefault="004B7428" w:rsidP="004B7428">
            <w:pPr>
              <w:rPr>
                <w:rFonts w:cs="Arial"/>
                <w:i/>
                <w:iCs/>
              </w:rPr>
            </w:pPr>
            <w:r w:rsidRPr="00646172">
              <w:rPr>
                <w:rFonts w:cs="Arial"/>
              </w:rPr>
              <w:t>Validate completed information</w:t>
            </w:r>
          </w:p>
        </w:tc>
      </w:tr>
      <w:tr w:rsidR="00BB6C0C" w:rsidRPr="00B156DC" w14:paraId="4244F88D" w14:textId="77777777" w:rsidTr="00646172">
        <w:trPr>
          <w:trHeight w:val="96"/>
        </w:trPr>
        <w:tc>
          <w:tcPr>
            <w:tcW w:w="4667" w:type="dxa"/>
            <w:shd w:val="clear" w:color="auto" w:fill="auto"/>
          </w:tcPr>
          <w:p w14:paraId="0EE7187E" w14:textId="382B601B" w:rsidR="00BB6C0C" w:rsidRPr="00A41F53" w:rsidRDefault="00BB6C0C" w:rsidP="00FA4F27">
            <w:pPr>
              <w:rPr>
                <w:rFonts w:cs="Arial"/>
              </w:rPr>
            </w:pPr>
            <w:r w:rsidRPr="00A41F53">
              <w:rPr>
                <w:rFonts w:cs="Arial"/>
              </w:rPr>
              <w:t xml:space="preserve">Step </w:t>
            </w:r>
            <w:r w:rsidR="00B156DC" w:rsidRPr="00A41F53">
              <w:rPr>
                <w:rFonts w:cs="Arial"/>
              </w:rPr>
              <w:t>3</w:t>
            </w:r>
            <w:r w:rsidRPr="00A41F53">
              <w:rPr>
                <w:rFonts w:cs="Arial"/>
              </w:rPr>
              <w:t xml:space="preserve">: </w:t>
            </w:r>
            <w:r w:rsidR="00F05F29" w:rsidRPr="00A41F53">
              <w:rPr>
                <w:rFonts w:cs="Arial"/>
              </w:rPr>
              <w:t xml:space="preserve">Was validation </w:t>
            </w:r>
            <w:r w:rsidRPr="00A41F53">
              <w:rPr>
                <w:rFonts w:cs="Arial"/>
              </w:rPr>
              <w:t xml:space="preserve">rejected? </w:t>
            </w:r>
          </w:p>
          <w:p w14:paraId="201AA483" w14:textId="77777777" w:rsidR="00F05F29" w:rsidRPr="00A41F53" w:rsidRDefault="00F05F29" w:rsidP="00FA4F27">
            <w:pPr>
              <w:rPr>
                <w:rFonts w:cs="Arial"/>
              </w:rPr>
            </w:pPr>
          </w:p>
          <w:p w14:paraId="52A364ED" w14:textId="7698F7B7" w:rsidR="00BB6C0C" w:rsidRPr="0068299B" w:rsidRDefault="00BB6C0C" w:rsidP="00F05F29">
            <w:pPr>
              <w:ind w:left="720"/>
              <w:rPr>
                <w:rFonts w:cs="Arial"/>
              </w:rPr>
            </w:pPr>
            <w:r w:rsidRPr="00A41F53">
              <w:rPr>
                <w:rFonts w:cs="Arial"/>
              </w:rPr>
              <w:t xml:space="preserve">Yes: Revisit </w:t>
            </w:r>
            <w:r w:rsidR="00F05F29" w:rsidRPr="0068299B">
              <w:rPr>
                <w:rFonts w:cs="Arial"/>
              </w:rPr>
              <w:t>S</w:t>
            </w:r>
            <w:r w:rsidRPr="0068299B">
              <w:rPr>
                <w:rFonts w:cs="Arial"/>
              </w:rPr>
              <w:t xml:space="preserve">tep </w:t>
            </w:r>
            <w:r w:rsidR="00B156DC" w:rsidRPr="0068299B">
              <w:rPr>
                <w:rFonts w:cs="Arial"/>
              </w:rPr>
              <w:t>2</w:t>
            </w:r>
          </w:p>
          <w:p w14:paraId="3B04EEA2" w14:textId="77777777" w:rsidR="00F05F29" w:rsidRPr="00A41F53" w:rsidRDefault="00F05F29" w:rsidP="00646172">
            <w:pPr>
              <w:ind w:left="720"/>
              <w:rPr>
                <w:rFonts w:cs="Arial"/>
                <w:color w:val="000000"/>
              </w:rPr>
            </w:pPr>
          </w:p>
          <w:p w14:paraId="01C39C50" w14:textId="7312C8DE" w:rsidR="00BB6C0C" w:rsidRPr="00A41F53" w:rsidRDefault="00BB6C0C" w:rsidP="00646172">
            <w:pPr>
              <w:ind w:left="720"/>
              <w:rPr>
                <w:rFonts w:cs="Arial"/>
                <w:color w:val="000000"/>
              </w:rPr>
            </w:pPr>
            <w:r w:rsidRPr="0068299B">
              <w:rPr>
                <w:rFonts w:cs="Arial"/>
                <w:color w:val="000000"/>
              </w:rPr>
              <w:t>No:</w:t>
            </w:r>
            <w:r w:rsidRPr="00A41F53">
              <w:rPr>
                <w:rFonts w:cs="Arial"/>
                <w:color w:val="000000"/>
              </w:rPr>
              <w:t xml:space="preserve"> </w:t>
            </w:r>
            <w:r w:rsidR="00F05F29" w:rsidRPr="00A41F53">
              <w:rPr>
                <w:rFonts w:cs="Arial"/>
                <w:color w:val="000000"/>
              </w:rPr>
              <w:t xml:space="preserve"> Go to Step </w:t>
            </w:r>
            <w:r w:rsidR="004B7428" w:rsidRPr="00A41F53">
              <w:rPr>
                <w:rFonts w:cs="Arial"/>
                <w:color w:val="000000"/>
              </w:rPr>
              <w:t>4</w:t>
            </w:r>
          </w:p>
          <w:p w14:paraId="6163B90E" w14:textId="3925FF65" w:rsidR="00F05F29" w:rsidRPr="00A41F53" w:rsidRDefault="00F05F29" w:rsidP="00FA4F27">
            <w:pPr>
              <w:rPr>
                <w:rFonts w:cs="Arial"/>
              </w:rPr>
            </w:pPr>
          </w:p>
        </w:tc>
        <w:tc>
          <w:tcPr>
            <w:tcW w:w="4689" w:type="dxa"/>
            <w:shd w:val="clear" w:color="auto" w:fill="auto"/>
          </w:tcPr>
          <w:p w14:paraId="45AABDED" w14:textId="7FEB9C39" w:rsidR="00BB6C0C" w:rsidRPr="00A41F53" w:rsidRDefault="00F05F29" w:rsidP="00FA4F27">
            <w:pPr>
              <w:rPr>
                <w:rFonts w:cs="Arial"/>
              </w:rPr>
            </w:pPr>
            <w:r w:rsidRPr="0068299B">
              <w:rPr>
                <w:rFonts w:cs="Arial"/>
              </w:rPr>
              <w:t>Not applicable</w:t>
            </w:r>
          </w:p>
        </w:tc>
      </w:tr>
      <w:tr w:rsidR="00F05F29" w14:paraId="4FC0EE91" w14:textId="77777777" w:rsidTr="00F05F29">
        <w:trPr>
          <w:trHeight w:val="716"/>
        </w:trPr>
        <w:tc>
          <w:tcPr>
            <w:tcW w:w="4667" w:type="dxa"/>
            <w:shd w:val="clear" w:color="auto" w:fill="auto"/>
          </w:tcPr>
          <w:p w14:paraId="0F182E41" w14:textId="462B1395" w:rsidR="00F05F29" w:rsidRPr="00BF6432" w:rsidRDefault="00F05F29" w:rsidP="00FA4F27">
            <w:pPr>
              <w:rPr>
                <w:rFonts w:cs="Arial"/>
              </w:rPr>
            </w:pPr>
            <w:r w:rsidRPr="00BF6432">
              <w:rPr>
                <w:rFonts w:cs="Arial"/>
              </w:rPr>
              <w:t xml:space="preserve">Step </w:t>
            </w:r>
            <w:r w:rsidR="004B7428" w:rsidRPr="00BF6432">
              <w:rPr>
                <w:rFonts w:cs="Arial"/>
              </w:rPr>
              <w:t>4</w:t>
            </w:r>
            <w:r w:rsidRPr="00A41F53">
              <w:rPr>
                <w:rFonts w:cs="Arial"/>
              </w:rPr>
              <w:t>: Lodge the TPAR</w:t>
            </w:r>
          </w:p>
        </w:tc>
        <w:tc>
          <w:tcPr>
            <w:tcW w:w="4689" w:type="dxa"/>
            <w:shd w:val="clear" w:color="auto" w:fill="auto"/>
          </w:tcPr>
          <w:p w14:paraId="17C61126" w14:textId="77777777" w:rsidR="00F05F29" w:rsidRPr="00BF6432" w:rsidRDefault="00F05F29" w:rsidP="00F05F29">
            <w:pPr>
              <w:rPr>
                <w:rFonts w:cs="Arial"/>
              </w:rPr>
            </w:pPr>
            <w:r w:rsidRPr="00BF6432">
              <w:rPr>
                <w:rFonts w:cs="Arial"/>
              </w:rPr>
              <w:t>TPAR.lodge</w:t>
            </w:r>
            <w:r w:rsidRPr="00BF6432" w:rsidDel="005D1CDD">
              <w:rPr>
                <w:rFonts w:cs="Arial"/>
              </w:rPr>
              <w:t xml:space="preserve"> </w:t>
            </w:r>
          </w:p>
          <w:p w14:paraId="2DB339E6" w14:textId="248CA53D" w:rsidR="00F05F29" w:rsidRPr="00BF6432" w:rsidRDefault="00F05F29" w:rsidP="00F05F29">
            <w:pPr>
              <w:rPr>
                <w:rFonts w:cs="Arial"/>
              </w:rPr>
            </w:pPr>
            <w:r w:rsidRPr="00BF6432">
              <w:rPr>
                <w:rFonts w:cs="Arial"/>
              </w:rPr>
              <w:t>Lodge the report</w:t>
            </w:r>
          </w:p>
        </w:tc>
      </w:tr>
      <w:tr w:rsidR="00BB6C0C" w14:paraId="0D85B76F" w14:textId="77777777" w:rsidTr="00646172">
        <w:trPr>
          <w:trHeight w:val="716"/>
        </w:trPr>
        <w:tc>
          <w:tcPr>
            <w:tcW w:w="4667" w:type="dxa"/>
            <w:shd w:val="clear" w:color="auto" w:fill="auto"/>
          </w:tcPr>
          <w:p w14:paraId="6B000FB0" w14:textId="7D9B206E" w:rsidR="00BB6C0C" w:rsidRPr="00A41F53" w:rsidRDefault="00BB6C0C" w:rsidP="00FA4F27">
            <w:pPr>
              <w:rPr>
                <w:rFonts w:cs="Arial"/>
              </w:rPr>
            </w:pPr>
            <w:r w:rsidRPr="00BF6432">
              <w:rPr>
                <w:rFonts w:cs="Arial"/>
              </w:rPr>
              <w:t xml:space="preserve">Step </w:t>
            </w:r>
            <w:r w:rsidR="004B7428" w:rsidRPr="00BF6432">
              <w:rPr>
                <w:rFonts w:cs="Arial"/>
              </w:rPr>
              <w:t>5</w:t>
            </w:r>
            <w:r w:rsidRPr="00A41F53">
              <w:rPr>
                <w:rFonts w:cs="Arial"/>
              </w:rPr>
              <w:t>: View success message</w:t>
            </w:r>
          </w:p>
        </w:tc>
        <w:tc>
          <w:tcPr>
            <w:tcW w:w="4689" w:type="dxa"/>
            <w:shd w:val="clear" w:color="auto" w:fill="auto"/>
          </w:tcPr>
          <w:p w14:paraId="7C66C44D" w14:textId="77777777" w:rsidR="00BB6C0C" w:rsidRPr="009C0BC0" w:rsidRDefault="00BB6C0C" w:rsidP="00FA4F27">
            <w:pPr>
              <w:rPr>
                <w:rFonts w:cs="Arial"/>
                <w:i/>
                <w:iCs/>
              </w:rPr>
            </w:pPr>
            <w:r w:rsidRPr="009C0BC0">
              <w:rPr>
                <w:rFonts w:cs="Arial"/>
              </w:rPr>
              <w:t>Not applicable</w:t>
            </w:r>
          </w:p>
        </w:tc>
      </w:tr>
    </w:tbl>
    <w:p w14:paraId="3300F7DD" w14:textId="6CF464EB" w:rsidR="00FA4F27" w:rsidRPr="00630940" w:rsidRDefault="007A5F14" w:rsidP="003567A7">
      <w:pPr>
        <w:pStyle w:val="Head2"/>
      </w:pPr>
      <w:bookmarkStart w:id="31" w:name="_Toc113894650"/>
      <w:bookmarkStart w:id="32" w:name="_Toc113894651"/>
      <w:bookmarkStart w:id="33" w:name="_Toc113894652"/>
      <w:bookmarkEnd w:id="31"/>
      <w:bookmarkEnd w:id="32"/>
      <w:r w:rsidRPr="00630940">
        <w:t>Parent and child events specification</w:t>
      </w:r>
      <w:bookmarkEnd w:id="33"/>
    </w:p>
    <w:p w14:paraId="4F383E2F" w14:textId="0628FF9E" w:rsidR="00621222" w:rsidRPr="00BF6432" w:rsidRDefault="00621222" w:rsidP="00621222">
      <w:pPr>
        <w:pStyle w:val="Heading3"/>
        <w:rPr>
          <w:b w:val="0"/>
          <w:bCs w:val="0"/>
        </w:rPr>
      </w:pPr>
      <w:bookmarkStart w:id="34" w:name="_Toc113894653"/>
      <w:r w:rsidRPr="00BF6432">
        <w:rPr>
          <w:b w:val="0"/>
          <w:bCs w:val="0"/>
        </w:rPr>
        <w:t>Correct reporting of payer and payee data</w:t>
      </w:r>
      <w:bookmarkEnd w:id="34"/>
    </w:p>
    <w:p w14:paraId="3A9F6247" w14:textId="77777777" w:rsidR="00FA4F27" w:rsidRPr="00810FA6" w:rsidRDefault="00FA4F27" w:rsidP="00BE6FE7">
      <w:pPr>
        <w:pStyle w:val="Bullet2"/>
        <w:numPr>
          <w:ilvl w:val="0"/>
          <w:numId w:val="0"/>
        </w:numPr>
        <w:tabs>
          <w:tab w:val="left" w:pos="720"/>
        </w:tabs>
        <w:rPr>
          <w:szCs w:val="22"/>
        </w:rPr>
      </w:pPr>
      <w:r>
        <w:rPr>
          <w:szCs w:val="22"/>
        </w:rPr>
        <w:t xml:space="preserve">The TPAR requires </w:t>
      </w:r>
      <w:r w:rsidRPr="00810FA6">
        <w:rPr>
          <w:szCs w:val="22"/>
        </w:rPr>
        <w:t xml:space="preserve">information about the reporting entity (payer) and details of the transaction paid to the contractor (payee). </w:t>
      </w:r>
    </w:p>
    <w:p w14:paraId="1DD702E7" w14:textId="2C863401" w:rsidR="00FA4F27" w:rsidRPr="00810FA6" w:rsidRDefault="00FA4F27" w:rsidP="00FA4F27">
      <w:pPr>
        <w:pStyle w:val="Bullet2"/>
        <w:numPr>
          <w:ilvl w:val="0"/>
          <w:numId w:val="13"/>
        </w:numPr>
        <w:tabs>
          <w:tab w:val="left" w:pos="720"/>
        </w:tabs>
        <w:rPr>
          <w:szCs w:val="22"/>
        </w:rPr>
      </w:pPr>
      <w:r w:rsidRPr="00810FA6">
        <w:rPr>
          <w:szCs w:val="22"/>
        </w:rPr>
        <w:t xml:space="preserve">The payer is required to aggregate the payments made to a payee within the </w:t>
      </w:r>
      <w:r w:rsidR="00810FA6" w:rsidRPr="00810FA6">
        <w:rPr>
          <w:szCs w:val="22"/>
        </w:rPr>
        <w:t>f</w:t>
      </w:r>
      <w:r w:rsidRPr="00810FA6">
        <w:rPr>
          <w:szCs w:val="22"/>
        </w:rPr>
        <w:t xml:space="preserve">inancial </w:t>
      </w:r>
      <w:r w:rsidR="00810FA6" w:rsidRPr="00810FA6">
        <w:rPr>
          <w:szCs w:val="22"/>
        </w:rPr>
        <w:t>y</w:t>
      </w:r>
      <w:r w:rsidRPr="00810FA6">
        <w:rPr>
          <w:szCs w:val="22"/>
        </w:rPr>
        <w:t>ear</w:t>
      </w:r>
      <w:r w:rsidR="00F05F29" w:rsidRPr="00810FA6">
        <w:rPr>
          <w:szCs w:val="22"/>
        </w:rPr>
        <w:t xml:space="preserve"> </w:t>
      </w:r>
      <w:r w:rsidR="00A6741B" w:rsidRPr="00810FA6">
        <w:rPr>
          <w:szCs w:val="22"/>
        </w:rPr>
        <w:t>(FY)</w:t>
      </w:r>
      <w:r w:rsidRPr="00810FA6">
        <w:rPr>
          <w:szCs w:val="22"/>
        </w:rPr>
        <w:t xml:space="preserve"> and report the total amount paid to the payee for the year</w:t>
      </w:r>
      <w:r w:rsidR="00B73BF1">
        <w:rPr>
          <w:szCs w:val="22"/>
        </w:rPr>
        <w:t>.</w:t>
      </w:r>
    </w:p>
    <w:p w14:paraId="4663AC08" w14:textId="29E0B046" w:rsidR="00FA4F27" w:rsidRPr="00810FA6" w:rsidRDefault="00FA4F27" w:rsidP="00FA4F27">
      <w:pPr>
        <w:pStyle w:val="Bullet2"/>
        <w:numPr>
          <w:ilvl w:val="0"/>
          <w:numId w:val="13"/>
        </w:numPr>
        <w:tabs>
          <w:tab w:val="left" w:pos="720"/>
        </w:tabs>
        <w:rPr>
          <w:szCs w:val="22"/>
        </w:rPr>
      </w:pPr>
      <w:r w:rsidRPr="00810FA6">
        <w:rPr>
          <w:szCs w:val="22"/>
        </w:rPr>
        <w:t xml:space="preserve">When software is being used to report TPAR the payer is required to report all payments to contractors in the one </w:t>
      </w:r>
      <w:r w:rsidR="00630940" w:rsidRPr="00810FA6">
        <w:rPr>
          <w:szCs w:val="22"/>
        </w:rPr>
        <w:t>report</w:t>
      </w:r>
      <w:r w:rsidR="00F937CA" w:rsidRPr="00810FA6">
        <w:rPr>
          <w:szCs w:val="22"/>
        </w:rPr>
        <w:t>. T</w:t>
      </w:r>
      <w:r w:rsidR="00702A96" w:rsidRPr="00810FA6">
        <w:rPr>
          <w:szCs w:val="22"/>
        </w:rPr>
        <w:t xml:space="preserve">his </w:t>
      </w:r>
      <w:r w:rsidR="00F937CA" w:rsidRPr="00810FA6">
        <w:rPr>
          <w:szCs w:val="22"/>
        </w:rPr>
        <w:t>does not include</w:t>
      </w:r>
      <w:r w:rsidR="00702A96" w:rsidRPr="00810FA6">
        <w:rPr>
          <w:szCs w:val="22"/>
        </w:rPr>
        <w:t xml:space="preserve"> one to one reporting of payer and payee data to the ATO.</w:t>
      </w:r>
    </w:p>
    <w:p w14:paraId="6D3F8265" w14:textId="115B1E3D" w:rsidR="009467C3" w:rsidRPr="00810FA6" w:rsidRDefault="00810FA6" w:rsidP="009B4319">
      <w:pPr>
        <w:pStyle w:val="Bullet2"/>
        <w:numPr>
          <w:ilvl w:val="0"/>
          <w:numId w:val="0"/>
        </w:numPr>
        <w:tabs>
          <w:tab w:val="left" w:pos="720"/>
        </w:tabs>
        <w:rPr>
          <w:szCs w:val="22"/>
        </w:rPr>
      </w:pPr>
      <w:r w:rsidRPr="00810FA6">
        <w:rPr>
          <w:szCs w:val="22"/>
        </w:rPr>
        <w:t>One-to-many</w:t>
      </w:r>
      <w:r w:rsidR="00702A96" w:rsidRPr="00810FA6">
        <w:rPr>
          <w:szCs w:val="22"/>
        </w:rPr>
        <w:t xml:space="preserve"> reporting </w:t>
      </w:r>
      <w:r w:rsidRPr="00810FA6">
        <w:rPr>
          <w:szCs w:val="22"/>
        </w:rPr>
        <w:t xml:space="preserve">is </w:t>
      </w:r>
      <w:r w:rsidR="00702A96" w:rsidRPr="00810FA6">
        <w:rPr>
          <w:szCs w:val="22"/>
        </w:rPr>
        <w:t xml:space="preserve">required for payer and payee data in the TPAR because of how </w:t>
      </w:r>
      <w:r w:rsidRPr="00810FA6">
        <w:rPr>
          <w:szCs w:val="22"/>
        </w:rPr>
        <w:t xml:space="preserve">ATO </w:t>
      </w:r>
      <w:r w:rsidR="00702A96" w:rsidRPr="00810FA6">
        <w:rPr>
          <w:szCs w:val="22"/>
        </w:rPr>
        <w:t>systems consume and use the data downstream</w:t>
      </w:r>
      <w:r w:rsidR="00630940" w:rsidRPr="00810FA6">
        <w:rPr>
          <w:szCs w:val="22"/>
        </w:rPr>
        <w:t>.</w:t>
      </w:r>
      <w:r w:rsidR="00A6741B" w:rsidRPr="00810FA6">
        <w:rPr>
          <w:szCs w:val="22"/>
        </w:rPr>
        <w:t xml:space="preserve"> This </w:t>
      </w:r>
      <w:r w:rsidR="00702A96" w:rsidRPr="00810FA6">
        <w:rPr>
          <w:szCs w:val="22"/>
        </w:rPr>
        <w:t>includ</w:t>
      </w:r>
      <w:r w:rsidR="00A6741B" w:rsidRPr="00810FA6">
        <w:rPr>
          <w:szCs w:val="22"/>
        </w:rPr>
        <w:t>es</w:t>
      </w:r>
      <w:r w:rsidR="00702A96" w:rsidRPr="00810FA6">
        <w:rPr>
          <w:szCs w:val="22"/>
        </w:rPr>
        <w:t xml:space="preserve"> how our </w:t>
      </w:r>
      <w:r w:rsidR="00D9697C" w:rsidRPr="00810FA6">
        <w:rPr>
          <w:szCs w:val="22"/>
        </w:rPr>
        <w:t>front-line</w:t>
      </w:r>
      <w:r w:rsidR="00702A96" w:rsidRPr="00810FA6">
        <w:rPr>
          <w:szCs w:val="22"/>
        </w:rPr>
        <w:t xml:space="preserve"> staff refer to the TPAR data to support business, </w:t>
      </w:r>
      <w:r w:rsidRPr="00810FA6">
        <w:rPr>
          <w:szCs w:val="22"/>
        </w:rPr>
        <w:t>intermediaries,</w:t>
      </w:r>
      <w:r w:rsidR="00702A96" w:rsidRPr="00810FA6">
        <w:rPr>
          <w:szCs w:val="22"/>
        </w:rPr>
        <w:t xml:space="preserve"> </w:t>
      </w:r>
      <w:r w:rsidR="009B4319" w:rsidRPr="00810FA6">
        <w:rPr>
          <w:szCs w:val="22"/>
        </w:rPr>
        <w:t xml:space="preserve">and </w:t>
      </w:r>
      <w:r>
        <w:rPr>
          <w:szCs w:val="22"/>
        </w:rPr>
        <w:t>government</w:t>
      </w:r>
      <w:r w:rsidR="009B4319" w:rsidRPr="00810FA6">
        <w:rPr>
          <w:szCs w:val="22"/>
        </w:rPr>
        <w:t xml:space="preserve"> entities with TPAR related queries.</w:t>
      </w:r>
      <w:r w:rsidR="0071151E">
        <w:rPr>
          <w:szCs w:val="22"/>
        </w:rPr>
        <w:t xml:space="preserve"> </w:t>
      </w:r>
      <w:r w:rsidR="00D9697C" w:rsidRPr="00810FA6">
        <w:rPr>
          <w:szCs w:val="22"/>
        </w:rPr>
        <w:t>The ATO preference is for all payments and grants</w:t>
      </w:r>
      <w:r>
        <w:rPr>
          <w:szCs w:val="22"/>
        </w:rPr>
        <w:t>,</w:t>
      </w:r>
      <w:r w:rsidR="00D9697C" w:rsidRPr="00810FA6">
        <w:rPr>
          <w:szCs w:val="22"/>
        </w:rPr>
        <w:t xml:space="preserve"> where applicable</w:t>
      </w:r>
      <w:r>
        <w:rPr>
          <w:szCs w:val="22"/>
        </w:rPr>
        <w:t>,</w:t>
      </w:r>
      <w:r w:rsidR="00D9697C" w:rsidRPr="00810FA6">
        <w:rPr>
          <w:szCs w:val="22"/>
        </w:rPr>
        <w:t xml:space="preserve"> </w:t>
      </w:r>
      <w:r w:rsidR="002F79E0">
        <w:rPr>
          <w:szCs w:val="22"/>
        </w:rPr>
        <w:t xml:space="preserve">to </w:t>
      </w:r>
      <w:r w:rsidR="00D9697C" w:rsidRPr="00810FA6">
        <w:rPr>
          <w:szCs w:val="22"/>
        </w:rPr>
        <w:t xml:space="preserve">be included in one single TPAR. However, a </w:t>
      </w:r>
      <w:r w:rsidRPr="00810FA6">
        <w:rPr>
          <w:szCs w:val="22"/>
        </w:rPr>
        <w:t>government</w:t>
      </w:r>
      <w:r w:rsidR="00D9697C" w:rsidRPr="00810FA6">
        <w:rPr>
          <w:szCs w:val="22"/>
        </w:rPr>
        <w:t xml:space="preserve"> entity can choose to report payments for services and grants paid </w:t>
      </w:r>
      <w:r>
        <w:rPr>
          <w:szCs w:val="22"/>
        </w:rPr>
        <w:t xml:space="preserve">in </w:t>
      </w:r>
      <w:r w:rsidR="00D9697C" w:rsidRPr="00810FA6">
        <w:rPr>
          <w:szCs w:val="22"/>
        </w:rPr>
        <w:t>two separate TPAR</w:t>
      </w:r>
      <w:r>
        <w:rPr>
          <w:szCs w:val="22"/>
        </w:rPr>
        <w:t>s</w:t>
      </w:r>
      <w:r w:rsidR="00D9697C" w:rsidRPr="00810FA6">
        <w:rPr>
          <w:szCs w:val="22"/>
        </w:rPr>
        <w:t xml:space="preserve"> for any given FY</w:t>
      </w:r>
      <w:r>
        <w:rPr>
          <w:szCs w:val="22"/>
        </w:rPr>
        <w:t xml:space="preserve">, </w:t>
      </w:r>
      <w:r w:rsidRPr="00056985">
        <w:rPr>
          <w:szCs w:val="22"/>
        </w:rPr>
        <w:t xml:space="preserve">which may </w:t>
      </w:r>
      <w:r w:rsidR="00D9697C" w:rsidRPr="00056985">
        <w:rPr>
          <w:szCs w:val="22"/>
        </w:rPr>
        <w:t>be more practical.</w:t>
      </w:r>
    </w:p>
    <w:p w14:paraId="47B5413F" w14:textId="39F0B3F6" w:rsidR="009467C3" w:rsidRPr="00BF6432" w:rsidRDefault="009467C3" w:rsidP="00B14299">
      <w:pPr>
        <w:pStyle w:val="Heading3"/>
        <w:rPr>
          <w:b w:val="0"/>
          <w:bCs w:val="0"/>
        </w:rPr>
      </w:pPr>
      <w:bookmarkStart w:id="35" w:name="_Toc113894654"/>
      <w:r w:rsidRPr="00BF6432">
        <w:rPr>
          <w:b w:val="0"/>
          <w:bCs w:val="0"/>
        </w:rPr>
        <w:t>Government reporting</w:t>
      </w:r>
      <w:bookmarkEnd w:id="35"/>
    </w:p>
    <w:p w14:paraId="48A90D67" w14:textId="27AC21EB" w:rsidR="00B14299" w:rsidRPr="00810FA6" w:rsidRDefault="00B14299" w:rsidP="009B4319">
      <w:pPr>
        <w:pStyle w:val="Bullet2"/>
        <w:numPr>
          <w:ilvl w:val="0"/>
          <w:numId w:val="0"/>
        </w:numPr>
        <w:tabs>
          <w:tab w:val="left" w:pos="720"/>
        </w:tabs>
        <w:rPr>
          <w:szCs w:val="22"/>
        </w:rPr>
      </w:pPr>
      <w:r w:rsidRPr="00810FA6">
        <w:rPr>
          <w:szCs w:val="22"/>
        </w:rPr>
        <w:t>Government entities are required to report payments and grants to business</w:t>
      </w:r>
      <w:r w:rsidR="00947F14" w:rsidRPr="00810FA6">
        <w:rPr>
          <w:szCs w:val="22"/>
        </w:rPr>
        <w:t>es</w:t>
      </w:r>
      <w:r w:rsidRPr="00810FA6">
        <w:rPr>
          <w:szCs w:val="22"/>
        </w:rPr>
        <w:t xml:space="preserve"> in the TPAR. While the payment details required to be reported are the same for non-</w:t>
      </w:r>
      <w:r w:rsidR="00810FA6">
        <w:rPr>
          <w:szCs w:val="22"/>
        </w:rPr>
        <w:t>government</w:t>
      </w:r>
      <w:r w:rsidRPr="00810FA6">
        <w:rPr>
          <w:szCs w:val="22"/>
        </w:rPr>
        <w:t xml:space="preserve"> entities, the grant information reportable is as follows:</w:t>
      </w:r>
    </w:p>
    <w:p w14:paraId="6234B8CF" w14:textId="2754049D" w:rsidR="009467C3" w:rsidRPr="00810FA6" w:rsidRDefault="00FE64B9" w:rsidP="00B14299">
      <w:pPr>
        <w:pStyle w:val="Bullet2"/>
        <w:numPr>
          <w:ilvl w:val="0"/>
          <w:numId w:val="13"/>
        </w:numPr>
        <w:tabs>
          <w:tab w:val="left" w:pos="720"/>
        </w:tabs>
        <w:rPr>
          <w:szCs w:val="22"/>
        </w:rPr>
      </w:pPr>
      <w:r>
        <w:rPr>
          <w:szCs w:val="22"/>
        </w:rPr>
        <w:t>n</w:t>
      </w:r>
      <w:r w:rsidRPr="00810FA6">
        <w:rPr>
          <w:szCs w:val="22"/>
        </w:rPr>
        <w:t xml:space="preserve">ame </w:t>
      </w:r>
      <w:r w:rsidR="00CF2225" w:rsidRPr="00810FA6">
        <w:rPr>
          <w:szCs w:val="22"/>
        </w:rPr>
        <w:t>of grant</w:t>
      </w:r>
      <w:r w:rsidR="00A6741B" w:rsidRPr="00810FA6">
        <w:rPr>
          <w:szCs w:val="22"/>
        </w:rPr>
        <w:t xml:space="preserve"> or</w:t>
      </w:r>
      <w:r w:rsidR="00CE1740" w:rsidRPr="00810FA6">
        <w:rPr>
          <w:szCs w:val="22"/>
        </w:rPr>
        <w:t xml:space="preserve"> </w:t>
      </w:r>
      <w:r w:rsidR="00CF2225" w:rsidRPr="00810FA6">
        <w:rPr>
          <w:szCs w:val="22"/>
        </w:rPr>
        <w:t>program</w:t>
      </w:r>
    </w:p>
    <w:p w14:paraId="6EE9DF36" w14:textId="4048B5CA" w:rsidR="00CF2225" w:rsidRPr="00810FA6" w:rsidRDefault="00FE64B9" w:rsidP="00B14299">
      <w:pPr>
        <w:pStyle w:val="Bullet2"/>
        <w:numPr>
          <w:ilvl w:val="0"/>
          <w:numId w:val="13"/>
        </w:numPr>
        <w:tabs>
          <w:tab w:val="left" w:pos="720"/>
        </w:tabs>
        <w:rPr>
          <w:szCs w:val="22"/>
        </w:rPr>
      </w:pPr>
      <w:r>
        <w:rPr>
          <w:szCs w:val="22"/>
        </w:rPr>
        <w:t>d</w:t>
      </w:r>
      <w:r w:rsidRPr="00810FA6">
        <w:rPr>
          <w:szCs w:val="22"/>
        </w:rPr>
        <w:t xml:space="preserve">ate </w:t>
      </w:r>
      <w:r w:rsidR="00CF2225" w:rsidRPr="00810FA6">
        <w:rPr>
          <w:szCs w:val="22"/>
        </w:rPr>
        <w:t>of payment</w:t>
      </w:r>
    </w:p>
    <w:p w14:paraId="7D304010" w14:textId="1369ACDD" w:rsidR="00CF2225" w:rsidRPr="00810FA6" w:rsidRDefault="00FE64B9" w:rsidP="00B14299">
      <w:pPr>
        <w:pStyle w:val="Bullet2"/>
        <w:numPr>
          <w:ilvl w:val="0"/>
          <w:numId w:val="13"/>
        </w:numPr>
        <w:tabs>
          <w:tab w:val="left" w:pos="720"/>
        </w:tabs>
        <w:rPr>
          <w:szCs w:val="22"/>
        </w:rPr>
      </w:pPr>
      <w:r>
        <w:rPr>
          <w:szCs w:val="22"/>
        </w:rPr>
        <w:t>p</w:t>
      </w:r>
      <w:r w:rsidRPr="00810FA6">
        <w:rPr>
          <w:szCs w:val="22"/>
        </w:rPr>
        <w:t xml:space="preserve">ayment </w:t>
      </w:r>
      <w:r w:rsidR="00CF2225" w:rsidRPr="00810FA6">
        <w:rPr>
          <w:szCs w:val="22"/>
        </w:rPr>
        <w:t>type (grant or payment)</w:t>
      </w:r>
    </w:p>
    <w:p w14:paraId="477226B0" w14:textId="58195182" w:rsidR="00CF2225" w:rsidRPr="00810FA6" w:rsidRDefault="00FE64B9" w:rsidP="00B14299">
      <w:pPr>
        <w:pStyle w:val="Bullet2"/>
        <w:numPr>
          <w:ilvl w:val="0"/>
          <w:numId w:val="13"/>
        </w:numPr>
        <w:tabs>
          <w:tab w:val="left" w:pos="720"/>
        </w:tabs>
        <w:rPr>
          <w:szCs w:val="22"/>
        </w:rPr>
      </w:pPr>
      <w:r>
        <w:rPr>
          <w:szCs w:val="22"/>
        </w:rPr>
        <w:t>i</w:t>
      </w:r>
      <w:r w:rsidRPr="00810FA6">
        <w:rPr>
          <w:szCs w:val="22"/>
        </w:rPr>
        <w:t xml:space="preserve">s </w:t>
      </w:r>
      <w:r w:rsidR="00CF2225" w:rsidRPr="00810FA6">
        <w:rPr>
          <w:szCs w:val="22"/>
        </w:rPr>
        <w:t xml:space="preserve">this payment an amount listed or described under a provision of Division 59 of the ITAA 1997? </w:t>
      </w:r>
    </w:p>
    <w:p w14:paraId="6D2052BC" w14:textId="0BE6AD37" w:rsidR="00947F14" w:rsidRPr="00810FA6" w:rsidRDefault="005C29CF" w:rsidP="00947F14">
      <w:pPr>
        <w:pStyle w:val="Bullet2"/>
        <w:numPr>
          <w:ilvl w:val="0"/>
          <w:numId w:val="0"/>
        </w:numPr>
        <w:tabs>
          <w:tab w:val="left" w:pos="720"/>
        </w:tabs>
        <w:rPr>
          <w:szCs w:val="22"/>
        </w:rPr>
      </w:pPr>
      <w:r w:rsidRPr="005203E9">
        <w:rPr>
          <w:szCs w:val="22"/>
        </w:rPr>
        <w:t>Note</w:t>
      </w:r>
      <w:r w:rsidRPr="00810FA6">
        <w:rPr>
          <w:i/>
          <w:iCs/>
          <w:szCs w:val="22"/>
        </w:rPr>
        <w:t xml:space="preserve">: </w:t>
      </w:r>
      <w:r w:rsidR="00CF2225" w:rsidRPr="00810FA6">
        <w:rPr>
          <w:szCs w:val="22"/>
        </w:rPr>
        <w:t xml:space="preserve">Government entities (Federal and State) are required to report grants paid to </w:t>
      </w:r>
      <w:r w:rsidR="00947F14" w:rsidRPr="00810FA6">
        <w:rPr>
          <w:szCs w:val="22"/>
        </w:rPr>
        <w:t>people or organisations that have an ABN. Some of the grants reported may</w:t>
      </w:r>
      <w:r w:rsidR="00630940" w:rsidRPr="00810FA6">
        <w:rPr>
          <w:szCs w:val="22"/>
        </w:rPr>
        <w:t xml:space="preserve"> </w:t>
      </w:r>
      <w:r w:rsidR="00947F14" w:rsidRPr="00810FA6">
        <w:rPr>
          <w:szCs w:val="22"/>
        </w:rPr>
        <w:t>be treated as non</w:t>
      </w:r>
      <w:r w:rsidR="00810FA6">
        <w:rPr>
          <w:szCs w:val="22"/>
        </w:rPr>
        <w:noBreakHyphen/>
      </w:r>
      <w:r w:rsidR="00947F14" w:rsidRPr="00810FA6">
        <w:rPr>
          <w:szCs w:val="22"/>
        </w:rPr>
        <w:t xml:space="preserve">assessable non-exempt income (NANE). The ATO has made it available for </w:t>
      </w:r>
      <w:r w:rsidR="00810FA6">
        <w:rPr>
          <w:szCs w:val="22"/>
        </w:rPr>
        <w:t>g</w:t>
      </w:r>
      <w:r w:rsidR="00947F14" w:rsidRPr="00810FA6">
        <w:rPr>
          <w:szCs w:val="22"/>
        </w:rPr>
        <w:t xml:space="preserve">overnment entities to </w:t>
      </w:r>
      <w:r w:rsidR="00A6741B" w:rsidRPr="00810FA6">
        <w:rPr>
          <w:szCs w:val="22"/>
        </w:rPr>
        <w:t>advise</w:t>
      </w:r>
      <w:r w:rsidR="00947F14" w:rsidRPr="00810FA6">
        <w:rPr>
          <w:szCs w:val="22"/>
        </w:rPr>
        <w:t xml:space="preserve"> the ATO if the grant they’re reporting is listed under Division 59 of the ITAA 199</w:t>
      </w:r>
      <w:r w:rsidR="00810FA6">
        <w:rPr>
          <w:szCs w:val="22"/>
        </w:rPr>
        <w:t>7</w:t>
      </w:r>
      <w:r w:rsidR="00630940" w:rsidRPr="00810FA6">
        <w:rPr>
          <w:szCs w:val="22"/>
        </w:rPr>
        <w:t>. It</w:t>
      </w:r>
      <w:r w:rsidR="00947F14" w:rsidRPr="00810FA6">
        <w:rPr>
          <w:szCs w:val="22"/>
        </w:rPr>
        <w:t xml:space="preserve"> lists all grants that are NANE subject to the grant recipient self-assessing their eligibility of treating the grant as NANE.</w:t>
      </w:r>
    </w:p>
    <w:p w14:paraId="1B42CDDB" w14:textId="77777777" w:rsidR="00810FA6" w:rsidRDefault="00810FA6">
      <w:pPr>
        <w:rPr>
          <w:rFonts w:cs="Arial"/>
          <w:b/>
          <w:bCs/>
          <w:sz w:val="24"/>
          <w:szCs w:val="26"/>
        </w:rPr>
      </w:pPr>
      <w:r>
        <w:br w:type="page"/>
      </w:r>
    </w:p>
    <w:p w14:paraId="6AB65BAF" w14:textId="2E26A2DD" w:rsidR="00621222" w:rsidRPr="00BF6432" w:rsidRDefault="00621222" w:rsidP="00621222">
      <w:pPr>
        <w:pStyle w:val="Heading3"/>
        <w:rPr>
          <w:b w:val="0"/>
          <w:bCs w:val="0"/>
        </w:rPr>
      </w:pPr>
      <w:bookmarkStart w:id="36" w:name="_Toc113894655"/>
      <w:r w:rsidRPr="00BF6432">
        <w:rPr>
          <w:b w:val="0"/>
          <w:bCs w:val="0"/>
        </w:rPr>
        <w:t>Amendments</w:t>
      </w:r>
      <w:bookmarkEnd w:id="36"/>
    </w:p>
    <w:p w14:paraId="02733E49" w14:textId="723207AE" w:rsidR="00813864" w:rsidRDefault="00BB7508" w:rsidP="00813864">
      <w:pPr>
        <w:pStyle w:val="Caption"/>
        <w:rPr>
          <w:b w:val="0"/>
          <w:bCs w:val="0"/>
          <w:sz w:val="22"/>
          <w:szCs w:val="22"/>
        </w:rPr>
      </w:pPr>
      <w:r>
        <w:rPr>
          <w:b w:val="0"/>
          <w:bCs w:val="0"/>
          <w:sz w:val="22"/>
          <w:szCs w:val="22"/>
        </w:rPr>
        <w:t xml:space="preserve">There are different reasons to lodge an amendment and </w:t>
      </w:r>
      <w:r w:rsidR="00A6741B">
        <w:rPr>
          <w:b w:val="0"/>
          <w:bCs w:val="0"/>
          <w:sz w:val="22"/>
          <w:szCs w:val="22"/>
        </w:rPr>
        <w:t>the approach will differ according to the reason</w:t>
      </w:r>
      <w:r>
        <w:rPr>
          <w:b w:val="0"/>
          <w:bCs w:val="0"/>
          <w:sz w:val="22"/>
          <w:szCs w:val="22"/>
        </w:rPr>
        <w:t xml:space="preserve">. </w:t>
      </w:r>
      <w:r w:rsidR="00947F14" w:rsidRPr="00415A94">
        <w:rPr>
          <w:b w:val="0"/>
          <w:bCs w:val="0"/>
          <w:sz w:val="22"/>
          <w:szCs w:val="22"/>
        </w:rPr>
        <w:t xml:space="preserve">An amendment can only be lodged </w:t>
      </w:r>
      <w:r w:rsidR="005C29CF" w:rsidRPr="00415A94">
        <w:rPr>
          <w:b w:val="0"/>
          <w:bCs w:val="0"/>
          <w:sz w:val="22"/>
          <w:szCs w:val="22"/>
        </w:rPr>
        <w:t>after an</w:t>
      </w:r>
      <w:r w:rsidR="00947F14" w:rsidRPr="00415A94">
        <w:rPr>
          <w:b w:val="0"/>
          <w:bCs w:val="0"/>
          <w:sz w:val="22"/>
          <w:szCs w:val="22"/>
        </w:rPr>
        <w:t xml:space="preserve"> original TPAR has been received.</w:t>
      </w:r>
    </w:p>
    <w:p w14:paraId="65ACFB78" w14:textId="2C6D5696" w:rsidR="0000715D" w:rsidRDefault="0000715D" w:rsidP="0000715D">
      <w:pPr>
        <w:pStyle w:val="Caption"/>
        <w:rPr>
          <w:sz w:val="22"/>
          <w:szCs w:val="22"/>
        </w:rPr>
      </w:pPr>
    </w:p>
    <w:p w14:paraId="7609033A" w14:textId="5B3780CB" w:rsidR="00901390" w:rsidRPr="00BF6432" w:rsidRDefault="00901390" w:rsidP="00901390">
      <w:pPr>
        <w:pStyle w:val="Caption"/>
        <w:rPr>
          <w:b w:val="0"/>
          <w:bCs w:val="0"/>
          <w:sz w:val="22"/>
          <w:szCs w:val="22"/>
        </w:rPr>
      </w:pPr>
      <w:r w:rsidRPr="00BF6432">
        <w:rPr>
          <w:b w:val="0"/>
          <w:bCs w:val="0"/>
          <w:sz w:val="22"/>
          <w:szCs w:val="22"/>
        </w:rPr>
        <w:t>Table 2: Amendment reasons</w:t>
      </w:r>
    </w:p>
    <w:tbl>
      <w:tblPr>
        <w:tblStyle w:val="TableGrid"/>
        <w:tblW w:w="10060" w:type="dxa"/>
        <w:tblLook w:val="04A0" w:firstRow="1" w:lastRow="0" w:firstColumn="1" w:lastColumn="0" w:noHBand="0" w:noVBand="1"/>
      </w:tblPr>
      <w:tblGrid>
        <w:gridCol w:w="4106"/>
        <w:gridCol w:w="5954"/>
      </w:tblGrid>
      <w:tr w:rsidR="00FC6021" w14:paraId="7EC21B56" w14:textId="1E9E70F8" w:rsidTr="005203E9">
        <w:tc>
          <w:tcPr>
            <w:tcW w:w="4106" w:type="dxa"/>
            <w:shd w:val="clear" w:color="auto" w:fill="B8CCE4" w:themeFill="accent1" w:themeFillTint="66"/>
            <w:vAlign w:val="center"/>
          </w:tcPr>
          <w:p w14:paraId="0050EA48" w14:textId="43380BFB" w:rsidR="00810FA6" w:rsidRPr="00BF6432" w:rsidRDefault="00FC6021">
            <w:pPr>
              <w:rPr>
                <w:szCs w:val="22"/>
              </w:rPr>
            </w:pPr>
            <w:r w:rsidRPr="00BF6432">
              <w:rPr>
                <w:szCs w:val="22"/>
              </w:rPr>
              <w:t>Reasons</w:t>
            </w:r>
          </w:p>
        </w:tc>
        <w:tc>
          <w:tcPr>
            <w:tcW w:w="5954" w:type="dxa"/>
            <w:shd w:val="clear" w:color="auto" w:fill="B8CCE4" w:themeFill="accent1" w:themeFillTint="66"/>
            <w:vAlign w:val="center"/>
          </w:tcPr>
          <w:p w14:paraId="3B386D33" w14:textId="583064F0" w:rsidR="00810FA6" w:rsidRPr="00BF6432" w:rsidRDefault="00FC6021">
            <w:pPr>
              <w:rPr>
                <w:szCs w:val="22"/>
              </w:rPr>
            </w:pPr>
            <w:r w:rsidRPr="00BF6432">
              <w:rPr>
                <w:szCs w:val="22"/>
              </w:rPr>
              <w:t>Requirements</w:t>
            </w:r>
          </w:p>
        </w:tc>
      </w:tr>
      <w:tr w:rsidR="00FC6021" w14:paraId="00520624" w14:textId="78F28B60" w:rsidTr="00D9697C">
        <w:tc>
          <w:tcPr>
            <w:tcW w:w="4106" w:type="dxa"/>
          </w:tcPr>
          <w:p w14:paraId="779FAA59" w14:textId="69B0A5EB" w:rsidR="00FC6021" w:rsidRPr="00810FA6" w:rsidRDefault="00FC6021" w:rsidP="00BB7508">
            <w:pPr>
              <w:rPr>
                <w:szCs w:val="22"/>
              </w:rPr>
            </w:pPr>
            <w:r w:rsidRPr="00810FA6">
              <w:rPr>
                <w:szCs w:val="22"/>
              </w:rPr>
              <w:t xml:space="preserve">The previously reported payment amount (gross, GST or ITW) </w:t>
            </w:r>
            <w:r w:rsidR="005C29CF" w:rsidRPr="00810FA6">
              <w:rPr>
                <w:szCs w:val="22"/>
              </w:rPr>
              <w:t>is</w:t>
            </w:r>
            <w:r w:rsidRPr="00810FA6">
              <w:rPr>
                <w:szCs w:val="22"/>
              </w:rPr>
              <w:t xml:space="preserve"> incorrect</w:t>
            </w:r>
          </w:p>
        </w:tc>
        <w:tc>
          <w:tcPr>
            <w:tcW w:w="5954" w:type="dxa"/>
          </w:tcPr>
          <w:p w14:paraId="6D3827BE" w14:textId="2DE00DD2" w:rsidR="00FC6021" w:rsidRPr="003567A7" w:rsidRDefault="00FC6021" w:rsidP="005203E9">
            <w:pPr>
              <w:shd w:val="clear" w:color="auto" w:fill="FFFFFF"/>
              <w:spacing w:after="330"/>
              <w:rPr>
                <w:szCs w:val="22"/>
              </w:rPr>
            </w:pPr>
            <w:r w:rsidRPr="003567A7">
              <w:rPr>
                <w:szCs w:val="22"/>
              </w:rPr>
              <w:t>Amend a lodged TPAR when the amounts (excluding details) reported for payees are incorrect.</w:t>
            </w:r>
            <w:r w:rsidR="00630940" w:rsidRPr="003567A7">
              <w:rPr>
                <w:szCs w:val="22"/>
              </w:rPr>
              <w:t xml:space="preserve"> </w:t>
            </w:r>
            <w:r w:rsidRPr="003567A7">
              <w:rPr>
                <w:szCs w:val="22"/>
              </w:rPr>
              <w:t>Incorrectly reported amounts include:</w:t>
            </w:r>
          </w:p>
          <w:p w14:paraId="1E59A43A" w14:textId="5E58BD0B" w:rsidR="00FC6021" w:rsidRPr="003567A7" w:rsidRDefault="00FC6021" w:rsidP="00BB7508">
            <w:pPr>
              <w:numPr>
                <w:ilvl w:val="0"/>
                <w:numId w:val="35"/>
              </w:numPr>
              <w:shd w:val="clear" w:color="auto" w:fill="FFFFFF"/>
              <w:spacing w:before="360" w:after="72"/>
              <w:rPr>
                <w:szCs w:val="22"/>
              </w:rPr>
            </w:pPr>
            <w:r w:rsidRPr="003567A7">
              <w:rPr>
                <w:szCs w:val="22"/>
              </w:rPr>
              <w:t>total goods and services tax (GST)</w:t>
            </w:r>
          </w:p>
          <w:p w14:paraId="6FFE16D1" w14:textId="0D594084" w:rsidR="00FC6021" w:rsidRPr="003567A7" w:rsidRDefault="00FC6021" w:rsidP="00BB7508">
            <w:pPr>
              <w:numPr>
                <w:ilvl w:val="0"/>
                <w:numId w:val="35"/>
              </w:numPr>
              <w:shd w:val="clear" w:color="auto" w:fill="FFFFFF"/>
              <w:spacing w:before="72" w:after="72"/>
              <w:rPr>
                <w:szCs w:val="22"/>
              </w:rPr>
            </w:pPr>
            <w:r w:rsidRPr="003567A7">
              <w:rPr>
                <w:szCs w:val="22"/>
              </w:rPr>
              <w:t>gross amount paid</w:t>
            </w:r>
          </w:p>
          <w:p w14:paraId="01BE304A" w14:textId="77777777" w:rsidR="00FC6021" w:rsidRPr="003567A7" w:rsidRDefault="00FC6021" w:rsidP="00BB7508">
            <w:pPr>
              <w:numPr>
                <w:ilvl w:val="0"/>
                <w:numId w:val="35"/>
              </w:numPr>
              <w:shd w:val="clear" w:color="auto" w:fill="FFFFFF"/>
              <w:spacing w:before="72" w:after="360"/>
              <w:rPr>
                <w:szCs w:val="22"/>
              </w:rPr>
            </w:pPr>
            <w:r w:rsidRPr="003567A7">
              <w:rPr>
                <w:szCs w:val="22"/>
              </w:rPr>
              <w:t>total tax withheld where the Australian business number (ABN) was not quoted.</w:t>
            </w:r>
          </w:p>
          <w:p w14:paraId="43571F21" w14:textId="46F1A4B4" w:rsidR="00FC6021" w:rsidRPr="003567A7" w:rsidRDefault="00FC6021" w:rsidP="00BB7508">
            <w:pPr>
              <w:rPr>
                <w:szCs w:val="22"/>
              </w:rPr>
            </w:pPr>
            <w:r w:rsidRPr="003567A7">
              <w:rPr>
                <w:szCs w:val="22"/>
              </w:rPr>
              <w:t>Include all the details for each payee that requires amending. The details must be exactly as they appeared in the original lodgment, except the amended amounts for the payee.</w:t>
            </w:r>
          </w:p>
        </w:tc>
      </w:tr>
      <w:tr w:rsidR="00FC6021" w14:paraId="1D84DC9C" w14:textId="41866238" w:rsidTr="00D9697C">
        <w:tc>
          <w:tcPr>
            <w:tcW w:w="4106" w:type="dxa"/>
          </w:tcPr>
          <w:p w14:paraId="65C23BB0" w14:textId="07DAC7E5" w:rsidR="00FC6021" w:rsidRPr="00810FA6" w:rsidRDefault="00FC6021" w:rsidP="00BB7508">
            <w:pPr>
              <w:rPr>
                <w:szCs w:val="22"/>
              </w:rPr>
            </w:pPr>
            <w:r w:rsidRPr="00810FA6">
              <w:rPr>
                <w:szCs w:val="22"/>
              </w:rPr>
              <w:t>The previous TPAR reported had incorrect payee details or a payee was wrongly included in the TPAR</w:t>
            </w:r>
          </w:p>
        </w:tc>
        <w:tc>
          <w:tcPr>
            <w:tcW w:w="5954" w:type="dxa"/>
          </w:tcPr>
          <w:p w14:paraId="31CC30B4" w14:textId="7AD790DA" w:rsidR="00BE3BB4" w:rsidRDefault="00FC6021" w:rsidP="001D565A">
            <w:pPr>
              <w:pStyle w:val="NormalWeb"/>
              <w:shd w:val="clear" w:color="auto" w:fill="FFFFFF"/>
              <w:spacing w:before="0" w:beforeAutospacing="0" w:after="330" w:afterAutospacing="0"/>
              <w:rPr>
                <w:szCs w:val="22"/>
              </w:rPr>
            </w:pPr>
            <w:r w:rsidRPr="001D565A">
              <w:rPr>
                <w:rFonts w:ascii="Arial" w:hAnsi="Arial" w:cs="Arial"/>
                <w:sz w:val="22"/>
                <w:szCs w:val="22"/>
              </w:rPr>
              <w:t>If the original TPAR included any incorrect details for a payee (excluding amounts),</w:t>
            </w:r>
            <w:r w:rsidR="003F16F2">
              <w:rPr>
                <w:rFonts w:ascii="Arial" w:hAnsi="Arial" w:cs="Arial"/>
                <w:sz w:val="22"/>
                <w:szCs w:val="22"/>
              </w:rPr>
              <w:t xml:space="preserve"> d</w:t>
            </w:r>
            <w:r w:rsidRPr="001D565A">
              <w:rPr>
                <w:rFonts w:ascii="Arial" w:hAnsi="Arial" w:cs="Arial"/>
                <w:sz w:val="22"/>
                <w:szCs w:val="22"/>
              </w:rPr>
              <w:t>o not submit an amendment TPAR</w:t>
            </w:r>
            <w:r w:rsidR="00BE3BB4">
              <w:rPr>
                <w:rFonts w:ascii="Arial" w:hAnsi="Arial" w:cs="Arial"/>
                <w:sz w:val="22"/>
                <w:szCs w:val="22"/>
              </w:rPr>
              <w:t>. The</w:t>
            </w:r>
            <w:r w:rsidRPr="001D565A">
              <w:rPr>
                <w:rFonts w:ascii="Arial" w:hAnsi="Arial" w:cs="Arial"/>
                <w:sz w:val="22"/>
                <w:szCs w:val="22"/>
              </w:rPr>
              <w:t xml:space="preserve"> </w:t>
            </w:r>
            <w:r w:rsidR="00BE3BB4" w:rsidRPr="001D565A">
              <w:rPr>
                <w:rFonts w:ascii="Arial" w:hAnsi="Arial" w:cs="Arial"/>
                <w:sz w:val="22"/>
                <w:szCs w:val="22"/>
              </w:rPr>
              <w:t>lodging entity</w:t>
            </w:r>
            <w:r w:rsidRPr="001D565A">
              <w:rPr>
                <w:rFonts w:ascii="Arial" w:hAnsi="Arial" w:cs="Arial"/>
                <w:sz w:val="22"/>
                <w:szCs w:val="22"/>
              </w:rPr>
              <w:t xml:space="preserve"> will need to contact the ATO to correct this information</w:t>
            </w:r>
            <w:r w:rsidR="00BE3BB4" w:rsidRPr="001D565A">
              <w:rPr>
                <w:rFonts w:ascii="Arial" w:hAnsi="Arial" w:cs="Arial"/>
                <w:sz w:val="22"/>
                <w:szCs w:val="22"/>
              </w:rPr>
              <w:t>:</w:t>
            </w:r>
          </w:p>
          <w:p w14:paraId="017532D3" w14:textId="340CC28C" w:rsidR="00BE3BB4" w:rsidRPr="003567A7" w:rsidRDefault="000F6EE4" w:rsidP="00BE3BB4">
            <w:pPr>
              <w:numPr>
                <w:ilvl w:val="0"/>
                <w:numId w:val="36"/>
              </w:numPr>
              <w:shd w:val="clear" w:color="auto" w:fill="FFFFFF"/>
              <w:spacing w:before="360" w:after="72"/>
              <w:rPr>
                <w:szCs w:val="22"/>
              </w:rPr>
            </w:pPr>
            <w:r>
              <w:rPr>
                <w:szCs w:val="22"/>
              </w:rPr>
              <w:t xml:space="preserve">see </w:t>
            </w:r>
            <w:r w:rsidR="001D565A">
              <w:rPr>
                <w:szCs w:val="22"/>
              </w:rPr>
              <w:t>t</w:t>
            </w:r>
            <w:r w:rsidR="00BE3BB4">
              <w:rPr>
                <w:szCs w:val="22"/>
              </w:rPr>
              <w:t xml:space="preserve">he </w:t>
            </w:r>
            <w:hyperlink r:id="rId23" w:anchor="Lodgeyouramendmentonline" w:history="1">
              <w:r w:rsidR="00BE3BB4" w:rsidRPr="003F16F2">
                <w:rPr>
                  <w:rStyle w:val="Hyperlink"/>
                  <w:b w:val="0"/>
                  <w:bCs/>
                  <w:noProof w:val="0"/>
                  <w:szCs w:val="22"/>
                </w:rPr>
                <w:t>ATO website</w:t>
              </w:r>
            </w:hyperlink>
            <w:r w:rsidR="00BE3BB4">
              <w:rPr>
                <w:szCs w:val="22"/>
              </w:rPr>
              <w:t xml:space="preserve"> on how to correct online</w:t>
            </w:r>
          </w:p>
          <w:p w14:paraId="6778BA02" w14:textId="658A348B" w:rsidR="00BE3BB4" w:rsidRPr="003567A7" w:rsidRDefault="000F6EE4" w:rsidP="001D565A">
            <w:pPr>
              <w:numPr>
                <w:ilvl w:val="0"/>
                <w:numId w:val="36"/>
              </w:numPr>
              <w:shd w:val="clear" w:color="auto" w:fill="FFFFFF"/>
              <w:spacing w:before="72" w:after="360"/>
              <w:rPr>
                <w:szCs w:val="22"/>
              </w:rPr>
            </w:pPr>
            <w:r>
              <w:rPr>
                <w:szCs w:val="22"/>
              </w:rPr>
              <w:t xml:space="preserve">see </w:t>
            </w:r>
            <w:r w:rsidR="001D565A">
              <w:rPr>
                <w:szCs w:val="22"/>
              </w:rPr>
              <w:t>t</w:t>
            </w:r>
            <w:r w:rsidR="00BE3BB4">
              <w:rPr>
                <w:szCs w:val="22"/>
              </w:rPr>
              <w:t xml:space="preserve">he </w:t>
            </w:r>
            <w:hyperlink r:id="rId24" w:anchor="Sendcorrectedpayeedetailsbymail" w:history="1">
              <w:r w:rsidR="00BE3BB4" w:rsidRPr="003F16F2">
                <w:rPr>
                  <w:rStyle w:val="Hyperlink"/>
                  <w:b w:val="0"/>
                  <w:bCs/>
                  <w:noProof w:val="0"/>
                  <w:szCs w:val="22"/>
                </w:rPr>
                <w:t>ATO website</w:t>
              </w:r>
            </w:hyperlink>
            <w:r w:rsidR="00BE3BB4">
              <w:rPr>
                <w:szCs w:val="22"/>
              </w:rPr>
              <w:t xml:space="preserve"> on how to correct via mail</w:t>
            </w:r>
            <w:r w:rsidR="00BE3BB4" w:rsidRPr="003567A7">
              <w:rPr>
                <w:szCs w:val="22"/>
              </w:rPr>
              <w:t>.</w:t>
            </w:r>
          </w:p>
        </w:tc>
      </w:tr>
      <w:tr w:rsidR="00FC6021" w14:paraId="37DBCFF7" w14:textId="5F15FDAB" w:rsidTr="00D9697C">
        <w:tc>
          <w:tcPr>
            <w:tcW w:w="4106" w:type="dxa"/>
          </w:tcPr>
          <w:p w14:paraId="0D100625" w14:textId="4A81948F" w:rsidR="00FC6021" w:rsidRPr="00810FA6" w:rsidRDefault="00FC6021" w:rsidP="00BB7508">
            <w:pPr>
              <w:rPr>
                <w:szCs w:val="22"/>
              </w:rPr>
            </w:pPr>
            <w:r w:rsidRPr="00810FA6">
              <w:rPr>
                <w:szCs w:val="22"/>
              </w:rPr>
              <w:t>Add new payees</w:t>
            </w:r>
          </w:p>
        </w:tc>
        <w:tc>
          <w:tcPr>
            <w:tcW w:w="5954" w:type="dxa"/>
          </w:tcPr>
          <w:p w14:paraId="7F85C332" w14:textId="77777777" w:rsidR="00FC6021" w:rsidRPr="003567A7" w:rsidRDefault="00FC6021" w:rsidP="005203E9">
            <w:pPr>
              <w:shd w:val="clear" w:color="auto" w:fill="FFFFFF"/>
              <w:spacing w:after="330"/>
              <w:rPr>
                <w:szCs w:val="22"/>
              </w:rPr>
            </w:pPr>
            <w:bookmarkStart w:id="37" w:name="_Hlk114147047"/>
            <w:r w:rsidRPr="003567A7">
              <w:rPr>
                <w:szCs w:val="22"/>
              </w:rPr>
              <w:t>To add a new payee, you need to lodge another TPAR, including:</w:t>
            </w:r>
          </w:p>
          <w:bookmarkEnd w:id="37"/>
          <w:p w14:paraId="499E5BCF" w14:textId="2DA03E0B" w:rsidR="00FC6021" w:rsidRPr="003567A7" w:rsidRDefault="00FC6021" w:rsidP="00DE15A1">
            <w:pPr>
              <w:numPr>
                <w:ilvl w:val="0"/>
                <w:numId w:val="36"/>
              </w:numPr>
              <w:shd w:val="clear" w:color="auto" w:fill="FFFFFF"/>
              <w:spacing w:before="360" w:after="72"/>
              <w:rPr>
                <w:szCs w:val="22"/>
              </w:rPr>
            </w:pPr>
            <w:r w:rsidRPr="003567A7">
              <w:rPr>
                <w:szCs w:val="22"/>
              </w:rPr>
              <w:t>all your information as the payer</w:t>
            </w:r>
            <w:r w:rsidR="00B73BF1">
              <w:rPr>
                <w:szCs w:val="22"/>
              </w:rPr>
              <w:t>.</w:t>
            </w:r>
          </w:p>
          <w:p w14:paraId="5B34FDC6" w14:textId="77777777" w:rsidR="00FC6021" w:rsidRPr="003567A7" w:rsidRDefault="00FC6021" w:rsidP="00DE15A1">
            <w:pPr>
              <w:numPr>
                <w:ilvl w:val="0"/>
                <w:numId w:val="36"/>
              </w:numPr>
              <w:shd w:val="clear" w:color="auto" w:fill="FFFFFF"/>
              <w:spacing w:before="72" w:after="360"/>
              <w:rPr>
                <w:szCs w:val="22"/>
              </w:rPr>
            </w:pPr>
            <w:r w:rsidRPr="003567A7">
              <w:rPr>
                <w:szCs w:val="22"/>
              </w:rPr>
              <w:t>the information for the new payee or payees.</w:t>
            </w:r>
          </w:p>
          <w:p w14:paraId="3AC87922" w14:textId="10929B21" w:rsidR="00E74E65" w:rsidRPr="003567A7" w:rsidRDefault="00FC6021" w:rsidP="00E74E65">
            <w:pPr>
              <w:rPr>
                <w:szCs w:val="22"/>
              </w:rPr>
            </w:pPr>
            <w:r w:rsidRPr="003567A7">
              <w:rPr>
                <w:szCs w:val="22"/>
              </w:rPr>
              <w:t>Note: lodge a new TPAR (no amendment indicator on the payee is required) and only lodge the TPAR for the new payee.</w:t>
            </w:r>
          </w:p>
        </w:tc>
      </w:tr>
    </w:tbl>
    <w:p w14:paraId="0D9458A8" w14:textId="036737DC" w:rsidR="00E74E65" w:rsidRDefault="00E74E65" w:rsidP="00E74E65">
      <w:pPr>
        <w:pStyle w:val="Head2"/>
        <w:numPr>
          <w:ilvl w:val="0"/>
          <w:numId w:val="0"/>
        </w:numPr>
      </w:pPr>
      <w:bookmarkStart w:id="38" w:name="_Toc113894656"/>
      <w:bookmarkStart w:id="39" w:name="_Toc483223161"/>
      <w:bookmarkStart w:id="40" w:name="_Toc405989448"/>
      <w:bookmarkStart w:id="41" w:name="_Toc405989496"/>
      <w:bookmarkStart w:id="42" w:name="_Toc405993397"/>
      <w:bookmarkStart w:id="43" w:name="_Toc405995084"/>
      <w:bookmarkStart w:id="44" w:name="_Toc405995229"/>
      <w:bookmarkStart w:id="45" w:name="_Toc405996892"/>
      <w:bookmarkStart w:id="46" w:name="_Toc113894657"/>
      <w:bookmarkStart w:id="47" w:name="_Toc113894658"/>
      <w:bookmarkStart w:id="48" w:name="_Toc113894659"/>
      <w:bookmarkStart w:id="49" w:name="_Toc113894660"/>
      <w:bookmarkStart w:id="50" w:name="_Toc113894682"/>
      <w:bookmarkStart w:id="51" w:name="_Toc113894683"/>
      <w:bookmarkStart w:id="52" w:name="_Toc113894684"/>
      <w:bookmarkStart w:id="53" w:name="_Toc113894685"/>
      <w:bookmarkStart w:id="54" w:name="_Toc113894686"/>
      <w:bookmarkStart w:id="55" w:name="_Toc113894687"/>
      <w:bookmarkStart w:id="56" w:name="_Toc113894688"/>
      <w:bookmarkStart w:id="57" w:name="_Toc411501186"/>
      <w:bookmarkStart w:id="58" w:name="_Toc411524677"/>
      <w:bookmarkStart w:id="59" w:name="_Toc411593585"/>
      <w:bookmarkStart w:id="60" w:name="_Toc411501187"/>
      <w:bookmarkStart w:id="61" w:name="_Toc411524678"/>
      <w:bookmarkStart w:id="62" w:name="_Toc411593586"/>
      <w:bookmarkStart w:id="63" w:name="_Toc411501188"/>
      <w:bookmarkStart w:id="64" w:name="_Toc411524679"/>
      <w:bookmarkStart w:id="65" w:name="_Toc411593587"/>
      <w:bookmarkStart w:id="66" w:name="_Toc411501189"/>
      <w:bookmarkStart w:id="67" w:name="_Toc411524680"/>
      <w:bookmarkStart w:id="68" w:name="_Toc411593588"/>
      <w:bookmarkStart w:id="69" w:name="_Toc411501190"/>
      <w:bookmarkStart w:id="70" w:name="_Toc411524681"/>
      <w:bookmarkStart w:id="71" w:name="_Toc411593589"/>
      <w:bookmarkStart w:id="72" w:name="_Toc411501191"/>
      <w:bookmarkStart w:id="73" w:name="_Toc411524682"/>
      <w:bookmarkStart w:id="74" w:name="_Toc411593590"/>
      <w:bookmarkStart w:id="75" w:name="_Hlk8121217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97E0668" w14:textId="77777777" w:rsidR="00E74E65" w:rsidRPr="00E74E65" w:rsidRDefault="00E74E65" w:rsidP="00E74E65">
      <w:pPr>
        <w:pStyle w:val="Maintext"/>
      </w:pPr>
    </w:p>
    <w:p w14:paraId="0394FF67" w14:textId="1E265A93" w:rsidR="00E74E65" w:rsidRDefault="00E74E65" w:rsidP="000F6EE4">
      <w:pPr>
        <w:pStyle w:val="Maintext"/>
      </w:pPr>
    </w:p>
    <w:p w14:paraId="406D6B3B" w14:textId="65401FC7" w:rsidR="00E74E65" w:rsidRDefault="00E74E65" w:rsidP="000F6EE4">
      <w:pPr>
        <w:pStyle w:val="Maintext"/>
      </w:pPr>
    </w:p>
    <w:p w14:paraId="681012B9" w14:textId="36329DC7" w:rsidR="00E74E65" w:rsidRDefault="00E74E65" w:rsidP="000F6EE4">
      <w:pPr>
        <w:pStyle w:val="Maintext"/>
      </w:pPr>
    </w:p>
    <w:p w14:paraId="4A6CD824" w14:textId="77777777" w:rsidR="00E74E65" w:rsidRDefault="00E74E65" w:rsidP="00E74E65">
      <w:pPr>
        <w:pStyle w:val="Head2"/>
      </w:pPr>
      <w:r>
        <w:t>Interactions</w:t>
      </w:r>
    </w:p>
    <w:p w14:paraId="7F2B5C79" w14:textId="6624765E" w:rsidR="00BB6C0C" w:rsidRDefault="001B0F0F" w:rsidP="00AF1E34">
      <w:pPr>
        <w:pStyle w:val="Bullet2"/>
        <w:numPr>
          <w:ilvl w:val="0"/>
          <w:numId w:val="0"/>
        </w:numPr>
        <w:tabs>
          <w:tab w:val="left" w:pos="720"/>
        </w:tabs>
        <w:jc w:val="both"/>
        <w:rPr>
          <w:rStyle w:val="BodyTextChar1"/>
          <w:szCs w:val="22"/>
        </w:rPr>
      </w:pPr>
      <w:bookmarkStart w:id="76" w:name="_Hlk81212194"/>
      <w:r w:rsidRPr="00C754C5">
        <w:rPr>
          <w:rStyle w:val="BodyTextChar1"/>
          <w:szCs w:val="22"/>
        </w:rPr>
        <w:t xml:space="preserve">The </w:t>
      </w:r>
      <w:r w:rsidR="005C29CF">
        <w:rPr>
          <w:rStyle w:val="BodyTextChar1"/>
          <w:szCs w:val="22"/>
        </w:rPr>
        <w:t>TPAR</w:t>
      </w:r>
      <w:r w:rsidR="00901390">
        <w:rPr>
          <w:rStyle w:val="BodyTextChar1"/>
          <w:szCs w:val="22"/>
        </w:rPr>
        <w:t xml:space="preserve"> </w:t>
      </w:r>
      <w:r w:rsidRPr="00C754C5">
        <w:rPr>
          <w:rStyle w:val="BodyTextChar1"/>
          <w:szCs w:val="22"/>
        </w:rPr>
        <w:t>lodgment process could consist of the fol</w:t>
      </w:r>
      <w:r w:rsidR="00483AC8" w:rsidRPr="00C754C5">
        <w:rPr>
          <w:rStyle w:val="BodyTextChar1"/>
          <w:szCs w:val="22"/>
        </w:rPr>
        <w:t>lowing interactions</w:t>
      </w:r>
      <w:r w:rsidR="00A54ADE">
        <w:rPr>
          <w:rStyle w:val="BodyTextChar1"/>
          <w:szCs w:val="22"/>
        </w:rPr>
        <w:t>:</w:t>
      </w:r>
      <w:r w:rsidR="00483AC8" w:rsidRPr="00C754C5">
        <w:rPr>
          <w:rStyle w:val="BodyTextChar1"/>
          <w:szCs w:val="22"/>
        </w:rPr>
        <w:t xml:space="preserve"> </w:t>
      </w:r>
    </w:p>
    <w:p w14:paraId="6AEE9A3A" w14:textId="507C2158" w:rsidR="00813864" w:rsidRPr="00BF6432" w:rsidRDefault="00813864" w:rsidP="00901390">
      <w:pPr>
        <w:pStyle w:val="Caption"/>
        <w:keepLines/>
        <w:rPr>
          <w:b w:val="0"/>
          <w:bCs w:val="0"/>
          <w:sz w:val="22"/>
          <w:szCs w:val="22"/>
        </w:rPr>
      </w:pPr>
      <w:bookmarkStart w:id="77" w:name="_Hlk112666055"/>
      <w:bookmarkEnd w:id="75"/>
      <w:r w:rsidRPr="00BF6432">
        <w:rPr>
          <w:b w:val="0"/>
          <w:bCs w:val="0"/>
          <w:sz w:val="22"/>
          <w:szCs w:val="22"/>
        </w:rPr>
        <w:t xml:space="preserve">Table 3: Interactions available in the </w:t>
      </w:r>
      <w:r w:rsidR="004F2C34" w:rsidRPr="00BF6432">
        <w:rPr>
          <w:b w:val="0"/>
          <w:bCs w:val="0"/>
          <w:sz w:val="22"/>
          <w:szCs w:val="22"/>
        </w:rPr>
        <w:t xml:space="preserve">TPAR </w:t>
      </w:r>
      <w:r w:rsidRPr="00BF6432">
        <w:rPr>
          <w:b w:val="0"/>
          <w:bCs w:val="0"/>
          <w:sz w:val="22"/>
          <w:szCs w:val="22"/>
        </w:rPr>
        <w:t>lodgment process</w:t>
      </w:r>
    </w:p>
    <w:tbl>
      <w:tblPr>
        <w:tblStyle w:val="ATOTable"/>
        <w:tblW w:w="9356" w:type="dxa"/>
        <w:tblLayout w:type="fixed"/>
        <w:tblLook w:val="04A0" w:firstRow="1" w:lastRow="0" w:firstColumn="1" w:lastColumn="0" w:noHBand="0" w:noVBand="1"/>
      </w:tblPr>
      <w:tblGrid>
        <w:gridCol w:w="1816"/>
        <w:gridCol w:w="2165"/>
        <w:gridCol w:w="2092"/>
        <w:gridCol w:w="1073"/>
        <w:gridCol w:w="969"/>
        <w:gridCol w:w="1241"/>
      </w:tblGrid>
      <w:tr w:rsidR="009F7481" w:rsidRPr="00BF6432" w14:paraId="27B1AD9F" w14:textId="77777777" w:rsidTr="005203E9">
        <w:trPr>
          <w:tblHeader/>
        </w:trPr>
        <w:tc>
          <w:tcPr>
            <w:tcW w:w="181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E10974" w14:textId="77777777" w:rsidR="009F7481" w:rsidRPr="00BF6432" w:rsidRDefault="009F7481" w:rsidP="00901390">
            <w:pPr>
              <w:pStyle w:val="Bullet2"/>
              <w:keepLines/>
              <w:numPr>
                <w:ilvl w:val="0"/>
                <w:numId w:val="0"/>
              </w:numPr>
              <w:tabs>
                <w:tab w:val="left" w:pos="720"/>
              </w:tabs>
              <w:jc w:val="both"/>
              <w:rPr>
                <w:szCs w:val="22"/>
              </w:rPr>
            </w:pPr>
            <w:bookmarkStart w:id="78" w:name="_Hlk109816143"/>
            <w:bookmarkEnd w:id="77"/>
            <w:r w:rsidRPr="00BF6432">
              <w:rPr>
                <w:szCs w:val="22"/>
              </w:rPr>
              <w:t>Service</w:t>
            </w:r>
          </w:p>
        </w:tc>
        <w:tc>
          <w:tcPr>
            <w:tcW w:w="21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3448C9" w14:textId="77777777" w:rsidR="009F7481" w:rsidRPr="00BF6432" w:rsidRDefault="009F7481" w:rsidP="00901390">
            <w:pPr>
              <w:pStyle w:val="Bullet2"/>
              <w:keepLines/>
              <w:numPr>
                <w:ilvl w:val="0"/>
                <w:numId w:val="0"/>
              </w:numPr>
              <w:tabs>
                <w:tab w:val="left" w:pos="720"/>
              </w:tabs>
              <w:jc w:val="both"/>
              <w:rPr>
                <w:rStyle w:val="BodyTextChar1"/>
                <w:szCs w:val="22"/>
              </w:rPr>
            </w:pPr>
            <w:r w:rsidRPr="00BF6432">
              <w:rPr>
                <w:rStyle w:val="BodyTextChar1"/>
                <w:szCs w:val="22"/>
              </w:rPr>
              <w:t>Interaction</w:t>
            </w:r>
          </w:p>
        </w:tc>
        <w:tc>
          <w:tcPr>
            <w:tcW w:w="20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D90FD9" w14:textId="77777777" w:rsidR="009F7481" w:rsidRPr="00BF6432" w:rsidRDefault="009F7481" w:rsidP="00901390">
            <w:pPr>
              <w:pStyle w:val="Bullet2"/>
              <w:keepLines/>
              <w:numPr>
                <w:ilvl w:val="0"/>
                <w:numId w:val="0"/>
              </w:numPr>
              <w:tabs>
                <w:tab w:val="left" w:pos="720"/>
              </w:tabs>
              <w:jc w:val="both"/>
              <w:rPr>
                <w:rStyle w:val="BodyTextChar1"/>
                <w:szCs w:val="22"/>
              </w:rPr>
            </w:pPr>
            <w:r w:rsidRPr="00BF6432">
              <w:rPr>
                <w:rStyle w:val="BodyTextChar1"/>
                <w:szCs w:val="22"/>
              </w:rPr>
              <w:t>Detail</w:t>
            </w:r>
          </w:p>
        </w:tc>
        <w:tc>
          <w:tcPr>
            <w:tcW w:w="10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41E6F3" w14:textId="77777777" w:rsidR="009F7481" w:rsidRPr="00BF6432" w:rsidRDefault="009F7481" w:rsidP="00901390">
            <w:pPr>
              <w:pStyle w:val="Bullet2"/>
              <w:keepLines/>
              <w:numPr>
                <w:ilvl w:val="0"/>
                <w:numId w:val="0"/>
              </w:numPr>
              <w:tabs>
                <w:tab w:val="left" w:pos="720"/>
              </w:tabs>
              <w:jc w:val="both"/>
              <w:rPr>
                <w:rStyle w:val="BodyTextChar1"/>
                <w:szCs w:val="22"/>
              </w:rPr>
            </w:pPr>
            <w:r w:rsidRPr="00BF6432">
              <w:rPr>
                <w:rStyle w:val="BodyTextChar1"/>
                <w:szCs w:val="22"/>
              </w:rPr>
              <w:t>Single</w:t>
            </w:r>
          </w:p>
        </w:tc>
        <w:tc>
          <w:tcPr>
            <w:tcW w:w="96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45E06D" w14:textId="77777777" w:rsidR="009F7481" w:rsidRPr="00BF6432" w:rsidRDefault="009F7481" w:rsidP="00901390">
            <w:pPr>
              <w:pStyle w:val="Bullet2"/>
              <w:keepLines/>
              <w:numPr>
                <w:ilvl w:val="0"/>
                <w:numId w:val="0"/>
              </w:numPr>
              <w:tabs>
                <w:tab w:val="left" w:pos="720"/>
              </w:tabs>
              <w:jc w:val="both"/>
              <w:rPr>
                <w:rStyle w:val="BodyTextChar1"/>
                <w:szCs w:val="22"/>
              </w:rPr>
            </w:pPr>
            <w:r w:rsidRPr="00BF6432">
              <w:rPr>
                <w:rStyle w:val="BodyTextChar1"/>
                <w:szCs w:val="22"/>
              </w:rPr>
              <w:t>Batch</w:t>
            </w:r>
          </w:p>
        </w:tc>
        <w:tc>
          <w:tcPr>
            <w:tcW w:w="124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9BFA1DE" w14:textId="77777777" w:rsidR="009F7481" w:rsidRPr="00BF6432" w:rsidRDefault="009F7481" w:rsidP="00901390">
            <w:pPr>
              <w:pStyle w:val="Bullet2"/>
              <w:keepLines/>
              <w:numPr>
                <w:ilvl w:val="0"/>
                <w:numId w:val="0"/>
              </w:numPr>
              <w:tabs>
                <w:tab w:val="left" w:pos="720"/>
              </w:tabs>
              <w:jc w:val="both"/>
              <w:rPr>
                <w:rStyle w:val="BodyTextChar1"/>
                <w:szCs w:val="22"/>
              </w:rPr>
            </w:pPr>
            <w:r w:rsidRPr="00BF6432">
              <w:rPr>
                <w:rStyle w:val="BodyTextChar1"/>
                <w:szCs w:val="22"/>
              </w:rPr>
              <w:t>Optional</w:t>
            </w:r>
          </w:p>
        </w:tc>
      </w:tr>
      <w:tr w:rsidR="009F7481" w:rsidRPr="003E2B81" w14:paraId="2E04AC1F" w14:textId="77777777" w:rsidTr="009B4319">
        <w:tc>
          <w:tcPr>
            <w:tcW w:w="1816" w:type="dxa"/>
            <w:tcBorders>
              <w:top w:val="single" w:sz="4" w:space="0" w:color="auto"/>
              <w:left w:val="single" w:sz="4" w:space="0" w:color="auto"/>
              <w:right w:val="single" w:sz="4" w:space="0" w:color="auto"/>
            </w:tcBorders>
          </w:tcPr>
          <w:p w14:paraId="665E7CC8" w14:textId="494ADC85" w:rsidR="009F7481" w:rsidRPr="00C754C5" w:rsidRDefault="002F4ED7" w:rsidP="00901390">
            <w:pPr>
              <w:pStyle w:val="Bullet2"/>
              <w:keepLines/>
              <w:numPr>
                <w:ilvl w:val="0"/>
                <w:numId w:val="0"/>
              </w:numPr>
              <w:tabs>
                <w:tab w:val="left" w:pos="720"/>
              </w:tabs>
              <w:rPr>
                <w:rFonts w:cs="Arial"/>
                <w:bCs/>
                <w:color w:val="000000"/>
                <w:szCs w:val="22"/>
              </w:rPr>
            </w:pPr>
            <w:r>
              <w:rPr>
                <w:rFonts w:cs="Arial"/>
                <w:bCs/>
                <w:color w:val="000000"/>
                <w:szCs w:val="22"/>
              </w:rPr>
              <w:t>TPAR</w:t>
            </w:r>
          </w:p>
        </w:tc>
        <w:tc>
          <w:tcPr>
            <w:tcW w:w="2165" w:type="dxa"/>
            <w:tcBorders>
              <w:top w:val="single" w:sz="4" w:space="0" w:color="auto"/>
              <w:left w:val="single" w:sz="4" w:space="0" w:color="auto"/>
              <w:bottom w:val="single" w:sz="4" w:space="0" w:color="auto"/>
              <w:right w:val="single" w:sz="4" w:space="0" w:color="auto"/>
            </w:tcBorders>
          </w:tcPr>
          <w:p w14:paraId="51E6048F" w14:textId="5B798C68" w:rsidR="009F7481" w:rsidRPr="00BF6432" w:rsidRDefault="002F4ED7" w:rsidP="00901390">
            <w:pPr>
              <w:pStyle w:val="Bullet2"/>
              <w:keepLines/>
              <w:numPr>
                <w:ilvl w:val="0"/>
                <w:numId w:val="0"/>
              </w:numPr>
              <w:tabs>
                <w:tab w:val="left" w:pos="720"/>
              </w:tabs>
              <w:rPr>
                <w:rFonts w:cs="Arial"/>
                <w:bCs/>
                <w:iCs/>
                <w:color w:val="000000"/>
                <w:szCs w:val="22"/>
              </w:rPr>
            </w:pPr>
            <w:r w:rsidRPr="00BF6432">
              <w:rPr>
                <w:rFonts w:cs="Arial"/>
                <w:bCs/>
                <w:iCs/>
                <w:color w:val="000000"/>
                <w:szCs w:val="22"/>
              </w:rPr>
              <w:t>TPAR</w:t>
            </w:r>
            <w:r w:rsidR="009F7481" w:rsidRPr="00BF6432">
              <w:rPr>
                <w:rFonts w:cs="Arial"/>
                <w:bCs/>
                <w:iCs/>
                <w:color w:val="000000"/>
                <w:szCs w:val="22"/>
              </w:rPr>
              <w:t>.</w:t>
            </w:r>
            <w:r w:rsidRPr="00BF6432">
              <w:rPr>
                <w:rFonts w:cs="Arial"/>
                <w:bCs/>
                <w:iCs/>
                <w:color w:val="000000"/>
                <w:szCs w:val="22"/>
              </w:rPr>
              <w:t>Validate</w:t>
            </w:r>
          </w:p>
          <w:p w14:paraId="0049BE1D" w14:textId="77777777" w:rsidR="009F7481" w:rsidRPr="00A41F53" w:rsidRDefault="009F7481" w:rsidP="00901390">
            <w:pPr>
              <w:pStyle w:val="Bullet2"/>
              <w:keepLines/>
              <w:numPr>
                <w:ilvl w:val="0"/>
                <w:numId w:val="0"/>
              </w:numPr>
              <w:tabs>
                <w:tab w:val="left" w:pos="720"/>
              </w:tabs>
              <w:rPr>
                <w:rStyle w:val="BodyTextChar1"/>
                <w:iCs/>
                <w:szCs w:val="22"/>
              </w:rPr>
            </w:pPr>
          </w:p>
        </w:tc>
        <w:tc>
          <w:tcPr>
            <w:tcW w:w="2092" w:type="dxa"/>
            <w:tcBorders>
              <w:top w:val="single" w:sz="4" w:space="0" w:color="auto"/>
              <w:left w:val="single" w:sz="4" w:space="0" w:color="auto"/>
              <w:bottom w:val="single" w:sz="4" w:space="0" w:color="auto"/>
              <w:right w:val="single" w:sz="4" w:space="0" w:color="auto"/>
            </w:tcBorders>
          </w:tcPr>
          <w:p w14:paraId="280F220C" w14:textId="2F7E7DF7" w:rsidR="009F7481" w:rsidRPr="00C754C5" w:rsidRDefault="009F7481" w:rsidP="00901390">
            <w:pPr>
              <w:pStyle w:val="Bullet2"/>
              <w:keepLines/>
              <w:numPr>
                <w:ilvl w:val="0"/>
                <w:numId w:val="0"/>
              </w:numPr>
              <w:tabs>
                <w:tab w:val="left" w:pos="720"/>
              </w:tabs>
              <w:rPr>
                <w:rFonts w:cs="Arial"/>
                <w:color w:val="000000"/>
                <w:szCs w:val="22"/>
              </w:rPr>
            </w:pPr>
            <w:r w:rsidRPr="00C754C5">
              <w:rPr>
                <w:rFonts w:cs="Arial"/>
                <w:color w:val="000000"/>
                <w:szCs w:val="22"/>
              </w:rPr>
              <w:t xml:space="preserve">Validate </w:t>
            </w:r>
            <w:r w:rsidR="002F4ED7">
              <w:rPr>
                <w:rFonts w:cs="Arial"/>
                <w:color w:val="000000"/>
                <w:szCs w:val="22"/>
              </w:rPr>
              <w:t>TPAR</w:t>
            </w:r>
            <w:r w:rsidR="002F4ED7" w:rsidRPr="00C754C5">
              <w:rPr>
                <w:rFonts w:cs="Arial"/>
                <w:color w:val="000000"/>
                <w:szCs w:val="22"/>
              </w:rPr>
              <w:t xml:space="preserve"> </w:t>
            </w:r>
            <w:r w:rsidRPr="00C754C5">
              <w:rPr>
                <w:rFonts w:cs="Arial"/>
                <w:color w:val="000000"/>
                <w:szCs w:val="22"/>
              </w:rPr>
              <w:t xml:space="preserve">message before lodgment </w:t>
            </w:r>
          </w:p>
        </w:tc>
        <w:tc>
          <w:tcPr>
            <w:tcW w:w="1073" w:type="dxa"/>
            <w:tcBorders>
              <w:top w:val="single" w:sz="4" w:space="0" w:color="auto"/>
              <w:left w:val="single" w:sz="4" w:space="0" w:color="auto"/>
              <w:bottom w:val="single" w:sz="4" w:space="0" w:color="auto"/>
              <w:right w:val="single" w:sz="4" w:space="0" w:color="auto"/>
            </w:tcBorders>
            <w:hideMark/>
          </w:tcPr>
          <w:p w14:paraId="6799F316" w14:textId="22B33E54" w:rsidR="009F7481" w:rsidRPr="00C754C5" w:rsidRDefault="002F4ED7" w:rsidP="00901390">
            <w:pPr>
              <w:pStyle w:val="Bullet2"/>
              <w:keepLines/>
              <w:numPr>
                <w:ilvl w:val="0"/>
                <w:numId w:val="0"/>
              </w:numPr>
              <w:tabs>
                <w:tab w:val="left" w:pos="720"/>
              </w:tabs>
              <w:rPr>
                <w:rStyle w:val="BodyTextChar1"/>
                <w:szCs w:val="22"/>
              </w:rPr>
            </w:pPr>
            <w:r>
              <w:rPr>
                <w:rFonts w:cs="Arial"/>
                <w:color w:val="000000"/>
                <w:szCs w:val="22"/>
              </w:rPr>
              <w:t>N</w:t>
            </w:r>
          </w:p>
        </w:tc>
        <w:tc>
          <w:tcPr>
            <w:tcW w:w="969" w:type="dxa"/>
            <w:tcBorders>
              <w:top w:val="single" w:sz="4" w:space="0" w:color="auto"/>
              <w:left w:val="single" w:sz="4" w:space="0" w:color="auto"/>
              <w:bottom w:val="single" w:sz="4" w:space="0" w:color="auto"/>
              <w:right w:val="single" w:sz="4" w:space="0" w:color="auto"/>
            </w:tcBorders>
            <w:hideMark/>
          </w:tcPr>
          <w:p w14:paraId="180F7B38" w14:textId="77777777" w:rsidR="009F7481" w:rsidRPr="00C754C5" w:rsidRDefault="009F7481" w:rsidP="00901390">
            <w:pPr>
              <w:pStyle w:val="Bullet2"/>
              <w:keepLines/>
              <w:numPr>
                <w:ilvl w:val="0"/>
                <w:numId w:val="0"/>
              </w:numPr>
              <w:tabs>
                <w:tab w:val="left" w:pos="720"/>
              </w:tabs>
              <w:rPr>
                <w:rStyle w:val="BodyTextChar1"/>
                <w:szCs w:val="22"/>
              </w:rPr>
            </w:pPr>
            <w:r w:rsidRPr="00C754C5">
              <w:rPr>
                <w:rFonts w:cs="Arial"/>
                <w:color w:val="000000"/>
                <w:szCs w:val="22"/>
              </w:rPr>
              <w:t>Y</w:t>
            </w:r>
          </w:p>
        </w:tc>
        <w:tc>
          <w:tcPr>
            <w:tcW w:w="1241" w:type="dxa"/>
            <w:tcBorders>
              <w:top w:val="single" w:sz="4" w:space="0" w:color="auto"/>
              <w:left w:val="single" w:sz="4" w:space="0" w:color="auto"/>
              <w:bottom w:val="single" w:sz="4" w:space="0" w:color="auto"/>
              <w:right w:val="single" w:sz="4" w:space="0" w:color="auto"/>
            </w:tcBorders>
            <w:hideMark/>
          </w:tcPr>
          <w:p w14:paraId="24F6E039" w14:textId="77777777" w:rsidR="009F7481" w:rsidRPr="00C754C5" w:rsidRDefault="009F7481" w:rsidP="00901390">
            <w:pPr>
              <w:pStyle w:val="Bullet2"/>
              <w:keepLines/>
              <w:numPr>
                <w:ilvl w:val="0"/>
                <w:numId w:val="0"/>
              </w:numPr>
              <w:tabs>
                <w:tab w:val="left" w:pos="720"/>
              </w:tabs>
              <w:rPr>
                <w:rStyle w:val="BodyTextChar1"/>
                <w:szCs w:val="22"/>
              </w:rPr>
            </w:pPr>
            <w:r w:rsidRPr="00C754C5">
              <w:rPr>
                <w:rStyle w:val="BodyTextChar1"/>
                <w:szCs w:val="22"/>
              </w:rPr>
              <w:t>Y</w:t>
            </w:r>
          </w:p>
        </w:tc>
      </w:tr>
      <w:tr w:rsidR="009F7481" w:rsidRPr="003E2B81" w14:paraId="34818D1E" w14:textId="77777777" w:rsidTr="009B4319">
        <w:tc>
          <w:tcPr>
            <w:tcW w:w="1816" w:type="dxa"/>
            <w:tcBorders>
              <w:left w:val="single" w:sz="4" w:space="0" w:color="auto"/>
              <w:bottom w:val="single" w:sz="4" w:space="0" w:color="auto"/>
              <w:right w:val="single" w:sz="4" w:space="0" w:color="auto"/>
            </w:tcBorders>
          </w:tcPr>
          <w:p w14:paraId="044BEAB2" w14:textId="57FAC649" w:rsidR="009F7481" w:rsidRPr="00C754C5" w:rsidRDefault="002F4ED7" w:rsidP="00901390">
            <w:pPr>
              <w:pStyle w:val="Bullet2"/>
              <w:keepLines/>
              <w:numPr>
                <w:ilvl w:val="0"/>
                <w:numId w:val="0"/>
              </w:numPr>
              <w:tabs>
                <w:tab w:val="left" w:pos="720"/>
              </w:tabs>
              <w:rPr>
                <w:rFonts w:cs="Arial"/>
                <w:bCs/>
                <w:color w:val="000000"/>
                <w:szCs w:val="22"/>
              </w:rPr>
            </w:pPr>
            <w:r>
              <w:rPr>
                <w:rFonts w:cs="Arial"/>
                <w:bCs/>
                <w:color w:val="000000"/>
                <w:szCs w:val="22"/>
              </w:rPr>
              <w:t>TPAR</w:t>
            </w:r>
          </w:p>
        </w:tc>
        <w:tc>
          <w:tcPr>
            <w:tcW w:w="2165" w:type="dxa"/>
            <w:tcBorders>
              <w:top w:val="single" w:sz="4" w:space="0" w:color="auto"/>
              <w:left w:val="single" w:sz="4" w:space="0" w:color="auto"/>
              <w:bottom w:val="single" w:sz="4" w:space="0" w:color="auto"/>
              <w:right w:val="single" w:sz="4" w:space="0" w:color="auto"/>
            </w:tcBorders>
          </w:tcPr>
          <w:p w14:paraId="5208503B" w14:textId="23164B9E" w:rsidR="009F7481" w:rsidRPr="00A41F53" w:rsidRDefault="002F4ED7">
            <w:pPr>
              <w:pStyle w:val="Bullet2"/>
              <w:keepLines/>
              <w:numPr>
                <w:ilvl w:val="0"/>
                <w:numId w:val="0"/>
              </w:numPr>
              <w:tabs>
                <w:tab w:val="left" w:pos="720"/>
              </w:tabs>
              <w:rPr>
                <w:rFonts w:cs="Arial"/>
                <w:iCs/>
                <w:color w:val="000000"/>
                <w:szCs w:val="22"/>
              </w:rPr>
            </w:pPr>
            <w:r w:rsidRPr="00BF6432">
              <w:rPr>
                <w:rFonts w:cs="Arial"/>
                <w:bCs/>
                <w:iCs/>
                <w:color w:val="000000"/>
                <w:szCs w:val="22"/>
              </w:rPr>
              <w:t>TPAR.Submit</w:t>
            </w:r>
          </w:p>
        </w:tc>
        <w:tc>
          <w:tcPr>
            <w:tcW w:w="2092" w:type="dxa"/>
            <w:tcBorders>
              <w:top w:val="single" w:sz="4" w:space="0" w:color="auto"/>
              <w:left w:val="single" w:sz="4" w:space="0" w:color="auto"/>
              <w:bottom w:val="single" w:sz="4" w:space="0" w:color="auto"/>
              <w:right w:val="single" w:sz="4" w:space="0" w:color="auto"/>
            </w:tcBorders>
          </w:tcPr>
          <w:p w14:paraId="23FAD6DB" w14:textId="1272C277" w:rsidR="009F7481" w:rsidRPr="00C754C5" w:rsidRDefault="009F7481" w:rsidP="00901390">
            <w:pPr>
              <w:pStyle w:val="Bullet2"/>
              <w:keepLines/>
              <w:numPr>
                <w:ilvl w:val="0"/>
                <w:numId w:val="0"/>
              </w:numPr>
              <w:tabs>
                <w:tab w:val="left" w:pos="720"/>
              </w:tabs>
              <w:rPr>
                <w:rFonts w:cs="Arial"/>
                <w:color w:val="000000"/>
                <w:szCs w:val="22"/>
              </w:rPr>
            </w:pPr>
            <w:r w:rsidRPr="00C754C5">
              <w:rPr>
                <w:rFonts w:cs="Arial"/>
                <w:color w:val="000000"/>
                <w:szCs w:val="22"/>
              </w:rPr>
              <w:t xml:space="preserve">Lodge </w:t>
            </w:r>
            <w:r w:rsidR="002F4ED7">
              <w:rPr>
                <w:rFonts w:cs="Arial"/>
                <w:color w:val="000000"/>
                <w:szCs w:val="22"/>
              </w:rPr>
              <w:t>TPAR</w:t>
            </w:r>
            <w:r w:rsidR="002F4ED7" w:rsidRPr="00C754C5">
              <w:rPr>
                <w:rFonts w:cs="Arial"/>
                <w:color w:val="000000"/>
                <w:szCs w:val="22"/>
              </w:rPr>
              <w:t xml:space="preserve"> </w:t>
            </w:r>
          </w:p>
        </w:tc>
        <w:tc>
          <w:tcPr>
            <w:tcW w:w="1073" w:type="dxa"/>
            <w:tcBorders>
              <w:top w:val="single" w:sz="4" w:space="0" w:color="auto"/>
              <w:left w:val="single" w:sz="4" w:space="0" w:color="auto"/>
              <w:bottom w:val="single" w:sz="4" w:space="0" w:color="auto"/>
              <w:right w:val="single" w:sz="4" w:space="0" w:color="auto"/>
            </w:tcBorders>
          </w:tcPr>
          <w:p w14:paraId="691146DA" w14:textId="579AFB83" w:rsidR="009F7481" w:rsidRPr="00C754C5" w:rsidRDefault="002F4ED7" w:rsidP="00901390">
            <w:pPr>
              <w:pStyle w:val="Bullet2"/>
              <w:keepLines/>
              <w:numPr>
                <w:ilvl w:val="0"/>
                <w:numId w:val="0"/>
              </w:numPr>
              <w:tabs>
                <w:tab w:val="left" w:pos="720"/>
              </w:tabs>
              <w:rPr>
                <w:rFonts w:cs="Arial"/>
                <w:color w:val="000000"/>
                <w:szCs w:val="22"/>
              </w:rPr>
            </w:pPr>
            <w:r>
              <w:rPr>
                <w:rFonts w:cs="Arial"/>
                <w:color w:val="000000"/>
                <w:szCs w:val="22"/>
              </w:rPr>
              <w:t>N</w:t>
            </w:r>
          </w:p>
        </w:tc>
        <w:tc>
          <w:tcPr>
            <w:tcW w:w="969" w:type="dxa"/>
            <w:tcBorders>
              <w:top w:val="single" w:sz="4" w:space="0" w:color="auto"/>
              <w:left w:val="single" w:sz="4" w:space="0" w:color="auto"/>
              <w:bottom w:val="single" w:sz="4" w:space="0" w:color="auto"/>
              <w:right w:val="single" w:sz="4" w:space="0" w:color="auto"/>
            </w:tcBorders>
          </w:tcPr>
          <w:p w14:paraId="56D81B58" w14:textId="77777777" w:rsidR="009F7481" w:rsidRPr="00C754C5" w:rsidRDefault="009F7481" w:rsidP="00901390">
            <w:pPr>
              <w:pStyle w:val="Bullet2"/>
              <w:keepLines/>
              <w:numPr>
                <w:ilvl w:val="0"/>
                <w:numId w:val="0"/>
              </w:numPr>
              <w:tabs>
                <w:tab w:val="left" w:pos="720"/>
              </w:tabs>
              <w:rPr>
                <w:rFonts w:cs="Arial"/>
                <w:color w:val="000000"/>
                <w:szCs w:val="22"/>
              </w:rPr>
            </w:pPr>
            <w:r w:rsidRPr="00C754C5">
              <w:rPr>
                <w:rFonts w:cs="Arial"/>
                <w:color w:val="000000"/>
                <w:szCs w:val="22"/>
              </w:rPr>
              <w:t>Y</w:t>
            </w:r>
          </w:p>
        </w:tc>
        <w:tc>
          <w:tcPr>
            <w:tcW w:w="1241" w:type="dxa"/>
            <w:tcBorders>
              <w:top w:val="single" w:sz="4" w:space="0" w:color="auto"/>
              <w:left w:val="single" w:sz="4" w:space="0" w:color="auto"/>
              <w:bottom w:val="single" w:sz="4" w:space="0" w:color="auto"/>
              <w:right w:val="single" w:sz="4" w:space="0" w:color="auto"/>
            </w:tcBorders>
          </w:tcPr>
          <w:p w14:paraId="3B9DEC5D" w14:textId="77777777" w:rsidR="009F7481" w:rsidRPr="00C754C5" w:rsidRDefault="009F7481" w:rsidP="00901390">
            <w:pPr>
              <w:pStyle w:val="Bullet2"/>
              <w:keepLines/>
              <w:numPr>
                <w:ilvl w:val="0"/>
                <w:numId w:val="0"/>
              </w:numPr>
              <w:tabs>
                <w:tab w:val="left" w:pos="720"/>
              </w:tabs>
              <w:rPr>
                <w:rStyle w:val="BodyTextChar1"/>
                <w:szCs w:val="22"/>
              </w:rPr>
            </w:pPr>
            <w:r w:rsidRPr="00C754C5">
              <w:rPr>
                <w:rStyle w:val="BodyTextChar1"/>
                <w:szCs w:val="22"/>
              </w:rPr>
              <w:t>N</w:t>
            </w:r>
          </w:p>
        </w:tc>
      </w:tr>
    </w:tbl>
    <w:p w14:paraId="22B3B24C" w14:textId="5A33E55B" w:rsidR="00447CB6" w:rsidRDefault="00447CB6" w:rsidP="00447CB6">
      <w:pPr>
        <w:pStyle w:val="Caption"/>
        <w:rPr>
          <w:sz w:val="22"/>
          <w:szCs w:val="22"/>
        </w:rPr>
      </w:pPr>
      <w:bookmarkStart w:id="79" w:name="_Toc410142394"/>
      <w:bookmarkStart w:id="80" w:name="_Toc410142395"/>
      <w:bookmarkStart w:id="81" w:name="_Toc410142396"/>
      <w:bookmarkStart w:id="82" w:name="_Toc410142397"/>
      <w:bookmarkEnd w:id="79"/>
      <w:bookmarkEnd w:id="80"/>
      <w:bookmarkEnd w:id="81"/>
      <w:bookmarkEnd w:id="82"/>
      <w:bookmarkEnd w:id="76"/>
      <w:bookmarkEnd w:id="78"/>
    </w:p>
    <w:p w14:paraId="13F2C401" w14:textId="77777777" w:rsidR="00E74E65" w:rsidRPr="00E74E65" w:rsidRDefault="00E74E65" w:rsidP="00E74E65"/>
    <w:p w14:paraId="56428CF0" w14:textId="538BC1DB" w:rsidR="00A66A0C" w:rsidRDefault="00A66A0C" w:rsidP="00776DED">
      <w:pPr>
        <w:pStyle w:val="Head1"/>
      </w:pPr>
      <w:bookmarkStart w:id="83" w:name="_Toc405989456"/>
      <w:bookmarkStart w:id="84" w:name="_Toc405989504"/>
      <w:bookmarkStart w:id="85" w:name="_Toc405993405"/>
      <w:bookmarkStart w:id="86" w:name="_Toc405995092"/>
      <w:bookmarkStart w:id="87" w:name="_Toc405995237"/>
      <w:bookmarkStart w:id="88" w:name="_Toc405996900"/>
      <w:bookmarkStart w:id="89" w:name="_Toc405989457"/>
      <w:bookmarkStart w:id="90" w:name="_Toc405989505"/>
      <w:bookmarkStart w:id="91" w:name="_Toc405993406"/>
      <w:bookmarkStart w:id="92" w:name="_Toc405995093"/>
      <w:bookmarkStart w:id="93" w:name="_Toc405995238"/>
      <w:bookmarkStart w:id="94" w:name="_Toc405996901"/>
      <w:bookmarkStart w:id="95" w:name="_Toc405989458"/>
      <w:bookmarkStart w:id="96" w:name="_Toc405989506"/>
      <w:bookmarkStart w:id="97" w:name="_Toc405993407"/>
      <w:bookmarkStart w:id="98" w:name="_Toc405995094"/>
      <w:bookmarkStart w:id="99" w:name="_Toc405995239"/>
      <w:bookmarkStart w:id="100" w:name="_Toc405996902"/>
      <w:bookmarkStart w:id="101" w:name="_Toc411593595"/>
      <w:bookmarkStart w:id="102" w:name="_Toc11389469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A</w:t>
      </w:r>
      <w:r w:rsidR="007F0637">
        <w:rPr>
          <w:caps w:val="0"/>
        </w:rPr>
        <w:t>uthorisation</w:t>
      </w:r>
      <w:bookmarkEnd w:id="101"/>
      <w:bookmarkEnd w:id="102"/>
    </w:p>
    <w:p w14:paraId="5225A60F" w14:textId="7D42CFA9" w:rsidR="00A66A0C" w:rsidRDefault="00A66A0C" w:rsidP="003567A7">
      <w:pPr>
        <w:pStyle w:val="Head2"/>
      </w:pPr>
      <w:bookmarkStart w:id="103" w:name="_Toc411593596"/>
      <w:bookmarkStart w:id="104" w:name="_Toc113894700"/>
      <w:r>
        <w:t>I</w:t>
      </w:r>
      <w:r w:rsidR="00FD056E">
        <w:t>ntermediary relationship</w:t>
      </w:r>
      <w:bookmarkEnd w:id="103"/>
      <w:bookmarkEnd w:id="104"/>
    </w:p>
    <w:p w14:paraId="0960633F" w14:textId="5624E712" w:rsidR="00A66A0C" w:rsidRPr="00C754C5" w:rsidRDefault="00131A8B" w:rsidP="00A66A0C">
      <w:pPr>
        <w:spacing w:after="120"/>
        <w:rPr>
          <w:rStyle w:val="BodyTextChar1"/>
          <w:szCs w:val="22"/>
        </w:rPr>
      </w:pPr>
      <w:r w:rsidRPr="00C754C5">
        <w:rPr>
          <w:rStyle w:val="BodyTextChar1"/>
          <w:szCs w:val="22"/>
        </w:rPr>
        <w:t xml:space="preserve">The SBR services an intermediary can use on behalf of their clients depends on the activity being undertaken and whether the intermediary has a relationship with the client. An intermediary must have the appropriate </w:t>
      </w:r>
      <w:r w:rsidR="006C48C1" w:rsidRPr="008040DB">
        <w:rPr>
          <w:rStyle w:val="BodyTextChar1"/>
          <w:szCs w:val="22"/>
        </w:rPr>
        <w:t>authori</w:t>
      </w:r>
      <w:r w:rsidR="00D20DDA">
        <w:rPr>
          <w:rStyle w:val="BodyTextChar1"/>
          <w:szCs w:val="22"/>
        </w:rPr>
        <w:t>s</w:t>
      </w:r>
      <w:r w:rsidR="006C48C1" w:rsidRPr="008040DB">
        <w:rPr>
          <w:rStyle w:val="BodyTextChar1"/>
          <w:szCs w:val="22"/>
        </w:rPr>
        <w:t>ation</w:t>
      </w:r>
      <w:r w:rsidRPr="00C754C5">
        <w:rPr>
          <w:rStyle w:val="BodyTextChar1"/>
          <w:szCs w:val="22"/>
        </w:rPr>
        <w:t xml:space="preserve"> for the interaction being performed on behalf of the taxpayer recorded in ATO systems.</w:t>
      </w:r>
      <w:r w:rsidR="00A66A0C" w:rsidRPr="00C754C5">
        <w:rPr>
          <w:rStyle w:val="BodyTextChar1"/>
          <w:szCs w:val="22"/>
        </w:rPr>
        <w:t xml:space="preserve"> </w:t>
      </w:r>
    </w:p>
    <w:p w14:paraId="51CC1A8A" w14:textId="6F8912CC" w:rsidR="006C5859" w:rsidRPr="00C754C5" w:rsidRDefault="00447CB6" w:rsidP="006C5859">
      <w:pPr>
        <w:rPr>
          <w:rStyle w:val="BodyTextChar1"/>
          <w:szCs w:val="22"/>
        </w:rPr>
      </w:pPr>
      <w:r>
        <w:rPr>
          <w:rStyle w:val="BodyTextChar1"/>
          <w:szCs w:val="22"/>
        </w:rPr>
        <w:t>For</w:t>
      </w:r>
      <w:r w:rsidR="006C5859" w:rsidRPr="00C754C5">
        <w:rPr>
          <w:rStyle w:val="BodyTextChar1"/>
          <w:szCs w:val="22"/>
        </w:rPr>
        <w:t xml:space="preserve"> the </w:t>
      </w:r>
      <w:r w:rsidR="00B156DC">
        <w:rPr>
          <w:rStyle w:val="BodyTextChar1"/>
          <w:szCs w:val="22"/>
        </w:rPr>
        <w:t>TPAR</w:t>
      </w:r>
      <w:r w:rsidR="00B156DC" w:rsidRPr="00C754C5">
        <w:rPr>
          <w:rStyle w:val="BodyTextChar1"/>
          <w:szCs w:val="22"/>
        </w:rPr>
        <w:t xml:space="preserve"> </w:t>
      </w:r>
      <w:r w:rsidR="006C5859" w:rsidRPr="00C754C5">
        <w:rPr>
          <w:rStyle w:val="BodyTextChar1"/>
          <w:szCs w:val="22"/>
        </w:rPr>
        <w:t>interaction, a</w:t>
      </w:r>
      <w:r w:rsidR="00C517B9" w:rsidRPr="00C754C5">
        <w:rPr>
          <w:rStyle w:val="BodyTextChar1"/>
          <w:szCs w:val="22"/>
        </w:rPr>
        <w:t>n</w:t>
      </w:r>
      <w:r w:rsidR="006C5859" w:rsidRPr="00C754C5">
        <w:rPr>
          <w:rStyle w:val="BodyTextChar1"/>
          <w:szCs w:val="22"/>
        </w:rPr>
        <w:t xml:space="preserve"> intermediary must be appointed by a business in Access Manager to use the available services on their behalf.</w:t>
      </w:r>
      <w:r>
        <w:rPr>
          <w:rStyle w:val="BodyTextChar1"/>
          <w:szCs w:val="22"/>
        </w:rPr>
        <w:t xml:space="preserve"> </w:t>
      </w:r>
      <w:r w:rsidRPr="00C754C5">
        <w:rPr>
          <w:szCs w:val="22"/>
        </w:rPr>
        <w:t xml:space="preserve">In relation to the tax agent to taxpayer relationship, system level linkages are a fundamental precondition to interacting with SBR for </w:t>
      </w:r>
      <w:r w:rsidR="00B156DC">
        <w:rPr>
          <w:szCs w:val="22"/>
        </w:rPr>
        <w:t>TPAR</w:t>
      </w:r>
      <w:r w:rsidR="00B156DC" w:rsidRPr="00C754C5">
        <w:rPr>
          <w:szCs w:val="22"/>
        </w:rPr>
        <w:t xml:space="preserve"> </w:t>
      </w:r>
      <w:r w:rsidRPr="00C754C5">
        <w:rPr>
          <w:szCs w:val="22"/>
        </w:rPr>
        <w:t>interactions</w:t>
      </w:r>
      <w:r>
        <w:rPr>
          <w:szCs w:val="22"/>
        </w:rPr>
        <w:t>.</w:t>
      </w:r>
    </w:p>
    <w:p w14:paraId="1E22F1E2" w14:textId="77777777" w:rsidR="00BF5A99" w:rsidRPr="00C754C5" w:rsidRDefault="00BF5A99" w:rsidP="00671D22">
      <w:pPr>
        <w:pStyle w:val="Content"/>
        <w:spacing w:before="0" w:after="120"/>
        <w:rPr>
          <w:rStyle w:val="BodyTextChar1"/>
          <w:rFonts w:cs="Times New Roman"/>
          <w:szCs w:val="22"/>
        </w:rPr>
      </w:pPr>
    </w:p>
    <w:p w14:paraId="08820F45" w14:textId="1ADCE414" w:rsidR="008C5E18" w:rsidRPr="003567A7" w:rsidRDefault="00A66A0C" w:rsidP="00437CBF">
      <w:pPr>
        <w:spacing w:after="120"/>
        <w:rPr>
          <w:rFonts w:cs="Arial"/>
          <w:szCs w:val="22"/>
        </w:rPr>
      </w:pPr>
      <w:r w:rsidRPr="005203E9">
        <w:rPr>
          <w:rFonts w:cs="Arial"/>
          <w:szCs w:val="22"/>
        </w:rPr>
        <w:t>Note</w:t>
      </w:r>
      <w:r w:rsidRPr="003567A7">
        <w:rPr>
          <w:rFonts w:cs="Arial"/>
          <w:b/>
          <w:bCs/>
          <w:szCs w:val="22"/>
        </w:rPr>
        <w:t>:</w:t>
      </w:r>
      <w:r w:rsidR="00A54ADE" w:rsidRPr="003567A7">
        <w:rPr>
          <w:rFonts w:cs="Arial"/>
          <w:szCs w:val="22"/>
        </w:rPr>
        <w:t xml:space="preserve"> </w:t>
      </w:r>
      <w:r w:rsidRPr="003567A7">
        <w:rPr>
          <w:rFonts w:cs="Arial"/>
          <w:szCs w:val="22"/>
        </w:rPr>
        <w:t xml:space="preserve">If the relationship </w:t>
      </w:r>
      <w:r w:rsidR="00D20DDA" w:rsidRPr="003567A7">
        <w:rPr>
          <w:rFonts w:cs="Arial"/>
          <w:szCs w:val="22"/>
        </w:rPr>
        <w:t>doesn’t</w:t>
      </w:r>
      <w:r w:rsidRPr="003567A7">
        <w:rPr>
          <w:rFonts w:cs="Arial"/>
          <w:szCs w:val="22"/>
        </w:rPr>
        <w:t xml:space="preserve"> exist, the </w:t>
      </w:r>
      <w:r w:rsidR="00193344" w:rsidRPr="003567A7">
        <w:rPr>
          <w:rFonts w:cs="Arial"/>
          <w:szCs w:val="22"/>
        </w:rPr>
        <w:t xml:space="preserve">Client Update Relationship </w:t>
      </w:r>
      <w:r w:rsidR="00181BA5">
        <w:rPr>
          <w:rFonts w:cs="Arial"/>
          <w:szCs w:val="22"/>
        </w:rPr>
        <w:t xml:space="preserve">(CUREL) </w:t>
      </w:r>
      <w:r w:rsidR="00193344" w:rsidRPr="003567A7">
        <w:rPr>
          <w:rFonts w:cs="Arial"/>
          <w:szCs w:val="22"/>
        </w:rPr>
        <w:t xml:space="preserve">services can be used to establish </w:t>
      </w:r>
      <w:r w:rsidR="003567A7">
        <w:rPr>
          <w:rFonts w:cs="Arial"/>
          <w:szCs w:val="22"/>
        </w:rPr>
        <w:t xml:space="preserve">a link </w:t>
      </w:r>
      <w:r w:rsidR="00193344" w:rsidRPr="003567A7">
        <w:rPr>
          <w:rFonts w:cs="Arial"/>
          <w:szCs w:val="22"/>
        </w:rPr>
        <w:t>between the tax agent and the taxpayer.</w:t>
      </w:r>
    </w:p>
    <w:p w14:paraId="58F2F075" w14:textId="7C6F4F0C" w:rsidR="008C5E18" w:rsidRPr="003567A7" w:rsidRDefault="00447CB6" w:rsidP="00A66A0C">
      <w:pPr>
        <w:spacing w:after="120"/>
        <w:ind w:left="709" w:hanging="709"/>
        <w:rPr>
          <w:rStyle w:val="BodyTextChar1"/>
          <w:rFonts w:cs="Arial"/>
          <w:b/>
          <w:bCs/>
          <w:color w:val="404040" w:themeColor="text1" w:themeTint="BF"/>
          <w:szCs w:val="22"/>
        </w:rPr>
      </w:pPr>
      <w:r w:rsidRPr="003567A7">
        <w:rPr>
          <w:rStyle w:val="BodyTextChar1"/>
          <w:rFonts w:cs="Arial"/>
          <w:szCs w:val="22"/>
        </w:rPr>
        <w:t>For further information</w:t>
      </w:r>
      <w:r w:rsidR="000F5C9A">
        <w:rPr>
          <w:rStyle w:val="BodyTextChar1"/>
          <w:rFonts w:cs="Arial"/>
          <w:szCs w:val="22"/>
        </w:rPr>
        <w:t>:</w:t>
      </w:r>
      <w:r w:rsidR="003567A7">
        <w:rPr>
          <w:rStyle w:val="BodyTextChar1"/>
          <w:rFonts w:cs="Arial"/>
          <w:szCs w:val="22"/>
        </w:rPr>
        <w:t xml:space="preserve"> </w:t>
      </w:r>
    </w:p>
    <w:p w14:paraId="7E74D666" w14:textId="0CBC47E9" w:rsidR="007560AC" w:rsidRDefault="007560AC" w:rsidP="007560AC">
      <w:pPr>
        <w:pStyle w:val="Maintext"/>
        <w:numPr>
          <w:ilvl w:val="0"/>
          <w:numId w:val="25"/>
        </w:numPr>
        <w:rPr>
          <w:szCs w:val="22"/>
        </w:rPr>
      </w:pPr>
      <w:r w:rsidRPr="00BF6432">
        <w:rPr>
          <w:szCs w:val="22"/>
        </w:rPr>
        <w:t>ATO Common Business Implementation and Taxpayer Declaration Guide</w:t>
      </w:r>
      <w:r w:rsidR="00B16E50" w:rsidRPr="00BF6432">
        <w:rPr>
          <w:szCs w:val="22"/>
        </w:rPr>
        <w:t>.</w:t>
      </w:r>
    </w:p>
    <w:p w14:paraId="2E1F5F75" w14:textId="0AB4E75C" w:rsidR="00E74E65" w:rsidRDefault="00E74E65" w:rsidP="00E74E65">
      <w:pPr>
        <w:pStyle w:val="Maintext"/>
        <w:rPr>
          <w:szCs w:val="22"/>
        </w:rPr>
      </w:pPr>
    </w:p>
    <w:p w14:paraId="591C65CC" w14:textId="713570EB" w:rsidR="00E74E65" w:rsidRDefault="00E74E65" w:rsidP="00E74E65">
      <w:pPr>
        <w:pStyle w:val="Maintext"/>
        <w:rPr>
          <w:szCs w:val="22"/>
        </w:rPr>
      </w:pPr>
    </w:p>
    <w:p w14:paraId="2A39EDA5" w14:textId="32C34594" w:rsidR="00E74E65" w:rsidRDefault="00E74E65" w:rsidP="00E74E65">
      <w:pPr>
        <w:pStyle w:val="Maintext"/>
        <w:rPr>
          <w:szCs w:val="22"/>
        </w:rPr>
      </w:pPr>
    </w:p>
    <w:p w14:paraId="08510F51" w14:textId="4DC5F57C" w:rsidR="00E74E65" w:rsidRDefault="00E74E65" w:rsidP="00E74E65">
      <w:pPr>
        <w:pStyle w:val="Maintext"/>
        <w:rPr>
          <w:szCs w:val="22"/>
        </w:rPr>
      </w:pPr>
    </w:p>
    <w:p w14:paraId="3E67707C" w14:textId="541744A8" w:rsidR="00E74E65" w:rsidRDefault="00E74E65" w:rsidP="00E74E65">
      <w:pPr>
        <w:pStyle w:val="Maintext"/>
        <w:rPr>
          <w:szCs w:val="22"/>
        </w:rPr>
      </w:pPr>
    </w:p>
    <w:p w14:paraId="1BB1B6FA" w14:textId="08F0CF6A" w:rsidR="00E74E65" w:rsidRDefault="00E74E65" w:rsidP="00E74E65">
      <w:pPr>
        <w:pStyle w:val="Maintext"/>
        <w:rPr>
          <w:szCs w:val="22"/>
        </w:rPr>
      </w:pPr>
    </w:p>
    <w:p w14:paraId="1951D892" w14:textId="5F8032C5" w:rsidR="00E74E65" w:rsidRDefault="00E74E65" w:rsidP="00E74E65">
      <w:pPr>
        <w:pStyle w:val="Maintext"/>
        <w:rPr>
          <w:szCs w:val="22"/>
        </w:rPr>
      </w:pPr>
    </w:p>
    <w:p w14:paraId="5428A50E" w14:textId="0808C575" w:rsidR="00E74E65" w:rsidRDefault="00E74E65" w:rsidP="00E74E65">
      <w:pPr>
        <w:pStyle w:val="Maintext"/>
        <w:rPr>
          <w:szCs w:val="22"/>
        </w:rPr>
      </w:pPr>
    </w:p>
    <w:p w14:paraId="538BC3C3" w14:textId="597DA96B" w:rsidR="00E74E65" w:rsidRDefault="00E74E65" w:rsidP="00E74E65">
      <w:pPr>
        <w:pStyle w:val="Maintext"/>
        <w:rPr>
          <w:szCs w:val="22"/>
        </w:rPr>
      </w:pPr>
    </w:p>
    <w:p w14:paraId="0587DB2F" w14:textId="20E7F55F" w:rsidR="00E74E65" w:rsidRDefault="00E74E65" w:rsidP="00E74E65">
      <w:pPr>
        <w:pStyle w:val="Maintext"/>
        <w:rPr>
          <w:szCs w:val="22"/>
        </w:rPr>
      </w:pPr>
    </w:p>
    <w:p w14:paraId="7DBD139A" w14:textId="57635638" w:rsidR="00E74E65" w:rsidRDefault="00E74E65" w:rsidP="00E74E65">
      <w:pPr>
        <w:pStyle w:val="Maintext"/>
        <w:rPr>
          <w:szCs w:val="22"/>
        </w:rPr>
      </w:pPr>
    </w:p>
    <w:p w14:paraId="18EF84BA" w14:textId="77777777" w:rsidR="00E74E65" w:rsidRDefault="00E74E65" w:rsidP="00E74E65">
      <w:pPr>
        <w:pStyle w:val="Maintext"/>
        <w:rPr>
          <w:szCs w:val="22"/>
        </w:rPr>
      </w:pPr>
    </w:p>
    <w:p w14:paraId="09E1F92E" w14:textId="77777777" w:rsidR="00E74E65" w:rsidRPr="00BF6432" w:rsidRDefault="00E74E65" w:rsidP="00E74E65">
      <w:pPr>
        <w:pStyle w:val="Maintext"/>
        <w:rPr>
          <w:szCs w:val="22"/>
        </w:rPr>
      </w:pPr>
    </w:p>
    <w:p w14:paraId="65F3B0E1" w14:textId="5BCF68F8" w:rsidR="00A66A0C" w:rsidRDefault="00404195" w:rsidP="003567A7">
      <w:pPr>
        <w:pStyle w:val="Head2"/>
      </w:pPr>
      <w:bookmarkStart w:id="105" w:name="_Toc113894701"/>
      <w:bookmarkStart w:id="106" w:name="_Toc406148438"/>
      <w:bookmarkStart w:id="107" w:name="_Toc406149433"/>
      <w:bookmarkStart w:id="108" w:name="_Toc406149482"/>
      <w:bookmarkStart w:id="109" w:name="_Toc406157912"/>
      <w:bookmarkStart w:id="110" w:name="_Toc406158123"/>
      <w:bookmarkStart w:id="111" w:name="_Toc406162489"/>
      <w:bookmarkStart w:id="112" w:name="_Toc406162511"/>
      <w:bookmarkStart w:id="113" w:name="_Toc411497066"/>
      <w:bookmarkStart w:id="114" w:name="_Toc411500292"/>
      <w:bookmarkStart w:id="115" w:name="_Toc411501221"/>
      <w:bookmarkStart w:id="116" w:name="_Toc406148440"/>
      <w:bookmarkStart w:id="117" w:name="_Toc406149435"/>
      <w:bookmarkStart w:id="118" w:name="_Toc406149484"/>
      <w:bookmarkStart w:id="119" w:name="_Toc406157914"/>
      <w:bookmarkStart w:id="120" w:name="_Toc406158125"/>
      <w:bookmarkStart w:id="121" w:name="_Toc406162491"/>
      <w:bookmarkStart w:id="122" w:name="_Toc406162513"/>
      <w:bookmarkStart w:id="123" w:name="_Toc406148441"/>
      <w:bookmarkStart w:id="124" w:name="_Toc406149436"/>
      <w:bookmarkStart w:id="125" w:name="_Toc406149485"/>
      <w:bookmarkStart w:id="126" w:name="_Toc406157915"/>
      <w:bookmarkStart w:id="127" w:name="_Toc406158126"/>
      <w:bookmarkStart w:id="128" w:name="_Toc406162492"/>
      <w:bookmarkStart w:id="129" w:name="_Toc406162514"/>
      <w:bookmarkStart w:id="130" w:name="_Toc406148442"/>
      <w:bookmarkStart w:id="131" w:name="_Toc406149437"/>
      <w:bookmarkStart w:id="132" w:name="_Toc406149486"/>
      <w:bookmarkStart w:id="133" w:name="_Toc406157916"/>
      <w:bookmarkStart w:id="134" w:name="_Toc406158127"/>
      <w:bookmarkStart w:id="135" w:name="_Toc406162493"/>
      <w:bookmarkStart w:id="136" w:name="_Toc406162515"/>
      <w:bookmarkStart w:id="137" w:name="_Toc11389470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A</w:t>
      </w:r>
      <w:r w:rsidR="00D92B67">
        <w:t>ccess and initiating parties</w:t>
      </w:r>
      <w:r w:rsidR="003C7F63">
        <w:t xml:space="preserve"> </w:t>
      </w:r>
      <w:bookmarkEnd w:id="137"/>
    </w:p>
    <w:p w14:paraId="50D59223" w14:textId="575C03A3" w:rsidR="00A66A0C" w:rsidRDefault="00404195" w:rsidP="000E1B59">
      <w:pPr>
        <w:pStyle w:val="Content"/>
        <w:rPr>
          <w:rStyle w:val="BodyTextChar1"/>
          <w:szCs w:val="22"/>
        </w:rPr>
      </w:pPr>
      <w:bookmarkStart w:id="138" w:name="_Toc527547131"/>
      <w:bookmarkStart w:id="139" w:name="_Toc527547184"/>
      <w:bookmarkEnd w:id="138"/>
      <w:bookmarkEnd w:id="139"/>
      <w:r>
        <w:rPr>
          <w:rStyle w:val="BodyTextChar1"/>
          <w:szCs w:val="22"/>
        </w:rPr>
        <w:t>A</w:t>
      </w:r>
      <w:r w:rsidR="00A66A0C" w:rsidRPr="00C754C5">
        <w:rPr>
          <w:rStyle w:val="BodyTextChar1"/>
          <w:szCs w:val="22"/>
        </w:rPr>
        <w:t xml:space="preserve">TO systems </w:t>
      </w:r>
      <w:r w:rsidR="00131A8B" w:rsidRPr="00C754C5">
        <w:rPr>
          <w:rStyle w:val="BodyTextChar1"/>
          <w:szCs w:val="22"/>
        </w:rPr>
        <w:t>will check</w:t>
      </w:r>
      <w:r w:rsidR="006C00AC" w:rsidRPr="00C754C5">
        <w:rPr>
          <w:rStyle w:val="BodyTextChar1"/>
          <w:szCs w:val="22"/>
        </w:rPr>
        <w:t xml:space="preserve"> </w:t>
      </w:r>
      <w:r w:rsidR="00A66A0C" w:rsidRPr="00C754C5">
        <w:rPr>
          <w:rStyle w:val="BodyTextChar1"/>
          <w:szCs w:val="22"/>
        </w:rPr>
        <w:t xml:space="preserve">that the initiating party is </w:t>
      </w:r>
      <w:r w:rsidR="00181BA5">
        <w:rPr>
          <w:rStyle w:val="BodyTextChar1"/>
          <w:szCs w:val="22"/>
        </w:rPr>
        <w:t xml:space="preserve">authorised </w:t>
      </w:r>
      <w:r w:rsidR="00A66A0C" w:rsidRPr="00C754C5">
        <w:rPr>
          <w:rStyle w:val="BodyTextChar1"/>
          <w:szCs w:val="22"/>
        </w:rPr>
        <w:t xml:space="preserve">to use the interaction received through the SBR channel. </w:t>
      </w:r>
    </w:p>
    <w:p w14:paraId="5E4474A3" w14:textId="77777777" w:rsidR="000E1B59" w:rsidRDefault="000E1B59" w:rsidP="000E1B59">
      <w:pPr>
        <w:pStyle w:val="Content"/>
        <w:rPr>
          <w:rStyle w:val="BodyTextChar1"/>
          <w:szCs w:val="22"/>
        </w:rPr>
      </w:pPr>
    </w:p>
    <w:p w14:paraId="0BCBA1F3" w14:textId="264F971F" w:rsidR="006B1C00" w:rsidRDefault="000E1B59" w:rsidP="000E1B59">
      <w:pPr>
        <w:pStyle w:val="Content"/>
        <w:rPr>
          <w:rStyle w:val="BodyTextChar1"/>
          <w:b/>
          <w:bCs/>
          <w:color w:val="404040" w:themeColor="text1" w:themeTint="BF"/>
        </w:rPr>
      </w:pPr>
      <w:r w:rsidRPr="00873257">
        <w:rPr>
          <w:rStyle w:val="BodyTextChar1"/>
          <w:b/>
          <w:bCs/>
          <w:color w:val="404040" w:themeColor="text1" w:themeTint="BF"/>
        </w:rPr>
        <w:t>See also</w:t>
      </w:r>
      <w:r>
        <w:rPr>
          <w:rStyle w:val="BodyTextChar1"/>
          <w:b/>
          <w:bCs/>
          <w:color w:val="404040" w:themeColor="text1" w:themeTint="BF"/>
        </w:rPr>
        <w:t>:</w:t>
      </w:r>
    </w:p>
    <w:p w14:paraId="1B21D744" w14:textId="794CD310" w:rsidR="000E1B59" w:rsidRPr="00BF6432" w:rsidRDefault="000E1B59" w:rsidP="00DD395D">
      <w:pPr>
        <w:pStyle w:val="Content"/>
        <w:numPr>
          <w:ilvl w:val="0"/>
          <w:numId w:val="19"/>
        </w:numPr>
        <w:rPr>
          <w:sz w:val="22"/>
        </w:rPr>
      </w:pPr>
      <w:r w:rsidRPr="00A41F53">
        <w:rPr>
          <w:rStyle w:val="BodyTextChar1"/>
        </w:rPr>
        <w:t>Section 3</w:t>
      </w:r>
      <w:r w:rsidR="00D20DDA" w:rsidRPr="00A41F53">
        <w:rPr>
          <w:color w:val="000000"/>
          <w:sz w:val="22"/>
        </w:rPr>
        <w:t xml:space="preserve"> –</w:t>
      </w:r>
      <w:r w:rsidRPr="00BF6432">
        <w:rPr>
          <w:rStyle w:val="BodyTextChar1"/>
        </w:rPr>
        <w:t xml:space="preserve"> Access in the </w:t>
      </w:r>
      <w:r w:rsidRPr="00BF6432">
        <w:rPr>
          <w:sz w:val="22"/>
        </w:rPr>
        <w:t>Common Business Implementation and Taxpayer Declaration Guide</w:t>
      </w:r>
      <w:r w:rsidRPr="00A41F53">
        <w:rPr>
          <w:sz w:val="22"/>
        </w:rPr>
        <w:t xml:space="preserve">. </w:t>
      </w:r>
    </w:p>
    <w:p w14:paraId="1C131D0E" w14:textId="4D15E22D" w:rsidR="007C63F5" w:rsidRDefault="00447CB6" w:rsidP="007560AC">
      <w:pPr>
        <w:pStyle w:val="Content"/>
        <w:rPr>
          <w:sz w:val="22"/>
        </w:rPr>
      </w:pPr>
      <w:r w:rsidRPr="00E74E65">
        <w:rPr>
          <w:sz w:val="22"/>
        </w:rPr>
        <w:t>The</w:t>
      </w:r>
      <w:r>
        <w:t xml:space="preserve"> </w:t>
      </w:r>
      <w:hyperlink r:id="rId25" w:history="1">
        <w:r w:rsidR="000E1B59" w:rsidRPr="00E74E65">
          <w:rPr>
            <w:rStyle w:val="Hyperlink"/>
            <w:b w:val="0"/>
            <w:bCs/>
            <w:noProof w:val="0"/>
            <w:sz w:val="22"/>
            <w:lang w:val="en-US" w:eastAsia="en-US"/>
          </w:rPr>
          <w:t>ATO website</w:t>
        </w:r>
      </w:hyperlink>
      <w:r w:rsidR="00D20DDA" w:rsidRPr="00E74E65">
        <w:rPr>
          <w:rStyle w:val="Hyperlink"/>
          <w:b w:val="0"/>
          <w:bCs/>
          <w:noProof w:val="0"/>
          <w:color w:val="000000" w:themeColor="text1"/>
          <w:u w:val="none"/>
          <w:lang w:val="en-US" w:eastAsia="en-US"/>
        </w:rPr>
        <w:t xml:space="preserve"> </w:t>
      </w:r>
      <w:r w:rsidR="000E1B59" w:rsidRPr="00E74E65">
        <w:rPr>
          <w:rStyle w:val="BodyTextChar1"/>
          <w:szCs w:val="22"/>
        </w:rPr>
        <w:t>for more information on Access Manager.</w:t>
      </w:r>
    </w:p>
    <w:p w14:paraId="6D323B9A" w14:textId="3B257151" w:rsidR="007C63F5" w:rsidRDefault="007C63F5" w:rsidP="007560AC">
      <w:pPr>
        <w:pStyle w:val="Content"/>
        <w:rPr>
          <w:sz w:val="22"/>
        </w:rPr>
      </w:pPr>
    </w:p>
    <w:p w14:paraId="5126F735" w14:textId="00046CF8" w:rsidR="00BB6C0C" w:rsidRDefault="00A66A0C" w:rsidP="00A66A0C">
      <w:pPr>
        <w:spacing w:after="120"/>
        <w:rPr>
          <w:rStyle w:val="BodyTextChar1"/>
          <w:szCs w:val="22"/>
        </w:rPr>
      </w:pPr>
      <w:r w:rsidRPr="00C754C5">
        <w:rPr>
          <w:rStyle w:val="BodyTextChar1"/>
          <w:szCs w:val="22"/>
        </w:rPr>
        <w:t xml:space="preserve">The table below displays the interactions available to each initiating party via SBR for </w:t>
      </w:r>
      <w:r w:rsidR="003F285E">
        <w:rPr>
          <w:rStyle w:val="BodyTextChar1"/>
          <w:szCs w:val="22"/>
        </w:rPr>
        <w:t>TPAR</w:t>
      </w:r>
      <w:r w:rsidR="006C5859" w:rsidRPr="00C754C5">
        <w:rPr>
          <w:rStyle w:val="BodyTextChar1"/>
          <w:szCs w:val="22"/>
        </w:rPr>
        <w:t>:</w:t>
      </w:r>
    </w:p>
    <w:p w14:paraId="0318353F" w14:textId="2685514D" w:rsidR="00447CB6" w:rsidRPr="00BF6432" w:rsidRDefault="00447CB6" w:rsidP="003D4600">
      <w:pPr>
        <w:pStyle w:val="Caption"/>
        <w:rPr>
          <w:b w:val="0"/>
          <w:bCs w:val="0"/>
          <w:sz w:val="22"/>
          <w:szCs w:val="22"/>
        </w:rPr>
      </w:pPr>
      <w:r w:rsidRPr="00BF6432">
        <w:rPr>
          <w:b w:val="0"/>
          <w:bCs w:val="0"/>
          <w:sz w:val="22"/>
          <w:szCs w:val="22"/>
        </w:rPr>
        <w:t xml:space="preserve">Table </w:t>
      </w:r>
      <w:r w:rsidR="0000715D" w:rsidRPr="00BF6432">
        <w:rPr>
          <w:b w:val="0"/>
          <w:bCs w:val="0"/>
          <w:sz w:val="22"/>
          <w:szCs w:val="22"/>
        </w:rPr>
        <w:t>4</w:t>
      </w:r>
      <w:r w:rsidRPr="00BF6432">
        <w:rPr>
          <w:b w:val="0"/>
          <w:bCs w:val="0"/>
          <w:sz w:val="22"/>
          <w:szCs w:val="22"/>
        </w:rPr>
        <w:t xml:space="preserve">: </w:t>
      </w:r>
      <w:r w:rsidR="009B4319" w:rsidRPr="00BF6432">
        <w:rPr>
          <w:b w:val="0"/>
          <w:bCs w:val="0"/>
          <w:sz w:val="22"/>
          <w:szCs w:val="22"/>
        </w:rPr>
        <w:t xml:space="preserve">TPAR </w:t>
      </w:r>
      <w:r w:rsidRPr="00BF6432">
        <w:rPr>
          <w:b w:val="0"/>
          <w:bCs w:val="0"/>
          <w:sz w:val="22"/>
          <w:szCs w:val="22"/>
        </w:rPr>
        <w:t>permissions</w:t>
      </w:r>
    </w:p>
    <w:tbl>
      <w:tblPr>
        <w:tblStyle w:val="ATOTable"/>
        <w:tblW w:w="9356" w:type="dxa"/>
        <w:tblInd w:w="-5" w:type="dxa"/>
        <w:tblLook w:val="04A0" w:firstRow="1" w:lastRow="0" w:firstColumn="1" w:lastColumn="0" w:noHBand="0" w:noVBand="1"/>
      </w:tblPr>
      <w:tblGrid>
        <w:gridCol w:w="1760"/>
        <w:gridCol w:w="2774"/>
        <w:gridCol w:w="1417"/>
        <w:gridCol w:w="726"/>
        <w:gridCol w:w="1224"/>
        <w:gridCol w:w="727"/>
        <w:gridCol w:w="728"/>
      </w:tblGrid>
      <w:tr w:rsidR="008547F0" w:rsidRPr="00BF6432" w14:paraId="4168C2E6" w14:textId="2C7AA69E" w:rsidTr="005203E9">
        <w:trPr>
          <w:cantSplit/>
          <w:trHeight w:val="1557"/>
          <w:tblHeader/>
        </w:trPr>
        <w:tc>
          <w:tcPr>
            <w:tcW w:w="1760" w:type="dxa"/>
            <w:shd w:val="clear" w:color="auto" w:fill="B8CCE4" w:themeFill="accent1" w:themeFillTint="66"/>
            <w:vAlign w:val="center"/>
          </w:tcPr>
          <w:p w14:paraId="4D71A04D" w14:textId="77777777" w:rsidR="008547F0" w:rsidRPr="00BF6432" w:rsidRDefault="008547F0" w:rsidP="00671D22">
            <w:pPr>
              <w:keepNext/>
              <w:jc w:val="center"/>
              <w:rPr>
                <w:rFonts w:ascii="Calibri" w:hAnsi="Calibri" w:cs="Calibri"/>
                <w:color w:val="000000"/>
                <w:szCs w:val="22"/>
              </w:rPr>
            </w:pPr>
            <w:r w:rsidRPr="00BF6432">
              <w:rPr>
                <w:rFonts w:cs="Arial"/>
                <w:szCs w:val="22"/>
              </w:rPr>
              <w:t xml:space="preserve">Service </w:t>
            </w:r>
          </w:p>
        </w:tc>
        <w:tc>
          <w:tcPr>
            <w:tcW w:w="2774" w:type="dxa"/>
            <w:shd w:val="clear" w:color="auto" w:fill="B8CCE4" w:themeFill="accent1" w:themeFillTint="66"/>
            <w:vAlign w:val="center"/>
          </w:tcPr>
          <w:p w14:paraId="1B1F9114" w14:textId="77777777" w:rsidR="008547F0" w:rsidRPr="00BF6432" w:rsidRDefault="008547F0" w:rsidP="00671D22">
            <w:pPr>
              <w:jc w:val="center"/>
              <w:rPr>
                <w:rFonts w:ascii="Calibri" w:hAnsi="Calibri" w:cs="Calibri"/>
                <w:color w:val="000000"/>
                <w:szCs w:val="22"/>
              </w:rPr>
            </w:pPr>
            <w:r w:rsidRPr="00BF6432">
              <w:rPr>
                <w:rFonts w:cs="Arial"/>
                <w:szCs w:val="22"/>
              </w:rPr>
              <w:t>Interaction</w:t>
            </w:r>
          </w:p>
        </w:tc>
        <w:tc>
          <w:tcPr>
            <w:tcW w:w="1417" w:type="dxa"/>
            <w:shd w:val="clear" w:color="auto" w:fill="B8CCE4" w:themeFill="accent1" w:themeFillTint="66"/>
            <w:vAlign w:val="center"/>
          </w:tcPr>
          <w:p w14:paraId="250D5D58" w14:textId="77777777" w:rsidR="008547F0" w:rsidRPr="00BF6432" w:rsidRDefault="008547F0" w:rsidP="00671D22">
            <w:pPr>
              <w:jc w:val="center"/>
              <w:rPr>
                <w:rFonts w:ascii="Calibri" w:hAnsi="Calibri" w:cs="Calibri"/>
                <w:color w:val="000000"/>
                <w:szCs w:val="22"/>
              </w:rPr>
            </w:pPr>
            <w:r w:rsidRPr="00BF6432">
              <w:rPr>
                <w:rFonts w:cs="Arial"/>
                <w:szCs w:val="22"/>
              </w:rPr>
              <w:t>Activity</w:t>
            </w:r>
          </w:p>
        </w:tc>
        <w:tc>
          <w:tcPr>
            <w:tcW w:w="726" w:type="dxa"/>
            <w:shd w:val="clear" w:color="auto" w:fill="B8CCE4" w:themeFill="accent1" w:themeFillTint="66"/>
            <w:textDirection w:val="btLr"/>
          </w:tcPr>
          <w:p w14:paraId="3F0DE160" w14:textId="05A56E77" w:rsidR="008547F0" w:rsidRPr="00BF6432" w:rsidRDefault="008547F0" w:rsidP="00671D22">
            <w:pPr>
              <w:jc w:val="center"/>
              <w:rPr>
                <w:rFonts w:cs="Arial"/>
                <w:szCs w:val="22"/>
              </w:rPr>
            </w:pPr>
            <w:r w:rsidRPr="00BF6432">
              <w:rPr>
                <w:rFonts w:cs="Arial"/>
                <w:szCs w:val="22"/>
              </w:rPr>
              <w:t>Tax agent</w:t>
            </w:r>
          </w:p>
        </w:tc>
        <w:tc>
          <w:tcPr>
            <w:tcW w:w="1224" w:type="dxa"/>
            <w:shd w:val="clear" w:color="auto" w:fill="B8CCE4" w:themeFill="accent1" w:themeFillTint="66"/>
            <w:textDirection w:val="btLr"/>
          </w:tcPr>
          <w:p w14:paraId="24F09F52" w14:textId="0D34D64C" w:rsidR="008547F0" w:rsidRPr="00BF6432" w:rsidRDefault="008547F0" w:rsidP="00671D22">
            <w:pPr>
              <w:jc w:val="center"/>
              <w:rPr>
                <w:rFonts w:cs="Arial"/>
                <w:szCs w:val="22"/>
              </w:rPr>
            </w:pPr>
            <w:r w:rsidRPr="00BF6432">
              <w:rPr>
                <w:rFonts w:cs="Arial"/>
                <w:szCs w:val="22"/>
              </w:rPr>
              <w:t>BAS agent</w:t>
            </w:r>
          </w:p>
        </w:tc>
        <w:tc>
          <w:tcPr>
            <w:tcW w:w="727" w:type="dxa"/>
            <w:shd w:val="clear" w:color="auto" w:fill="B8CCE4" w:themeFill="accent1" w:themeFillTint="66"/>
            <w:textDirection w:val="btLr"/>
          </w:tcPr>
          <w:p w14:paraId="3FE57FB4" w14:textId="04EEF0E4" w:rsidR="008547F0" w:rsidRPr="00BF6432" w:rsidRDefault="008547F0" w:rsidP="00671D22">
            <w:pPr>
              <w:ind w:left="113" w:right="113"/>
              <w:jc w:val="center"/>
              <w:rPr>
                <w:rFonts w:cs="Arial"/>
                <w:szCs w:val="22"/>
              </w:rPr>
            </w:pPr>
            <w:r w:rsidRPr="00BF6432">
              <w:rPr>
                <w:rFonts w:cs="Arial"/>
                <w:szCs w:val="22"/>
              </w:rPr>
              <w:t>Business</w:t>
            </w:r>
          </w:p>
        </w:tc>
        <w:tc>
          <w:tcPr>
            <w:tcW w:w="728" w:type="dxa"/>
            <w:shd w:val="clear" w:color="auto" w:fill="B8CCE4" w:themeFill="accent1" w:themeFillTint="66"/>
            <w:textDirection w:val="btLr"/>
          </w:tcPr>
          <w:p w14:paraId="7856B8C3" w14:textId="075B80A8" w:rsidR="008547F0" w:rsidRPr="00BF6432" w:rsidRDefault="008547F0" w:rsidP="00671D22">
            <w:pPr>
              <w:ind w:left="113" w:right="113"/>
              <w:jc w:val="center"/>
              <w:rPr>
                <w:rFonts w:cs="Arial"/>
                <w:szCs w:val="22"/>
              </w:rPr>
            </w:pPr>
            <w:r w:rsidRPr="00BF6432">
              <w:rPr>
                <w:rFonts w:cs="Arial"/>
                <w:szCs w:val="22"/>
              </w:rPr>
              <w:t>Business Intermediary</w:t>
            </w:r>
          </w:p>
        </w:tc>
      </w:tr>
      <w:tr w:rsidR="008547F0" w:rsidRPr="00014833" w14:paraId="084EA7C3" w14:textId="31FB07FA" w:rsidTr="009B4319">
        <w:trPr>
          <w:trHeight w:val="600"/>
        </w:trPr>
        <w:tc>
          <w:tcPr>
            <w:tcW w:w="1760" w:type="dxa"/>
            <w:hideMark/>
          </w:tcPr>
          <w:p w14:paraId="6B09BCDB" w14:textId="251294D7" w:rsidR="008547F0" w:rsidRPr="00176D3F" w:rsidRDefault="003A11F0" w:rsidP="00671D22">
            <w:pPr>
              <w:spacing w:before="0" w:after="0"/>
              <w:rPr>
                <w:rFonts w:cs="Arial"/>
                <w:szCs w:val="22"/>
              </w:rPr>
            </w:pPr>
            <w:r w:rsidRPr="00176D3F">
              <w:rPr>
                <w:rFonts w:cs="Arial"/>
                <w:szCs w:val="22"/>
              </w:rPr>
              <w:t>TPAR</w:t>
            </w:r>
          </w:p>
        </w:tc>
        <w:tc>
          <w:tcPr>
            <w:tcW w:w="2774" w:type="dxa"/>
          </w:tcPr>
          <w:p w14:paraId="6F9F0C73" w14:textId="4A868113" w:rsidR="008547F0" w:rsidRPr="00BF6432" w:rsidRDefault="001B0E07" w:rsidP="00671D22">
            <w:pPr>
              <w:spacing w:before="0" w:after="0"/>
              <w:rPr>
                <w:rFonts w:cs="Arial"/>
                <w:iCs/>
                <w:szCs w:val="22"/>
              </w:rPr>
            </w:pPr>
            <w:r w:rsidRPr="00BF6432">
              <w:rPr>
                <w:rFonts w:cs="Arial"/>
                <w:iCs/>
                <w:szCs w:val="22"/>
              </w:rPr>
              <w:t>TPAR validate</w:t>
            </w:r>
          </w:p>
        </w:tc>
        <w:tc>
          <w:tcPr>
            <w:tcW w:w="1417" w:type="dxa"/>
          </w:tcPr>
          <w:p w14:paraId="43AD9163" w14:textId="7DB10766" w:rsidR="008547F0" w:rsidRPr="00176D3F" w:rsidRDefault="008547F0" w:rsidP="006C5859">
            <w:pPr>
              <w:spacing w:before="0" w:after="0"/>
              <w:rPr>
                <w:rFonts w:cs="Arial"/>
                <w:szCs w:val="22"/>
              </w:rPr>
            </w:pPr>
            <w:r w:rsidRPr="00176D3F">
              <w:rPr>
                <w:rFonts w:cs="Arial"/>
                <w:szCs w:val="22"/>
              </w:rPr>
              <w:t xml:space="preserve">Validate data inputted into </w:t>
            </w:r>
            <w:r w:rsidR="001B0E07" w:rsidRPr="00176D3F">
              <w:rPr>
                <w:rFonts w:cs="Arial"/>
                <w:szCs w:val="22"/>
              </w:rPr>
              <w:t xml:space="preserve">TPAR </w:t>
            </w:r>
            <w:r w:rsidRPr="00176D3F">
              <w:rPr>
                <w:rFonts w:cs="Arial"/>
                <w:szCs w:val="22"/>
              </w:rPr>
              <w:t>before submitting for processing</w:t>
            </w:r>
          </w:p>
        </w:tc>
        <w:tc>
          <w:tcPr>
            <w:tcW w:w="726" w:type="dxa"/>
          </w:tcPr>
          <w:p w14:paraId="1C87EF38" w14:textId="368B77BD" w:rsidR="008547F0" w:rsidRPr="00176D3F" w:rsidRDefault="008547F0" w:rsidP="008547F0">
            <w:pPr>
              <w:pStyle w:val="Caption"/>
              <w:rPr>
                <w:b w:val="0"/>
                <w:bCs w:val="0"/>
                <w:sz w:val="22"/>
                <w:szCs w:val="22"/>
              </w:rPr>
            </w:pPr>
            <w:r w:rsidRPr="00176D3F">
              <w:rPr>
                <w:b w:val="0"/>
                <w:bCs w:val="0"/>
                <w:sz w:val="22"/>
                <w:szCs w:val="22"/>
              </w:rPr>
              <w:t>Y</w:t>
            </w:r>
          </w:p>
        </w:tc>
        <w:tc>
          <w:tcPr>
            <w:tcW w:w="1224" w:type="dxa"/>
          </w:tcPr>
          <w:p w14:paraId="7230A98B" w14:textId="44D51706" w:rsidR="008547F0" w:rsidRPr="00176D3F" w:rsidRDefault="001B0E07" w:rsidP="008547F0">
            <w:pPr>
              <w:pStyle w:val="Caption"/>
              <w:rPr>
                <w:b w:val="0"/>
                <w:bCs w:val="0"/>
                <w:sz w:val="22"/>
                <w:szCs w:val="22"/>
              </w:rPr>
            </w:pPr>
            <w:r w:rsidRPr="00176D3F">
              <w:rPr>
                <w:b w:val="0"/>
                <w:bCs w:val="0"/>
                <w:sz w:val="22"/>
                <w:szCs w:val="22"/>
              </w:rPr>
              <w:t>Y</w:t>
            </w:r>
          </w:p>
        </w:tc>
        <w:tc>
          <w:tcPr>
            <w:tcW w:w="727" w:type="dxa"/>
          </w:tcPr>
          <w:p w14:paraId="3E14F89F" w14:textId="5D9C0CBB" w:rsidR="008547F0" w:rsidRPr="00176D3F" w:rsidDel="008547F0" w:rsidRDefault="008547F0" w:rsidP="008547F0">
            <w:pPr>
              <w:pStyle w:val="Caption"/>
              <w:rPr>
                <w:b w:val="0"/>
                <w:bCs w:val="0"/>
                <w:sz w:val="22"/>
                <w:szCs w:val="22"/>
              </w:rPr>
            </w:pPr>
            <w:r w:rsidRPr="00176D3F">
              <w:rPr>
                <w:b w:val="0"/>
                <w:bCs w:val="0"/>
                <w:sz w:val="22"/>
                <w:szCs w:val="22"/>
              </w:rPr>
              <w:t>Y</w:t>
            </w:r>
          </w:p>
        </w:tc>
        <w:tc>
          <w:tcPr>
            <w:tcW w:w="728" w:type="dxa"/>
          </w:tcPr>
          <w:p w14:paraId="066DD478" w14:textId="69C5408E" w:rsidR="008547F0" w:rsidRPr="00176D3F" w:rsidDel="008547F0" w:rsidRDefault="008547F0" w:rsidP="008547F0">
            <w:pPr>
              <w:pStyle w:val="Caption"/>
              <w:rPr>
                <w:b w:val="0"/>
                <w:bCs w:val="0"/>
                <w:sz w:val="22"/>
                <w:szCs w:val="22"/>
              </w:rPr>
            </w:pPr>
            <w:r w:rsidRPr="00176D3F">
              <w:rPr>
                <w:b w:val="0"/>
                <w:bCs w:val="0"/>
                <w:sz w:val="22"/>
                <w:szCs w:val="22"/>
              </w:rPr>
              <w:t>Y</w:t>
            </w:r>
          </w:p>
        </w:tc>
      </w:tr>
      <w:tr w:rsidR="008547F0" w:rsidRPr="00014833" w14:paraId="6F155754" w14:textId="3E7CC07B" w:rsidTr="009B4319">
        <w:trPr>
          <w:trHeight w:val="600"/>
        </w:trPr>
        <w:tc>
          <w:tcPr>
            <w:tcW w:w="1760" w:type="dxa"/>
          </w:tcPr>
          <w:p w14:paraId="4C86A58D" w14:textId="1AA35719" w:rsidR="008547F0" w:rsidRPr="00901390" w:rsidRDefault="003A11F0" w:rsidP="00671D22">
            <w:pPr>
              <w:rPr>
                <w:rFonts w:cs="Arial"/>
                <w:szCs w:val="22"/>
              </w:rPr>
            </w:pPr>
            <w:r w:rsidRPr="00901390">
              <w:rPr>
                <w:rFonts w:cs="Arial"/>
                <w:szCs w:val="22"/>
              </w:rPr>
              <w:t>TPAR</w:t>
            </w:r>
          </w:p>
        </w:tc>
        <w:tc>
          <w:tcPr>
            <w:tcW w:w="2774" w:type="dxa"/>
          </w:tcPr>
          <w:p w14:paraId="6489F786" w14:textId="7D9A6815" w:rsidR="008547F0" w:rsidRPr="00BF6432" w:rsidRDefault="001B0E07" w:rsidP="00671D22">
            <w:pPr>
              <w:rPr>
                <w:rFonts w:cs="Arial"/>
                <w:iCs/>
                <w:szCs w:val="22"/>
              </w:rPr>
            </w:pPr>
            <w:r w:rsidRPr="00BF6432">
              <w:rPr>
                <w:rFonts w:cs="Arial"/>
                <w:iCs/>
                <w:szCs w:val="22"/>
              </w:rPr>
              <w:t>TPAR</w:t>
            </w:r>
            <w:r w:rsidR="008547F0" w:rsidRPr="00BF6432">
              <w:rPr>
                <w:rFonts w:cs="Arial"/>
                <w:iCs/>
                <w:szCs w:val="22"/>
              </w:rPr>
              <w:t>.</w:t>
            </w:r>
            <w:r w:rsidRPr="00BF6432">
              <w:rPr>
                <w:rFonts w:cs="Arial"/>
                <w:iCs/>
                <w:szCs w:val="22"/>
              </w:rPr>
              <w:t>Submit</w:t>
            </w:r>
          </w:p>
        </w:tc>
        <w:tc>
          <w:tcPr>
            <w:tcW w:w="1417" w:type="dxa"/>
          </w:tcPr>
          <w:p w14:paraId="1BE9BFB3" w14:textId="77777777" w:rsidR="008547F0" w:rsidRPr="00901390" w:rsidRDefault="008547F0" w:rsidP="006C5859">
            <w:pPr>
              <w:rPr>
                <w:rFonts w:cs="Arial"/>
                <w:szCs w:val="22"/>
              </w:rPr>
            </w:pPr>
            <w:r w:rsidRPr="00901390">
              <w:rPr>
                <w:rFonts w:cs="Arial"/>
                <w:szCs w:val="22"/>
              </w:rPr>
              <w:t>Lodge FITR for processing</w:t>
            </w:r>
          </w:p>
        </w:tc>
        <w:tc>
          <w:tcPr>
            <w:tcW w:w="726" w:type="dxa"/>
          </w:tcPr>
          <w:p w14:paraId="2825182D" w14:textId="1F7D6375" w:rsidR="008547F0" w:rsidRPr="00901390" w:rsidRDefault="008547F0" w:rsidP="008547F0">
            <w:pPr>
              <w:pStyle w:val="Caption"/>
              <w:rPr>
                <w:b w:val="0"/>
                <w:bCs w:val="0"/>
                <w:sz w:val="22"/>
                <w:szCs w:val="22"/>
              </w:rPr>
            </w:pPr>
            <w:r w:rsidRPr="00901390">
              <w:rPr>
                <w:b w:val="0"/>
                <w:bCs w:val="0"/>
                <w:sz w:val="22"/>
                <w:szCs w:val="22"/>
              </w:rPr>
              <w:t>Y</w:t>
            </w:r>
          </w:p>
        </w:tc>
        <w:tc>
          <w:tcPr>
            <w:tcW w:w="1224" w:type="dxa"/>
          </w:tcPr>
          <w:p w14:paraId="243A43F0" w14:textId="2797ECA2" w:rsidR="008547F0" w:rsidRPr="00901390" w:rsidDel="008547F0" w:rsidRDefault="003A11F0" w:rsidP="008547F0">
            <w:pPr>
              <w:pStyle w:val="Caption"/>
              <w:rPr>
                <w:b w:val="0"/>
                <w:bCs w:val="0"/>
                <w:sz w:val="22"/>
                <w:szCs w:val="22"/>
              </w:rPr>
            </w:pPr>
            <w:r w:rsidRPr="00901390">
              <w:rPr>
                <w:b w:val="0"/>
                <w:bCs w:val="0"/>
                <w:sz w:val="22"/>
                <w:szCs w:val="22"/>
              </w:rPr>
              <w:t>Y</w:t>
            </w:r>
          </w:p>
        </w:tc>
        <w:tc>
          <w:tcPr>
            <w:tcW w:w="727" w:type="dxa"/>
          </w:tcPr>
          <w:p w14:paraId="2A743977" w14:textId="46A13AB9" w:rsidR="008547F0" w:rsidRPr="00901390" w:rsidDel="008547F0" w:rsidRDefault="008547F0" w:rsidP="008547F0">
            <w:pPr>
              <w:pStyle w:val="Caption"/>
              <w:rPr>
                <w:b w:val="0"/>
                <w:bCs w:val="0"/>
                <w:sz w:val="22"/>
                <w:szCs w:val="22"/>
              </w:rPr>
            </w:pPr>
            <w:r w:rsidRPr="00901390">
              <w:rPr>
                <w:b w:val="0"/>
                <w:bCs w:val="0"/>
                <w:sz w:val="22"/>
                <w:szCs w:val="22"/>
              </w:rPr>
              <w:t>Y</w:t>
            </w:r>
          </w:p>
        </w:tc>
        <w:tc>
          <w:tcPr>
            <w:tcW w:w="728" w:type="dxa"/>
          </w:tcPr>
          <w:p w14:paraId="52F11410" w14:textId="4F4A6D90" w:rsidR="008547F0" w:rsidRPr="00901390" w:rsidDel="008547F0" w:rsidRDefault="008547F0" w:rsidP="008547F0">
            <w:pPr>
              <w:pStyle w:val="Caption"/>
              <w:rPr>
                <w:b w:val="0"/>
                <w:bCs w:val="0"/>
                <w:sz w:val="22"/>
                <w:szCs w:val="22"/>
              </w:rPr>
            </w:pPr>
            <w:r w:rsidRPr="00901390">
              <w:rPr>
                <w:b w:val="0"/>
                <w:bCs w:val="0"/>
                <w:sz w:val="22"/>
                <w:szCs w:val="22"/>
              </w:rPr>
              <w:t>Y</w:t>
            </w:r>
          </w:p>
        </w:tc>
      </w:tr>
    </w:tbl>
    <w:p w14:paraId="22272F36" w14:textId="4D241D2B" w:rsidR="003E772E" w:rsidRDefault="003E772E">
      <w:pPr>
        <w:rPr>
          <w:sz w:val="20"/>
          <w:szCs w:val="22"/>
        </w:rPr>
      </w:pPr>
    </w:p>
    <w:p w14:paraId="544AE390" w14:textId="593CEE3D" w:rsidR="00A66A0C" w:rsidRDefault="00A66A0C" w:rsidP="00A66A0C">
      <w:pPr>
        <w:spacing w:after="120"/>
        <w:rPr>
          <w:szCs w:val="22"/>
        </w:rPr>
      </w:pPr>
      <w:r w:rsidRPr="00C754C5">
        <w:rPr>
          <w:szCs w:val="22"/>
        </w:rPr>
        <w:t xml:space="preserve">A user must be assigned the appropriate authorisation permissions to use the </w:t>
      </w:r>
      <w:r w:rsidR="002F4ED7">
        <w:rPr>
          <w:szCs w:val="22"/>
        </w:rPr>
        <w:t xml:space="preserve">TPAR </w:t>
      </w:r>
      <w:r w:rsidRPr="00C754C5">
        <w:rPr>
          <w:szCs w:val="22"/>
        </w:rPr>
        <w:t>service. The below table references the SBR service to the relevant permission in Access Manager:</w:t>
      </w:r>
    </w:p>
    <w:p w14:paraId="03538E1D" w14:textId="6651393C" w:rsidR="00421DA1" w:rsidRPr="00BF6432" w:rsidRDefault="00421DA1" w:rsidP="00421DA1">
      <w:pPr>
        <w:pStyle w:val="Caption"/>
        <w:rPr>
          <w:b w:val="0"/>
          <w:bCs w:val="0"/>
          <w:sz w:val="22"/>
          <w:szCs w:val="22"/>
        </w:rPr>
      </w:pPr>
      <w:r w:rsidRPr="00BF6432">
        <w:rPr>
          <w:b w:val="0"/>
          <w:bCs w:val="0"/>
          <w:sz w:val="22"/>
          <w:szCs w:val="22"/>
        </w:rPr>
        <w:t xml:space="preserve">Table </w:t>
      </w:r>
      <w:r w:rsidR="0000715D" w:rsidRPr="00BF6432">
        <w:rPr>
          <w:b w:val="0"/>
          <w:bCs w:val="0"/>
          <w:sz w:val="22"/>
          <w:szCs w:val="22"/>
        </w:rPr>
        <w:t>5</w:t>
      </w:r>
      <w:r w:rsidRPr="00BF6432">
        <w:rPr>
          <w:b w:val="0"/>
          <w:bCs w:val="0"/>
          <w:sz w:val="22"/>
          <w:szCs w:val="22"/>
        </w:rPr>
        <w:t>: Access Manager permissions</w:t>
      </w:r>
      <w:r w:rsidR="001B0E07" w:rsidRPr="00BF6432">
        <w:rPr>
          <w:b w:val="0"/>
          <w:bCs w:val="0"/>
          <w:sz w:val="22"/>
          <w:szCs w:val="22"/>
        </w:rPr>
        <w:t xml:space="preserve"> for TPAR</w:t>
      </w:r>
    </w:p>
    <w:tbl>
      <w:tblPr>
        <w:tblStyle w:val="ATOTable"/>
        <w:tblW w:w="9356" w:type="dxa"/>
        <w:tblInd w:w="-5" w:type="dxa"/>
        <w:tblLook w:val="04A0" w:firstRow="1" w:lastRow="0" w:firstColumn="1" w:lastColumn="0" w:noHBand="0" w:noVBand="1"/>
      </w:tblPr>
      <w:tblGrid>
        <w:gridCol w:w="1949"/>
        <w:gridCol w:w="7407"/>
      </w:tblGrid>
      <w:tr w:rsidR="00421DA1" w:rsidRPr="00BF6432" w14:paraId="654EBCC9" w14:textId="77777777" w:rsidTr="005203E9">
        <w:trPr>
          <w:tblHeader/>
        </w:trPr>
        <w:tc>
          <w:tcPr>
            <w:tcW w:w="1949" w:type="dxa"/>
            <w:shd w:val="clear" w:color="auto" w:fill="B8CCE4" w:themeFill="accent1" w:themeFillTint="66"/>
          </w:tcPr>
          <w:p w14:paraId="5B31240E" w14:textId="77777777" w:rsidR="00421DA1" w:rsidRPr="00BF6432" w:rsidRDefault="00421DA1" w:rsidP="00FA4F27">
            <w:pPr>
              <w:keepNext/>
              <w:rPr>
                <w:szCs w:val="22"/>
              </w:rPr>
            </w:pPr>
            <w:r w:rsidRPr="00BF6432">
              <w:rPr>
                <w:szCs w:val="22"/>
              </w:rPr>
              <w:t>Service</w:t>
            </w:r>
          </w:p>
        </w:tc>
        <w:tc>
          <w:tcPr>
            <w:tcW w:w="7407" w:type="dxa"/>
            <w:shd w:val="clear" w:color="auto" w:fill="B8CCE4" w:themeFill="accent1" w:themeFillTint="66"/>
          </w:tcPr>
          <w:p w14:paraId="07410AFA" w14:textId="77777777" w:rsidR="00421DA1" w:rsidRPr="00BF6432" w:rsidRDefault="00421DA1" w:rsidP="00FA4F27">
            <w:pPr>
              <w:rPr>
                <w:szCs w:val="22"/>
              </w:rPr>
            </w:pPr>
            <w:r w:rsidRPr="00BF6432">
              <w:rPr>
                <w:szCs w:val="22"/>
              </w:rPr>
              <w:t>Access Manager Permission</w:t>
            </w:r>
          </w:p>
        </w:tc>
      </w:tr>
      <w:tr w:rsidR="00C677A7" w:rsidRPr="0053613D" w14:paraId="5F4D9FD6" w14:textId="77777777" w:rsidTr="00437CBF">
        <w:tc>
          <w:tcPr>
            <w:tcW w:w="1949" w:type="dxa"/>
          </w:tcPr>
          <w:p w14:paraId="5FF6CE4F" w14:textId="61B6C66B" w:rsidR="001B0E07" w:rsidRPr="00905B5A" w:rsidRDefault="001B0E07" w:rsidP="0083786F">
            <w:pPr>
              <w:pStyle w:val="Content"/>
              <w:spacing w:before="60" w:after="60"/>
              <w:rPr>
                <w:sz w:val="22"/>
              </w:rPr>
            </w:pPr>
            <w:r w:rsidRPr="00905B5A">
              <w:rPr>
                <w:sz w:val="22"/>
              </w:rPr>
              <w:t>Validate</w:t>
            </w:r>
          </w:p>
        </w:tc>
        <w:tc>
          <w:tcPr>
            <w:tcW w:w="7407" w:type="dxa"/>
          </w:tcPr>
          <w:p w14:paraId="1DADBC77" w14:textId="0A03AF69" w:rsidR="00C677A7" w:rsidRPr="00905B5A" w:rsidRDefault="00C677A7" w:rsidP="00FA4F27">
            <w:pPr>
              <w:rPr>
                <w:rFonts w:cs="Arial"/>
              </w:rPr>
            </w:pPr>
            <w:r w:rsidRPr="00905B5A">
              <w:rPr>
                <w:rFonts w:cs="Arial"/>
              </w:rPr>
              <w:t>Client.TPAR.</w:t>
            </w:r>
            <w:r w:rsidR="001B0E07" w:rsidRPr="00905B5A">
              <w:rPr>
                <w:rFonts w:cs="Arial"/>
              </w:rPr>
              <w:t xml:space="preserve">Prepare </w:t>
            </w:r>
            <w:r w:rsidRPr="00905B5A">
              <w:rPr>
                <w:rFonts w:cs="Arial"/>
              </w:rPr>
              <w:t>(Agents)</w:t>
            </w:r>
          </w:p>
          <w:p w14:paraId="1A558EA2" w14:textId="4A6D06E4" w:rsidR="00C677A7" w:rsidRPr="00905B5A" w:rsidRDefault="00C677A7" w:rsidP="00FA4F27">
            <w:pPr>
              <w:rPr>
                <w:szCs w:val="22"/>
              </w:rPr>
            </w:pPr>
            <w:r w:rsidRPr="00905B5A">
              <w:t>TPAR.</w:t>
            </w:r>
            <w:r w:rsidR="001B0E07" w:rsidRPr="00905B5A">
              <w:t xml:space="preserve">Prepare </w:t>
            </w:r>
            <w:r w:rsidRPr="00905B5A">
              <w:t>(Businesses)</w:t>
            </w:r>
          </w:p>
        </w:tc>
      </w:tr>
      <w:tr w:rsidR="001B0E07" w:rsidRPr="0053613D" w14:paraId="1D673FB9" w14:textId="77777777" w:rsidTr="00437CBF">
        <w:tc>
          <w:tcPr>
            <w:tcW w:w="1949" w:type="dxa"/>
          </w:tcPr>
          <w:p w14:paraId="55C168B5" w14:textId="1FAB77BA" w:rsidR="001B0E07" w:rsidRPr="00905B5A" w:rsidRDefault="001B0E07" w:rsidP="00FA4F27">
            <w:pPr>
              <w:pStyle w:val="Content"/>
              <w:spacing w:before="60" w:after="60"/>
              <w:rPr>
                <w:sz w:val="22"/>
              </w:rPr>
            </w:pPr>
            <w:r w:rsidRPr="00905B5A">
              <w:rPr>
                <w:sz w:val="22"/>
              </w:rPr>
              <w:t>Submit</w:t>
            </w:r>
          </w:p>
        </w:tc>
        <w:tc>
          <w:tcPr>
            <w:tcW w:w="7407" w:type="dxa"/>
          </w:tcPr>
          <w:p w14:paraId="74C9557B" w14:textId="101CEB0C" w:rsidR="001B0E07" w:rsidRPr="00905B5A" w:rsidRDefault="001B0E07" w:rsidP="001B0E07">
            <w:pPr>
              <w:rPr>
                <w:rFonts w:cs="Arial"/>
              </w:rPr>
            </w:pPr>
            <w:r w:rsidRPr="00905B5A">
              <w:rPr>
                <w:rFonts w:cs="Arial"/>
              </w:rPr>
              <w:t>Client.TPAR.Submit (Agents)</w:t>
            </w:r>
          </w:p>
          <w:p w14:paraId="77DABBE5" w14:textId="6AE1465E" w:rsidR="001B0E07" w:rsidRPr="00905B5A" w:rsidRDefault="001B0E07" w:rsidP="001B0E07">
            <w:pPr>
              <w:rPr>
                <w:rFonts w:cs="Arial"/>
              </w:rPr>
            </w:pPr>
            <w:r w:rsidRPr="00905B5A">
              <w:t>TPAR.Submit (Businesses)</w:t>
            </w:r>
          </w:p>
        </w:tc>
      </w:tr>
    </w:tbl>
    <w:p w14:paraId="44E41614" w14:textId="4EF291D0" w:rsidR="00421DA1" w:rsidRDefault="00421DA1" w:rsidP="00A66A0C">
      <w:pPr>
        <w:spacing w:after="120"/>
        <w:rPr>
          <w:szCs w:val="22"/>
        </w:rPr>
      </w:pPr>
    </w:p>
    <w:p w14:paraId="4AD0C92E" w14:textId="77777777" w:rsidR="007C63F5" w:rsidRDefault="007C63F5" w:rsidP="00A66A0C">
      <w:pPr>
        <w:spacing w:after="120"/>
        <w:rPr>
          <w:szCs w:val="22"/>
        </w:rPr>
      </w:pPr>
    </w:p>
    <w:p w14:paraId="79405519" w14:textId="40684D43" w:rsidR="00D43EC9" w:rsidRDefault="00D43EC9" w:rsidP="00776DED">
      <w:pPr>
        <w:pStyle w:val="Head1"/>
      </w:pPr>
      <w:bookmarkStart w:id="140" w:name="_Toc468880177"/>
      <w:bookmarkStart w:id="141" w:name="_Toc113894703"/>
      <w:r>
        <w:t>C</w:t>
      </w:r>
      <w:r w:rsidR="007F0637">
        <w:rPr>
          <w:caps w:val="0"/>
        </w:rPr>
        <w:t>onstraints and known issues</w:t>
      </w:r>
      <w:bookmarkEnd w:id="140"/>
      <w:bookmarkEnd w:id="141"/>
    </w:p>
    <w:p w14:paraId="60FD93C8" w14:textId="3D83611A" w:rsidR="00404195" w:rsidRPr="00404195" w:rsidRDefault="00150775" w:rsidP="003567A7">
      <w:pPr>
        <w:pStyle w:val="Head2"/>
        <w:rPr>
          <w:sz w:val="20"/>
        </w:rPr>
      </w:pPr>
      <w:bookmarkStart w:id="142" w:name="_Toc405989462"/>
      <w:bookmarkStart w:id="143" w:name="_Toc405989510"/>
      <w:bookmarkStart w:id="144" w:name="_Toc405993411"/>
      <w:bookmarkStart w:id="145" w:name="_Toc405995098"/>
      <w:bookmarkStart w:id="146" w:name="_Toc405995243"/>
      <w:bookmarkStart w:id="147" w:name="_Toc405996906"/>
      <w:bookmarkStart w:id="148" w:name="_Toc405989463"/>
      <w:bookmarkStart w:id="149" w:name="_Toc405989511"/>
      <w:bookmarkStart w:id="150" w:name="_Toc405993412"/>
      <w:bookmarkStart w:id="151" w:name="_Toc405995099"/>
      <w:bookmarkStart w:id="152" w:name="_Toc405995244"/>
      <w:bookmarkStart w:id="153" w:name="_Toc405996907"/>
      <w:bookmarkStart w:id="154" w:name="_Toc405989464"/>
      <w:bookmarkStart w:id="155" w:name="_Toc405989512"/>
      <w:bookmarkStart w:id="156" w:name="_Toc405993413"/>
      <w:bookmarkStart w:id="157" w:name="_Toc405995100"/>
      <w:bookmarkStart w:id="158" w:name="_Toc405995245"/>
      <w:bookmarkStart w:id="159" w:name="_Toc405996908"/>
      <w:bookmarkStart w:id="160" w:name="_Toc405989465"/>
      <w:bookmarkStart w:id="161" w:name="_Toc405989513"/>
      <w:bookmarkStart w:id="162" w:name="_Toc405993414"/>
      <w:bookmarkStart w:id="163" w:name="_Toc405995101"/>
      <w:bookmarkStart w:id="164" w:name="_Toc405995246"/>
      <w:bookmarkStart w:id="165" w:name="_Toc405996909"/>
      <w:bookmarkStart w:id="166" w:name="_Toc82592642"/>
      <w:bookmarkStart w:id="167" w:name="_Toc11389470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caps/>
        </w:rPr>
        <w:t>U</w:t>
      </w:r>
      <w:r>
        <w:t xml:space="preserve">sage </w:t>
      </w:r>
      <w:r w:rsidR="00D92B67">
        <w:t>restrictions</w:t>
      </w:r>
      <w:bookmarkEnd w:id="166"/>
      <w:bookmarkEnd w:id="167"/>
    </w:p>
    <w:p w14:paraId="74648424" w14:textId="238D52C1" w:rsidR="00404195" w:rsidRDefault="00404195" w:rsidP="00404195">
      <w:pPr>
        <w:rPr>
          <w:rFonts w:cs="Arial"/>
          <w:szCs w:val="22"/>
        </w:rPr>
      </w:pPr>
      <w:r>
        <w:rPr>
          <w:rFonts w:cs="Arial"/>
          <w:szCs w:val="22"/>
        </w:rPr>
        <w:t xml:space="preserve">Digital </w:t>
      </w:r>
      <w:r w:rsidR="0053613D">
        <w:rPr>
          <w:rFonts w:cs="Arial"/>
          <w:szCs w:val="22"/>
        </w:rPr>
        <w:t>S</w:t>
      </w:r>
      <w:r>
        <w:rPr>
          <w:rFonts w:cs="Arial"/>
          <w:szCs w:val="22"/>
        </w:rPr>
        <w:t xml:space="preserve">ervice </w:t>
      </w:r>
      <w:r w:rsidR="0053613D">
        <w:rPr>
          <w:rFonts w:cs="Arial"/>
          <w:szCs w:val="22"/>
        </w:rPr>
        <w:t>P</w:t>
      </w:r>
      <w:r>
        <w:rPr>
          <w:rFonts w:cs="Arial"/>
          <w:szCs w:val="22"/>
        </w:rPr>
        <w:t xml:space="preserve">roviders (DSPs) </w:t>
      </w:r>
      <w:r w:rsidR="0053613D">
        <w:rPr>
          <w:rFonts w:cs="Arial"/>
          <w:szCs w:val="22"/>
        </w:rPr>
        <w:t>must</w:t>
      </w:r>
      <w:r>
        <w:rPr>
          <w:rFonts w:cs="Arial"/>
          <w:szCs w:val="22"/>
        </w:rPr>
        <w:t xml:space="preserve"> be aware of the usage restrictions, which are described within the Reasonable Use policy. The ATO actively monitors the use of services and will notify DSPs that contravene this policy. Continued breaches may result in de-whitelisting.</w:t>
      </w:r>
    </w:p>
    <w:p w14:paraId="4F2E577B" w14:textId="58620EB2" w:rsidR="00404195" w:rsidRDefault="00404195" w:rsidP="00404195">
      <w:pPr>
        <w:rPr>
          <w:rFonts w:cs="Arial"/>
          <w:szCs w:val="22"/>
        </w:rPr>
      </w:pPr>
    </w:p>
    <w:p w14:paraId="7BD069B7" w14:textId="11AB4661" w:rsidR="00D94783" w:rsidRPr="00741866" w:rsidRDefault="005C7318" w:rsidP="00404195">
      <w:pPr>
        <w:rPr>
          <w:rFonts w:cs="Arial"/>
          <w:b/>
          <w:bCs/>
          <w:color w:val="404040" w:themeColor="text1" w:themeTint="BF"/>
          <w:szCs w:val="22"/>
        </w:rPr>
      </w:pPr>
      <w:r w:rsidRPr="004C49C8">
        <w:rPr>
          <w:rFonts w:cs="Arial"/>
          <w:b/>
          <w:bCs/>
          <w:color w:val="404040" w:themeColor="text1" w:themeTint="BF"/>
          <w:szCs w:val="22"/>
        </w:rPr>
        <w:t>Find out about:</w:t>
      </w:r>
    </w:p>
    <w:p w14:paraId="5BAC5E9D" w14:textId="711A8F3A" w:rsidR="002374AF" w:rsidRPr="001D565A" w:rsidRDefault="005C7318" w:rsidP="001D565A">
      <w:pPr>
        <w:pStyle w:val="ListParagraph"/>
        <w:keepNext/>
        <w:keepLines/>
        <w:widowControl w:val="0"/>
        <w:numPr>
          <w:ilvl w:val="0"/>
          <w:numId w:val="38"/>
        </w:numPr>
        <w:jc w:val="both"/>
        <w:rPr>
          <w:rFonts w:ascii="Arial" w:hAnsi="Arial" w:cs="Arial"/>
          <w:sz w:val="22"/>
          <w:szCs w:val="22"/>
        </w:rPr>
      </w:pPr>
      <w:r w:rsidRPr="009C0BC0">
        <w:rPr>
          <w:rFonts w:ascii="Arial" w:hAnsi="Arial" w:cs="Arial"/>
          <w:sz w:val="22"/>
          <w:szCs w:val="22"/>
        </w:rPr>
        <w:t>T</w:t>
      </w:r>
      <w:r w:rsidR="002374AF" w:rsidRPr="009C0BC0">
        <w:rPr>
          <w:rFonts w:ascii="Arial" w:hAnsi="Arial" w:cs="Arial"/>
          <w:sz w:val="22"/>
          <w:szCs w:val="22"/>
        </w:rPr>
        <w:t>he</w:t>
      </w:r>
      <w:r w:rsidR="002374AF" w:rsidRPr="001D565A">
        <w:rPr>
          <w:rFonts w:ascii="Arial" w:hAnsi="Arial" w:cs="Arial"/>
          <w:b/>
          <w:bCs/>
          <w:sz w:val="22"/>
          <w:szCs w:val="22"/>
        </w:rPr>
        <w:t xml:space="preserve"> </w:t>
      </w:r>
      <w:hyperlink r:id="rId26" w:history="1">
        <w:r w:rsidR="004613A2">
          <w:rPr>
            <w:rStyle w:val="Hyperlink"/>
            <w:rFonts w:ascii="Arial" w:hAnsi="Arial" w:cs="Arial"/>
            <w:b w:val="0"/>
            <w:bCs/>
            <w:sz w:val="22"/>
            <w:szCs w:val="22"/>
          </w:rPr>
          <w:t>Reasonable use policy</w:t>
        </w:r>
      </w:hyperlink>
      <w:r w:rsidR="002374AF" w:rsidRPr="009C0BC0">
        <w:rPr>
          <w:rFonts w:ascii="Arial" w:hAnsi="Arial" w:cs="Arial"/>
          <w:b/>
          <w:bCs/>
          <w:sz w:val="22"/>
          <w:szCs w:val="22"/>
        </w:rPr>
        <w:t>.</w:t>
      </w:r>
    </w:p>
    <w:p w14:paraId="60484ABE" w14:textId="7EB6851C" w:rsidR="00774947" w:rsidRPr="00E8494F" w:rsidRDefault="00774947" w:rsidP="002374AF">
      <w:pPr>
        <w:pStyle w:val="ListParagraph"/>
        <w:keepNext/>
        <w:keepLines/>
        <w:widowControl w:val="0"/>
        <w:rPr>
          <w:rFonts w:ascii="Arial" w:hAnsi="Arial" w:cs="Arial"/>
          <w:sz w:val="22"/>
          <w:szCs w:val="22"/>
        </w:rPr>
      </w:pPr>
    </w:p>
    <w:p w14:paraId="3FDEF402" w14:textId="15ADF612" w:rsidR="00776DED" w:rsidRDefault="00776DED">
      <w:pPr>
        <w:rPr>
          <w:rFonts w:ascii="Times New Roman" w:hAnsi="Times New Roman"/>
          <w:sz w:val="24"/>
          <w:szCs w:val="22"/>
        </w:rPr>
      </w:pPr>
    </w:p>
    <w:p w14:paraId="041A557F" w14:textId="077E80A5" w:rsidR="00D43EC9" w:rsidRPr="001A1239" w:rsidRDefault="00D43EC9" w:rsidP="00776DED">
      <w:pPr>
        <w:pStyle w:val="Head1"/>
      </w:pPr>
      <w:bookmarkStart w:id="168" w:name="_Toc77764265"/>
      <w:bookmarkStart w:id="169" w:name="_Toc468880180"/>
      <w:bookmarkStart w:id="170" w:name="_Toc113894705"/>
      <w:bookmarkEnd w:id="168"/>
      <w:r w:rsidRPr="001A1239">
        <w:t>T</w:t>
      </w:r>
      <w:r w:rsidR="007F0637" w:rsidRPr="001A1239">
        <w:rPr>
          <w:caps w:val="0"/>
        </w:rPr>
        <w:t>axpayer declarations</w:t>
      </w:r>
      <w:bookmarkEnd w:id="169"/>
      <w:r w:rsidR="007F0637" w:rsidRPr="001A1239">
        <w:rPr>
          <w:caps w:val="0"/>
        </w:rPr>
        <w:t xml:space="preserve"> </w:t>
      </w:r>
      <w:bookmarkEnd w:id="170"/>
    </w:p>
    <w:p w14:paraId="1832324B" w14:textId="2AE3B61C" w:rsidR="00D43EC9" w:rsidRPr="00C754C5" w:rsidRDefault="00D43EC9" w:rsidP="00D43EC9">
      <w:pPr>
        <w:pStyle w:val="Maintext"/>
        <w:rPr>
          <w:rStyle w:val="BodyTextChar1"/>
          <w:szCs w:val="22"/>
        </w:rPr>
      </w:pPr>
      <w:r w:rsidRPr="00C754C5">
        <w:rPr>
          <w:rStyle w:val="BodyTextChar1"/>
          <w:szCs w:val="22"/>
        </w:rPr>
        <w:t>Each time an intermediary lodges an approved form on behalf of a taxpayer the law requires the intermediary to have first received a signed written declaration from that taxpayer.</w:t>
      </w:r>
      <w:r w:rsidR="00BC00D1">
        <w:rPr>
          <w:rStyle w:val="BodyTextChar1"/>
          <w:szCs w:val="22"/>
        </w:rPr>
        <w:t xml:space="preserve"> Developers</w:t>
      </w:r>
      <w:r w:rsidRPr="00C754C5">
        <w:rPr>
          <w:rStyle w:val="BodyTextChar1"/>
          <w:szCs w:val="22"/>
        </w:rPr>
        <w:t xml:space="preserve"> of SBR-enabled software products may elect to provide a printable version of the taxpayer declaration within their products to assist intermediaries.</w:t>
      </w:r>
      <w:r w:rsidR="00BC00D1">
        <w:rPr>
          <w:rStyle w:val="BodyTextChar1"/>
          <w:szCs w:val="22"/>
        </w:rPr>
        <w:t xml:space="preserve"> A taxpayer </w:t>
      </w:r>
      <w:r w:rsidRPr="00C754C5">
        <w:rPr>
          <w:rStyle w:val="BodyTextChar1"/>
          <w:szCs w:val="22"/>
        </w:rPr>
        <w:t>declaration must be obtained by the intermediary for all lodgment obligations performed on behalf of their client</w:t>
      </w:r>
      <w:r w:rsidR="001B149D" w:rsidRPr="00C754C5">
        <w:rPr>
          <w:rStyle w:val="BodyTextChar1"/>
          <w:szCs w:val="22"/>
        </w:rPr>
        <w:t>.</w:t>
      </w:r>
    </w:p>
    <w:p w14:paraId="5DDF1097" w14:textId="31242060" w:rsidR="00D43EC9" w:rsidRPr="00C754C5" w:rsidRDefault="00D43EC9" w:rsidP="00D43EC9">
      <w:pPr>
        <w:pStyle w:val="Maintext"/>
        <w:rPr>
          <w:rStyle w:val="BodyTextChar1"/>
          <w:szCs w:val="22"/>
        </w:rPr>
      </w:pPr>
      <w:r w:rsidRPr="00C754C5">
        <w:rPr>
          <w:rStyle w:val="BodyTextChar1"/>
          <w:szCs w:val="22"/>
        </w:rPr>
        <w:t xml:space="preserve">These declarations apply, not just for original lodgments, but when lodging amendments to </w:t>
      </w:r>
      <w:r w:rsidR="009B4319">
        <w:rPr>
          <w:rStyle w:val="BodyTextChar1"/>
          <w:szCs w:val="22"/>
        </w:rPr>
        <w:t>TPAR</w:t>
      </w:r>
      <w:r w:rsidRPr="00C754C5">
        <w:rPr>
          <w:rStyle w:val="BodyTextChar1"/>
          <w:szCs w:val="22"/>
        </w:rPr>
        <w:t>.</w:t>
      </w:r>
    </w:p>
    <w:p w14:paraId="518C68BD" w14:textId="77777777" w:rsidR="002A564D" w:rsidRPr="00C754C5" w:rsidRDefault="002A564D" w:rsidP="00D43EC9">
      <w:pPr>
        <w:pStyle w:val="Maintext"/>
        <w:rPr>
          <w:rStyle w:val="BodyTextChar1"/>
          <w:szCs w:val="22"/>
        </w:rPr>
      </w:pPr>
    </w:p>
    <w:p w14:paraId="2DEA27E8" w14:textId="70242627" w:rsidR="006B1C00" w:rsidRPr="00741866" w:rsidRDefault="0053613D" w:rsidP="00D43EC9">
      <w:pPr>
        <w:pStyle w:val="Maintext"/>
        <w:rPr>
          <w:rStyle w:val="BodyTextChar1"/>
          <w:b/>
          <w:bCs/>
          <w:color w:val="404040" w:themeColor="text1" w:themeTint="BF"/>
          <w:szCs w:val="22"/>
        </w:rPr>
      </w:pPr>
      <w:r w:rsidRPr="00C754C5">
        <w:rPr>
          <w:rStyle w:val="BodyTextChar1"/>
          <w:b/>
          <w:bCs/>
          <w:color w:val="404040" w:themeColor="text1" w:themeTint="BF"/>
          <w:szCs w:val="22"/>
        </w:rPr>
        <w:t>Find out about:</w:t>
      </w:r>
    </w:p>
    <w:p w14:paraId="129B0C7B" w14:textId="48213BC7" w:rsidR="00D43EC9" w:rsidRPr="00404195" w:rsidRDefault="00BC00D1" w:rsidP="00DD395D">
      <w:pPr>
        <w:pStyle w:val="Maintext"/>
        <w:numPr>
          <w:ilvl w:val="0"/>
          <w:numId w:val="20"/>
        </w:numPr>
        <w:rPr>
          <w:szCs w:val="22"/>
        </w:rPr>
      </w:pPr>
      <w:r>
        <w:rPr>
          <w:rStyle w:val="BodyTextChar1"/>
          <w:szCs w:val="22"/>
        </w:rPr>
        <w:t>I</w:t>
      </w:r>
      <w:r w:rsidR="00D43EC9" w:rsidRPr="00C754C5">
        <w:rPr>
          <w:rStyle w:val="BodyTextChar1"/>
          <w:szCs w:val="22"/>
        </w:rPr>
        <w:t xml:space="preserve">nformation on the retention of declarations </w:t>
      </w:r>
      <w:r w:rsidR="0053613D">
        <w:rPr>
          <w:rStyle w:val="BodyTextChar1"/>
          <w:szCs w:val="22"/>
        </w:rPr>
        <w:t>on</w:t>
      </w:r>
      <w:r w:rsidR="00D43EC9" w:rsidRPr="00C754C5">
        <w:rPr>
          <w:rStyle w:val="BodyTextChar1"/>
          <w:szCs w:val="22"/>
        </w:rPr>
        <w:t xml:space="preserve"> the</w:t>
      </w:r>
      <w:r w:rsidR="00D43EC9" w:rsidRPr="00404195">
        <w:rPr>
          <w:szCs w:val="22"/>
        </w:rPr>
        <w:t xml:space="preserve"> </w:t>
      </w:r>
      <w:hyperlink r:id="rId27" w:history="1">
        <w:r w:rsidR="00D43EC9" w:rsidRPr="004C49C8">
          <w:rPr>
            <w:rStyle w:val="Hyperlink"/>
            <w:b w:val="0"/>
            <w:bCs/>
            <w:noProof w:val="0"/>
            <w:szCs w:val="22"/>
          </w:rPr>
          <w:t>ATO website</w:t>
        </w:r>
      </w:hyperlink>
      <w:r w:rsidR="00ED6787" w:rsidRPr="004C49C8">
        <w:rPr>
          <w:b/>
          <w:bCs/>
          <w:szCs w:val="22"/>
        </w:rPr>
        <w:t>.</w:t>
      </w:r>
    </w:p>
    <w:p w14:paraId="613A7AC9" w14:textId="7A9C3EDC" w:rsidR="00E95114" w:rsidRDefault="00DC64B6" w:rsidP="003567A7">
      <w:pPr>
        <w:pStyle w:val="Head2"/>
      </w:pPr>
      <w:bookmarkStart w:id="171" w:name="_Toc410142405"/>
      <w:bookmarkStart w:id="172" w:name="_Toc416181638"/>
      <w:bookmarkStart w:id="173" w:name="_Toc113894706"/>
      <w:bookmarkEnd w:id="171"/>
      <w:r>
        <w:t>S</w:t>
      </w:r>
      <w:r w:rsidR="00261920">
        <w:t>uggested wording</w:t>
      </w:r>
      <w:bookmarkEnd w:id="172"/>
      <w:bookmarkEnd w:id="173"/>
    </w:p>
    <w:p w14:paraId="5724695E" w14:textId="0BF4B6B7" w:rsidR="00776DED" w:rsidRDefault="00776DED" w:rsidP="00776DED">
      <w:pPr>
        <w:pStyle w:val="Maintex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776DED" w14:paraId="1EC171CC" w14:textId="77777777" w:rsidTr="00FA4F27">
        <w:tc>
          <w:tcPr>
            <w:tcW w:w="9464" w:type="dxa"/>
            <w:tcMar>
              <w:top w:w="0" w:type="dxa"/>
              <w:left w:w="108" w:type="dxa"/>
              <w:bottom w:w="0" w:type="dxa"/>
              <w:right w:w="108" w:type="dxa"/>
            </w:tcMar>
          </w:tcPr>
          <w:p w14:paraId="6E67068F" w14:textId="77777777" w:rsidR="00776DED" w:rsidRPr="00C754C5" w:rsidRDefault="00776DED" w:rsidP="00FA4F27">
            <w:pPr>
              <w:rPr>
                <w:snapToGrid w:val="0"/>
                <w:szCs w:val="22"/>
              </w:rPr>
            </w:pPr>
          </w:p>
          <w:p w14:paraId="01737B56" w14:textId="77777777" w:rsidR="00776DED" w:rsidRPr="00C754C5" w:rsidRDefault="00776DED" w:rsidP="00FA4F27">
            <w:pPr>
              <w:rPr>
                <w:szCs w:val="22"/>
              </w:rPr>
            </w:pPr>
            <w:r w:rsidRPr="00C754C5">
              <w:rPr>
                <w:szCs w:val="22"/>
              </w:rPr>
              <w:t>Taxation law authorises the ATO to collect information and to disclose it to other government agencies. For information about your privacy go to ato.gov.au/privacy</w:t>
            </w:r>
          </w:p>
          <w:p w14:paraId="464F4E8F" w14:textId="77777777" w:rsidR="00776DED" w:rsidRPr="00BF6432" w:rsidRDefault="00776DED" w:rsidP="00FA4F27">
            <w:pPr>
              <w:pStyle w:val="BodyText"/>
              <w:spacing w:after="0"/>
              <w:rPr>
                <w:rFonts w:cs="Arial"/>
                <w:szCs w:val="22"/>
              </w:rPr>
            </w:pPr>
            <w:r w:rsidRPr="00BF6432">
              <w:rPr>
                <w:rFonts w:cs="Arial"/>
                <w:szCs w:val="22"/>
              </w:rPr>
              <w:t>Declaration</w:t>
            </w:r>
          </w:p>
          <w:p w14:paraId="4269CBF8" w14:textId="6FC2BA63" w:rsidR="003F285E" w:rsidRPr="00A41F53" w:rsidRDefault="003F285E" w:rsidP="003F285E">
            <w:pPr>
              <w:rPr>
                <w:lang w:eastAsia="en-US"/>
              </w:rPr>
            </w:pPr>
          </w:p>
          <w:p w14:paraId="69A9B9CA" w14:textId="77777777" w:rsidR="003F285E" w:rsidRPr="00BF6432" w:rsidRDefault="003F285E" w:rsidP="003F285E">
            <w:r w:rsidRPr="00BF6432">
              <w:t>If lodged by an entity relating to their own personal tax affairs:</w:t>
            </w:r>
          </w:p>
          <w:p w14:paraId="59A93CE6" w14:textId="77777777" w:rsidR="003F285E" w:rsidRPr="00A41F53" w:rsidRDefault="003F285E" w:rsidP="003F285E">
            <w:r w:rsidRPr="00A41F53">
              <w:t xml:space="preserve"> ‘I declare that the information I am providing is true and correct.’</w:t>
            </w:r>
          </w:p>
          <w:p w14:paraId="1CB23B0A" w14:textId="77777777" w:rsidR="003F285E" w:rsidRPr="00BF6432" w:rsidRDefault="003F285E" w:rsidP="003F285E"/>
          <w:p w14:paraId="286FA92B" w14:textId="77777777" w:rsidR="00C64BF5" w:rsidRPr="00A41F53" w:rsidRDefault="003F285E" w:rsidP="003F285E">
            <w:r w:rsidRPr="00BF6432">
              <w:t>If lodged by an authorised agent on behalf of an entity:</w:t>
            </w:r>
            <w:r w:rsidRPr="00A41F53">
              <w:t xml:space="preserve"> </w:t>
            </w:r>
          </w:p>
          <w:p w14:paraId="10A89F19" w14:textId="77777777" w:rsidR="00C64BF5" w:rsidRPr="0000715D" w:rsidRDefault="003F285E" w:rsidP="003F285E">
            <w:pPr>
              <w:rPr>
                <w:rFonts w:cs="Arial"/>
                <w:szCs w:val="22"/>
              </w:rPr>
            </w:pPr>
            <w:r w:rsidRPr="00A6741B">
              <w:rPr>
                <w:rFonts w:cs="Arial"/>
                <w:szCs w:val="22"/>
              </w:rPr>
              <w:t xml:space="preserve">‘I declare: </w:t>
            </w:r>
          </w:p>
          <w:p w14:paraId="61F144AE" w14:textId="5B92C631" w:rsidR="00C64BF5" w:rsidRPr="00415A94" w:rsidRDefault="00FE64B9" w:rsidP="00C64BF5">
            <w:pPr>
              <w:pStyle w:val="ListParagraph"/>
              <w:numPr>
                <w:ilvl w:val="0"/>
                <w:numId w:val="15"/>
              </w:numPr>
              <w:rPr>
                <w:rFonts w:ascii="Arial" w:hAnsi="Arial" w:cs="Arial"/>
                <w:sz w:val="22"/>
                <w:szCs w:val="22"/>
              </w:rPr>
            </w:pPr>
            <w:r>
              <w:rPr>
                <w:rFonts w:ascii="Arial" w:hAnsi="Arial" w:cs="Arial"/>
                <w:sz w:val="22"/>
                <w:szCs w:val="22"/>
              </w:rPr>
              <w:t>T</w:t>
            </w:r>
            <w:r w:rsidRPr="00415A94">
              <w:rPr>
                <w:rFonts w:ascii="Arial" w:hAnsi="Arial" w:cs="Arial"/>
                <w:sz w:val="22"/>
                <w:szCs w:val="22"/>
              </w:rPr>
              <w:t xml:space="preserve">his </w:t>
            </w:r>
            <w:r w:rsidR="003F285E" w:rsidRPr="00415A94">
              <w:rPr>
                <w:rFonts w:ascii="Arial" w:hAnsi="Arial" w:cs="Arial"/>
                <w:sz w:val="22"/>
                <w:szCs w:val="22"/>
              </w:rPr>
              <w:t xml:space="preserve">document has been prepared in accordance with information supplied by the </w:t>
            </w:r>
            <w:r w:rsidR="00C64BF5" w:rsidRPr="00415A94">
              <w:rPr>
                <w:rFonts w:ascii="Arial" w:hAnsi="Arial" w:cs="Arial"/>
                <w:sz w:val="22"/>
                <w:szCs w:val="22"/>
              </w:rPr>
              <w:t>entity.</w:t>
            </w:r>
            <w:r w:rsidR="003F285E" w:rsidRPr="00415A94">
              <w:rPr>
                <w:rFonts w:ascii="Arial" w:hAnsi="Arial" w:cs="Arial"/>
                <w:sz w:val="22"/>
                <w:szCs w:val="22"/>
              </w:rPr>
              <w:t xml:space="preserve"> </w:t>
            </w:r>
          </w:p>
          <w:p w14:paraId="58D08B17" w14:textId="6ED0555E" w:rsidR="00C64BF5" w:rsidRPr="00415A94" w:rsidRDefault="003F285E" w:rsidP="00C64BF5">
            <w:pPr>
              <w:pStyle w:val="ListParagraph"/>
              <w:numPr>
                <w:ilvl w:val="0"/>
                <w:numId w:val="15"/>
              </w:numPr>
              <w:rPr>
                <w:rFonts w:ascii="Arial" w:hAnsi="Arial" w:cs="Arial"/>
                <w:sz w:val="22"/>
                <w:szCs w:val="22"/>
              </w:rPr>
            </w:pPr>
            <w:r w:rsidRPr="00415A94">
              <w:rPr>
                <w:rFonts w:ascii="Arial" w:hAnsi="Arial" w:cs="Arial"/>
                <w:sz w:val="22"/>
                <w:szCs w:val="22"/>
              </w:rPr>
              <w:t>I have received a declaration from the entity stating that the information is true and correct</w:t>
            </w:r>
            <w:r w:rsidR="00FE64B9">
              <w:rPr>
                <w:rFonts w:ascii="Arial" w:hAnsi="Arial" w:cs="Arial"/>
                <w:sz w:val="22"/>
                <w:szCs w:val="22"/>
              </w:rPr>
              <w:t>,</w:t>
            </w:r>
            <w:r w:rsidR="00FE64B9" w:rsidRPr="00415A94">
              <w:rPr>
                <w:rFonts w:ascii="Arial" w:hAnsi="Arial" w:cs="Arial"/>
                <w:sz w:val="22"/>
                <w:szCs w:val="22"/>
              </w:rPr>
              <w:t xml:space="preserve"> </w:t>
            </w:r>
            <w:r w:rsidRPr="00415A94">
              <w:rPr>
                <w:rFonts w:ascii="Arial" w:hAnsi="Arial" w:cs="Arial"/>
                <w:sz w:val="22"/>
                <w:szCs w:val="22"/>
              </w:rPr>
              <w:t>and</w:t>
            </w:r>
          </w:p>
          <w:p w14:paraId="1C756B3E" w14:textId="391F72A6" w:rsidR="003F285E" w:rsidRPr="00415A94" w:rsidRDefault="003F285E" w:rsidP="00C64BF5">
            <w:pPr>
              <w:pStyle w:val="ListParagraph"/>
              <w:numPr>
                <w:ilvl w:val="0"/>
                <w:numId w:val="15"/>
              </w:numPr>
              <w:rPr>
                <w:rFonts w:ascii="Arial" w:hAnsi="Arial" w:cs="Arial"/>
                <w:sz w:val="22"/>
                <w:szCs w:val="22"/>
              </w:rPr>
            </w:pPr>
            <w:r w:rsidRPr="00415A94">
              <w:rPr>
                <w:rFonts w:ascii="Arial" w:hAnsi="Arial" w:cs="Arial"/>
                <w:sz w:val="22"/>
                <w:szCs w:val="22"/>
              </w:rPr>
              <w:t>I am authorised by the entity to give this document to the Commissioner of Taxation</w:t>
            </w:r>
            <w:r w:rsidR="00FE64B9">
              <w:rPr>
                <w:rFonts w:ascii="Arial" w:hAnsi="Arial" w:cs="Arial"/>
                <w:sz w:val="22"/>
                <w:szCs w:val="22"/>
              </w:rPr>
              <w:t>.</w:t>
            </w:r>
            <w:r w:rsidRPr="00415A94">
              <w:rPr>
                <w:rFonts w:ascii="Arial" w:hAnsi="Arial" w:cs="Arial"/>
                <w:sz w:val="22"/>
                <w:szCs w:val="22"/>
              </w:rPr>
              <w:t>’</w:t>
            </w:r>
          </w:p>
          <w:p w14:paraId="3551D0BB" w14:textId="77777777" w:rsidR="00776DED" w:rsidRPr="0097776C" w:rsidRDefault="00776DED" w:rsidP="00C64BF5">
            <w:pPr>
              <w:pStyle w:val="BulletedList"/>
              <w:widowControl/>
              <w:autoSpaceDE/>
              <w:autoSpaceDN/>
              <w:adjustRightInd/>
              <w:ind w:left="0" w:firstLine="0"/>
              <w:rPr>
                <w:sz w:val="16"/>
                <w:szCs w:val="16"/>
              </w:rPr>
            </w:pPr>
          </w:p>
        </w:tc>
      </w:tr>
    </w:tbl>
    <w:p w14:paraId="1743F445" w14:textId="0570BFF0" w:rsidR="00776DED" w:rsidRDefault="00776DED" w:rsidP="00776DED">
      <w:pPr>
        <w:pStyle w:val="Maintext"/>
      </w:pPr>
    </w:p>
    <w:p w14:paraId="649A4DF8" w14:textId="77777777" w:rsidR="00776DED" w:rsidRPr="00437CBF" w:rsidRDefault="00776DED" w:rsidP="00437CBF">
      <w:pPr>
        <w:pStyle w:val="Maintext"/>
      </w:pPr>
    </w:p>
    <w:p w14:paraId="77FBDEDE" w14:textId="012F3861" w:rsidR="0021701A" w:rsidRDefault="009B4319" w:rsidP="00776DED">
      <w:pPr>
        <w:pStyle w:val="Head1"/>
      </w:pPr>
      <w:bookmarkStart w:id="174" w:name="_Toc113894707"/>
      <w:r>
        <w:t xml:space="preserve">TPAR </w:t>
      </w:r>
      <w:r w:rsidR="007F0637">
        <w:rPr>
          <w:caps w:val="0"/>
        </w:rPr>
        <w:t xml:space="preserve">guidance </w:t>
      </w:r>
      <w:bookmarkEnd w:id="174"/>
    </w:p>
    <w:p w14:paraId="057A6AC0" w14:textId="5D014E08" w:rsidR="00C326B5" w:rsidRPr="00FD3E6C" w:rsidRDefault="00C326B5" w:rsidP="003567A7">
      <w:pPr>
        <w:pStyle w:val="Head2"/>
      </w:pPr>
      <w:bookmarkStart w:id="175" w:name="_Toc113894708"/>
      <w:bookmarkStart w:id="176" w:name="_Toc113894709"/>
      <w:bookmarkStart w:id="177" w:name="_Toc113894710"/>
      <w:bookmarkStart w:id="178" w:name="_Toc113894711"/>
      <w:bookmarkStart w:id="179" w:name="_Toc113894712"/>
      <w:bookmarkStart w:id="180" w:name="_Toc113894713"/>
      <w:bookmarkStart w:id="181" w:name="_Toc113894714"/>
      <w:bookmarkStart w:id="182" w:name="_Toc113894715"/>
      <w:bookmarkStart w:id="183" w:name="_Toc113894716"/>
      <w:bookmarkStart w:id="184" w:name="_Toc113894717"/>
      <w:bookmarkStart w:id="185" w:name="_Toc113894718"/>
      <w:bookmarkStart w:id="186" w:name="_Toc113894719"/>
      <w:bookmarkStart w:id="187" w:name="_Toc416181655"/>
      <w:bookmarkStart w:id="188" w:name="_Toc416179727"/>
      <w:bookmarkStart w:id="189" w:name="_Toc416181656"/>
      <w:bookmarkStart w:id="190" w:name="_Toc416179728"/>
      <w:bookmarkStart w:id="191" w:name="_Toc416181657"/>
      <w:bookmarkStart w:id="192" w:name="_Toc416179729"/>
      <w:bookmarkStart w:id="193" w:name="_Toc416181658"/>
      <w:bookmarkStart w:id="194" w:name="_Toc416179742"/>
      <w:bookmarkStart w:id="195" w:name="_Toc416181671"/>
      <w:bookmarkStart w:id="196" w:name="_Toc416179743"/>
      <w:bookmarkStart w:id="197" w:name="_Toc416181672"/>
      <w:bookmarkStart w:id="198" w:name="_Toc416179744"/>
      <w:bookmarkStart w:id="199" w:name="_Toc416181673"/>
      <w:bookmarkStart w:id="200" w:name="_Toc427056928"/>
      <w:bookmarkStart w:id="201" w:name="_Toc82592650"/>
      <w:bookmarkStart w:id="202" w:name="_Toc11389472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FD3E6C">
        <w:t xml:space="preserve">TFN </w:t>
      </w:r>
      <w:r w:rsidR="00205523" w:rsidRPr="00FD3E6C">
        <w:t>and</w:t>
      </w:r>
      <w:r w:rsidRPr="00FD3E6C">
        <w:t xml:space="preserve"> ABN </w:t>
      </w:r>
      <w:r w:rsidR="00205523" w:rsidRPr="00FD3E6C">
        <w:t>algorithm validation</w:t>
      </w:r>
      <w:bookmarkEnd w:id="200"/>
      <w:bookmarkEnd w:id="201"/>
      <w:bookmarkEnd w:id="202"/>
    </w:p>
    <w:p w14:paraId="7D26B557" w14:textId="22FDCEFE" w:rsidR="00D67C32" w:rsidRDefault="00D67C32" w:rsidP="001D565A">
      <w:pPr>
        <w:rPr>
          <w:rStyle w:val="BodyTextChar1"/>
          <w:b/>
          <w:bCs/>
          <w:color w:val="404040" w:themeColor="text1" w:themeTint="BF"/>
        </w:rPr>
      </w:pPr>
      <w:r w:rsidRPr="00873257">
        <w:rPr>
          <w:rStyle w:val="BodyTextChar1"/>
          <w:b/>
          <w:bCs/>
          <w:color w:val="404040" w:themeColor="text1" w:themeTint="BF"/>
        </w:rPr>
        <w:t>See also</w:t>
      </w:r>
      <w:r>
        <w:rPr>
          <w:rStyle w:val="BodyTextChar1"/>
          <w:b/>
          <w:bCs/>
          <w:color w:val="404040" w:themeColor="text1" w:themeTint="BF"/>
        </w:rPr>
        <w:t>:</w:t>
      </w:r>
    </w:p>
    <w:p w14:paraId="5107BAEC" w14:textId="4EDA2D04" w:rsidR="00D67C32" w:rsidRPr="00C7327B" w:rsidRDefault="00D67C32" w:rsidP="00D67C32">
      <w:pPr>
        <w:pStyle w:val="Content"/>
        <w:numPr>
          <w:ilvl w:val="0"/>
          <w:numId w:val="37"/>
        </w:numPr>
        <w:jc w:val="both"/>
      </w:pPr>
      <w:r w:rsidRPr="00646172">
        <w:rPr>
          <w:sz w:val="22"/>
        </w:rPr>
        <w:t xml:space="preserve">The </w:t>
      </w:r>
      <w:hyperlink r:id="rId28" w:history="1">
        <w:r w:rsidRPr="00E74E65">
          <w:rPr>
            <w:rStyle w:val="Hyperlink"/>
            <w:b w:val="0"/>
            <w:bCs/>
            <w:sz w:val="22"/>
          </w:rPr>
          <w:t>Software developers website</w:t>
        </w:r>
      </w:hyperlink>
      <w:r w:rsidRPr="00646172">
        <w:rPr>
          <w:sz w:val="22"/>
        </w:rPr>
        <w:t xml:space="preserve"> </w:t>
      </w:r>
      <w:r w:rsidRPr="00C7327B">
        <w:rPr>
          <w:rStyle w:val="BodyTextChar1"/>
          <w:szCs w:val="22"/>
        </w:rPr>
        <w:t xml:space="preserve">for more information on </w:t>
      </w:r>
      <w:r>
        <w:rPr>
          <w:rStyle w:val="BodyTextChar1"/>
          <w:szCs w:val="22"/>
        </w:rPr>
        <w:t>ABN validation</w:t>
      </w:r>
      <w:r>
        <w:rPr>
          <w:sz w:val="22"/>
        </w:rPr>
        <w:t>.</w:t>
      </w:r>
    </w:p>
    <w:p w14:paraId="4EBE7F4E" w14:textId="77777777" w:rsidR="00D67C32" w:rsidRPr="000745D6" w:rsidRDefault="00D67C32" w:rsidP="000745D6"/>
    <w:sectPr w:rsidR="00D67C32" w:rsidRPr="000745D6" w:rsidSect="00087930">
      <w:headerReference w:type="even" r:id="rId29"/>
      <w:headerReference w:type="first" r:id="rId30"/>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93E1" w14:textId="77777777" w:rsidR="00B26D43" w:rsidRDefault="00B26D43">
      <w:r>
        <w:separator/>
      </w:r>
    </w:p>
  </w:endnote>
  <w:endnote w:type="continuationSeparator" w:id="0">
    <w:p w14:paraId="44A21032" w14:textId="77777777" w:rsidR="00B26D43" w:rsidRDefault="00B2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A787" w14:textId="66479251" w:rsidR="004B7428" w:rsidRPr="009E2CEE" w:rsidRDefault="004B7428" w:rsidP="00306AE8">
    <w:pPr>
      <w:pStyle w:val="FooterPortrait"/>
      <w:pBdr>
        <w:top w:val="single" w:sz="4" w:space="1" w:color="auto"/>
      </w:pBdr>
      <w:tabs>
        <w:tab w:val="clear" w:pos="1021"/>
        <w:tab w:val="left" w:pos="0"/>
        <w:tab w:val="center" w:pos="4649"/>
        <w:tab w:val="right" w:pos="9299"/>
      </w:tabs>
      <w:rPr>
        <w:sz w:val="18"/>
        <w:szCs w:val="18"/>
      </w:rPr>
    </w:pPr>
    <w:r w:rsidRPr="009E2CEE">
      <w:rPr>
        <w:sz w:val="18"/>
        <w:szCs w:val="18"/>
      </w:rPr>
      <w:t>V</w:t>
    </w:r>
    <w:r w:rsidRPr="009E2CEE">
      <w:rPr>
        <w:caps w:val="0"/>
        <w:sz w:val="18"/>
        <w:szCs w:val="18"/>
      </w:rPr>
      <w:t>ersion</w:t>
    </w:r>
    <w:r w:rsidRPr="009E2CEE">
      <w:rPr>
        <w:sz w:val="18"/>
        <w:szCs w:val="18"/>
      </w:rPr>
      <w:t xml:space="preserve"> </w:t>
    </w:r>
    <w:r>
      <w:rPr>
        <w:sz w:val="18"/>
        <w:szCs w:val="18"/>
      </w:rPr>
      <w:t>1.0</w:t>
    </w:r>
    <w:r w:rsidRPr="009E2CEE">
      <w:rPr>
        <w:sz w:val="18"/>
        <w:szCs w:val="18"/>
      </w:rPr>
      <w:tab/>
    </w:r>
    <w:r>
      <w:rPr>
        <w:sz w:val="18"/>
        <w:szCs w:val="18"/>
      </w:rPr>
      <w:t>o</w:t>
    </w:r>
    <w:r>
      <w:rPr>
        <w:caps w:val="0"/>
        <w:sz w:val="18"/>
        <w:szCs w:val="18"/>
      </w:rPr>
      <w:t>fficial</w:t>
    </w:r>
    <w:r w:rsidRPr="009E2CEE">
      <w:rPr>
        <w:sz w:val="18"/>
        <w:szCs w:val="18"/>
      </w:rPr>
      <w:tab/>
      <w:t>P</w:t>
    </w:r>
    <w:r w:rsidRPr="009E2CEE">
      <w:rPr>
        <w:caps w:val="0"/>
        <w:sz w:val="18"/>
        <w:szCs w:val="18"/>
      </w:rPr>
      <w:t>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noProof/>
        <w:sz w:val="18"/>
        <w:szCs w:val="18"/>
      </w:rPr>
      <w:t>13</w:t>
    </w:r>
    <w:r w:rsidRPr="009E2CEE">
      <w:rPr>
        <w:sz w:val="18"/>
        <w:szCs w:val="18"/>
      </w:rPr>
      <w:fldChar w:fldCharType="end"/>
    </w:r>
    <w:r w:rsidRPr="009E2CEE">
      <w:rPr>
        <w:sz w:val="18"/>
        <w:szCs w:val="18"/>
      </w:rPr>
      <w:t xml:space="preserve"> </w:t>
    </w:r>
    <w:r w:rsidRPr="009E2CEE">
      <w:rPr>
        <w:caps w:val="0"/>
        <w:sz w:val="18"/>
        <w:szCs w:val="18"/>
      </w:rPr>
      <w:t>of</w:t>
    </w:r>
    <w:r w:rsidRPr="009E2CEE">
      <w:rPr>
        <w:sz w:val="18"/>
        <w:szCs w:val="18"/>
      </w:rPr>
      <w:t xml:space="preserve">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noProof/>
        <w:sz w:val="18"/>
        <w:szCs w:val="18"/>
      </w:rPr>
      <w:t>13</w:t>
    </w:r>
    <w:r w:rsidRPr="009E2CEE">
      <w:rPr>
        <w:noProof/>
        <w:sz w:val="18"/>
        <w:szCs w:val="18"/>
      </w:rPr>
      <w:fldChar w:fldCharType="end"/>
    </w:r>
  </w:p>
  <w:p w14:paraId="67BFA5E1" w14:textId="77777777" w:rsidR="004B7428" w:rsidRPr="009E2CEE" w:rsidRDefault="004B7428"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2728" w14:textId="77777777" w:rsidR="00B26D43" w:rsidRDefault="00B26D43">
      <w:r>
        <w:separator/>
      </w:r>
    </w:p>
  </w:footnote>
  <w:footnote w:type="continuationSeparator" w:id="0">
    <w:p w14:paraId="6BB76498" w14:textId="77777777" w:rsidR="00B26D43" w:rsidRDefault="00B2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742B" w14:textId="700F518A" w:rsidR="004B7428" w:rsidRPr="009E2CEE" w:rsidRDefault="004B7428" w:rsidP="00257E9E">
    <w:pPr>
      <w:pStyle w:val="Header"/>
      <w:pBdr>
        <w:bottom w:val="single" w:sz="4" w:space="1" w:color="auto"/>
      </w:pBdr>
      <w:tabs>
        <w:tab w:val="left" w:pos="0"/>
        <w:tab w:val="right" w:pos="9299"/>
      </w:tabs>
      <w:rPr>
        <w:sz w:val="18"/>
        <w:szCs w:val="18"/>
      </w:rPr>
    </w:pPr>
    <w:r w:rsidRPr="009E2CEE">
      <w:rPr>
        <w:sz w:val="18"/>
        <w:szCs w:val="18"/>
      </w:rPr>
      <w:t>S</w:t>
    </w:r>
    <w:r w:rsidRPr="009E2CEE">
      <w:rPr>
        <w:caps w:val="0"/>
        <w:sz w:val="18"/>
        <w:szCs w:val="18"/>
      </w:rPr>
      <w:t>tandard</w:t>
    </w:r>
    <w:r w:rsidRPr="009E2CEE">
      <w:rPr>
        <w:sz w:val="18"/>
        <w:szCs w:val="18"/>
      </w:rPr>
      <w:t xml:space="preserve"> b</w:t>
    </w:r>
    <w:r w:rsidRPr="009E2CEE">
      <w:rPr>
        <w:caps w:val="0"/>
        <w:sz w:val="18"/>
        <w:szCs w:val="18"/>
      </w:rPr>
      <w:t>usiness</w:t>
    </w:r>
    <w:r w:rsidRPr="009E2CEE">
      <w:rPr>
        <w:sz w:val="18"/>
        <w:szCs w:val="18"/>
      </w:rPr>
      <w:t xml:space="preserve"> r</w:t>
    </w:r>
    <w:r w:rsidRPr="009E2CEE">
      <w:rPr>
        <w:caps w:val="0"/>
        <w:sz w:val="18"/>
        <w:szCs w:val="18"/>
      </w:rPr>
      <w:t xml:space="preserve">eporting </w:t>
    </w:r>
    <w:r w:rsidRPr="009E2CEE">
      <w:rPr>
        <w:sz w:val="18"/>
        <w:szCs w:val="18"/>
      </w:rPr>
      <w:tab/>
      <w:t xml:space="preserve">ATO </w:t>
    </w:r>
    <w:r>
      <w:rPr>
        <w:sz w:val="18"/>
        <w:szCs w:val="18"/>
      </w:rPr>
      <w:t>TPAR.0003 2021</w:t>
    </w:r>
    <w:r w:rsidRPr="009E2CEE">
      <w:rPr>
        <w:sz w:val="18"/>
        <w:szCs w:val="18"/>
      </w:rPr>
      <w:t xml:space="preserve"> B</w:t>
    </w:r>
    <w:r w:rsidRPr="009E2CEE">
      <w:rPr>
        <w:caps w:val="0"/>
        <w:sz w:val="18"/>
        <w:szCs w:val="18"/>
      </w:rPr>
      <w:t>usiness</w:t>
    </w:r>
    <w:r w:rsidRPr="009E2CEE">
      <w:rPr>
        <w:sz w:val="18"/>
        <w:szCs w:val="18"/>
      </w:rPr>
      <w:t xml:space="preserve"> I</w:t>
    </w:r>
    <w:r w:rsidRPr="009E2CEE">
      <w:rPr>
        <w:caps w:val="0"/>
        <w:sz w:val="18"/>
        <w:szCs w:val="18"/>
      </w:rPr>
      <w:t>mplementation</w:t>
    </w:r>
    <w:r w:rsidRPr="009E2CEE">
      <w:rPr>
        <w:sz w:val="18"/>
        <w:szCs w:val="18"/>
      </w:rPr>
      <w:t xml:space="preserve"> G</w:t>
    </w:r>
    <w:r w:rsidRPr="009E2CEE">
      <w:rPr>
        <w:caps w:val="0"/>
        <w:sz w:val="18"/>
        <w:szCs w:val="18"/>
      </w:rPr>
      <w:t>uide</w:t>
    </w:r>
  </w:p>
  <w:p w14:paraId="036E7442" w14:textId="77777777" w:rsidR="004B7428" w:rsidRPr="000D1EAD" w:rsidRDefault="004B7428"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8742" w14:textId="042170D3" w:rsidR="004B7428" w:rsidRDefault="004B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73E" w14:textId="17932C91" w:rsidR="004B7428" w:rsidRDefault="004B74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397A" w14:textId="0C0380C4" w:rsidR="004B7428" w:rsidRDefault="004B74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CD5C" w14:textId="11F20055" w:rsidR="004B7428" w:rsidRDefault="004B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DB65C5"/>
    <w:multiLevelType w:val="hybridMultilevel"/>
    <w:tmpl w:val="9A343C36"/>
    <w:lvl w:ilvl="0" w:tplc="3A0EA2F4">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A19CF"/>
    <w:multiLevelType w:val="multilevel"/>
    <w:tmpl w:val="607CF032"/>
    <w:lvl w:ilvl="0">
      <w:start w:val="1"/>
      <w:numFmt w:val="bullet"/>
      <w:lvlText w:val=""/>
      <w:lvlJc w:val="left"/>
      <w:pPr>
        <w:tabs>
          <w:tab w:val="num" w:pos="720"/>
        </w:tabs>
        <w:ind w:left="720" w:hanging="360"/>
      </w:pPr>
      <w:rPr>
        <w:rFonts w:ascii="Symbol" w:hAnsi="Symbol" w:hint="default"/>
        <w:color w:val="17365D" w:themeColor="tex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37A1C"/>
    <w:multiLevelType w:val="singleLevel"/>
    <w:tmpl w:val="3A0EA2F4"/>
    <w:lvl w:ilvl="0">
      <w:start w:val="1"/>
      <w:numFmt w:val="bullet"/>
      <w:lvlText w:val=""/>
      <w:lvlJc w:val="left"/>
      <w:pPr>
        <w:ind w:left="773" w:hanging="360"/>
      </w:pPr>
      <w:rPr>
        <w:rFonts w:ascii="Symbol" w:hAnsi="Symbol" w:hint="default"/>
        <w:color w:val="17365D" w:themeColor="text2" w:themeShade="BF"/>
        <w:sz w:val="20"/>
      </w:rPr>
    </w:lvl>
  </w:abstractNum>
  <w:abstractNum w:abstractNumId="4" w15:restartNumberingAfterBreak="0">
    <w:nsid w:val="137C3E26"/>
    <w:multiLevelType w:val="hybridMultilevel"/>
    <w:tmpl w:val="91EED824"/>
    <w:lvl w:ilvl="0" w:tplc="9702CAD6">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B72F35"/>
    <w:multiLevelType w:val="hybridMultilevel"/>
    <w:tmpl w:val="4E9E92A0"/>
    <w:lvl w:ilvl="0" w:tplc="3A0EA2F4">
      <w:start w:val="1"/>
      <w:numFmt w:val="bullet"/>
      <w:lvlText w:val=""/>
      <w:lvlJc w:val="left"/>
      <w:pPr>
        <w:ind w:left="773"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E5986"/>
    <w:multiLevelType w:val="hybridMultilevel"/>
    <w:tmpl w:val="80129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E15F01"/>
    <w:multiLevelType w:val="hybridMultilevel"/>
    <w:tmpl w:val="758E6B62"/>
    <w:lvl w:ilvl="0" w:tplc="06C28FC8">
      <w:start w:val="2019"/>
      <w:numFmt w:val="bullet"/>
      <w:lvlText w:val=""/>
      <w:lvlJc w:val="left"/>
      <w:pPr>
        <w:ind w:left="720" w:hanging="360"/>
      </w:pPr>
      <w:rPr>
        <w:rFonts w:ascii="Wingdings" w:eastAsia="Calibri" w:hAnsi="Wingdings"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9C55CF"/>
    <w:multiLevelType w:val="hybridMultilevel"/>
    <w:tmpl w:val="926EFF34"/>
    <w:lvl w:ilvl="0" w:tplc="3A0EA2F4">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3814C1"/>
    <w:multiLevelType w:val="hybridMultilevel"/>
    <w:tmpl w:val="98F69934"/>
    <w:lvl w:ilvl="0" w:tplc="B3C8B63A">
      <w:start w:val="1"/>
      <w:numFmt w:val="bullet"/>
      <w:lvlText w:val=""/>
      <w:lvlJc w:val="left"/>
      <w:pPr>
        <w:ind w:left="720" w:hanging="360"/>
      </w:pPr>
      <w:rPr>
        <w:rFonts w:ascii="Wingdings" w:hAnsi="Wingdings"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78D6B2A"/>
    <w:multiLevelType w:val="multilevel"/>
    <w:tmpl w:val="13CCCB98"/>
    <w:lvl w:ilvl="0">
      <w:start w:val="1"/>
      <w:numFmt w:val="decimal"/>
      <w:lvlText w:val="%1."/>
      <w:lvlJc w:val="left"/>
      <w:pPr>
        <w:ind w:left="360" w:hanging="360"/>
      </w:pPr>
      <w:rPr>
        <w:rFonts w:hint="default"/>
        <w:color w:val="0F243E" w:themeColor="text2" w:themeShade="80"/>
        <w:sz w:val="56"/>
        <w:szCs w:val="56"/>
      </w:rPr>
    </w:lvl>
    <w:lvl w:ilvl="1">
      <w:start w:val="1"/>
      <w:numFmt w:val="decimal"/>
      <w:isLgl/>
      <w:lvlText w:val="%1.%2"/>
      <w:lvlJc w:val="left"/>
      <w:pPr>
        <w:ind w:left="567" w:hanging="567"/>
      </w:pPr>
      <w:rPr>
        <w:rFonts w:hint="default"/>
        <w:b w:val="0"/>
        <w:bCs/>
        <w:sz w:val="42"/>
        <w:szCs w:val="4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5D16B8"/>
    <w:multiLevelType w:val="hybridMultilevel"/>
    <w:tmpl w:val="D65896C0"/>
    <w:lvl w:ilvl="0" w:tplc="B3C8B63A">
      <w:start w:val="1"/>
      <w:numFmt w:val="bullet"/>
      <w:lvlText w:val=""/>
      <w:lvlJc w:val="left"/>
      <w:pPr>
        <w:ind w:left="773" w:hanging="360"/>
      </w:pPr>
      <w:rPr>
        <w:rFonts w:ascii="Wingdings" w:hAnsi="Wingdings" w:hint="default"/>
        <w:color w:val="0F243E" w:themeColor="text2" w:themeShade="8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5" w15:restartNumberingAfterBreak="0">
    <w:nsid w:val="43ED11C8"/>
    <w:multiLevelType w:val="multilevel"/>
    <w:tmpl w:val="3B404F8A"/>
    <w:lvl w:ilvl="0">
      <w:start w:val="1"/>
      <w:numFmt w:val="decimal"/>
      <w:pStyle w:val="Head1"/>
      <w:lvlText w:val="%1."/>
      <w:lvlJc w:val="left"/>
      <w:pPr>
        <w:ind w:left="360" w:hanging="360"/>
      </w:pPr>
      <w:rPr>
        <w:rFonts w:hint="default"/>
        <w:color w:val="0F243E" w:themeColor="text2" w:themeShade="80"/>
        <w:sz w:val="56"/>
        <w:szCs w:val="56"/>
      </w:rPr>
    </w:lvl>
    <w:lvl w:ilvl="1">
      <w:start w:val="1"/>
      <w:numFmt w:val="decimal"/>
      <w:pStyle w:val="Head2"/>
      <w:isLgl/>
      <w:lvlText w:val="%1.%2"/>
      <w:lvlJc w:val="left"/>
      <w:pPr>
        <w:ind w:left="567" w:hanging="567"/>
      </w:pPr>
      <w:rPr>
        <w:rFonts w:hint="default"/>
        <w:b w:val="0"/>
        <w:bCs/>
        <w:sz w:val="42"/>
        <w:szCs w:val="4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4006EE"/>
    <w:multiLevelType w:val="hybridMultilevel"/>
    <w:tmpl w:val="D26402CE"/>
    <w:lvl w:ilvl="0" w:tplc="3A0EA2F4">
      <w:start w:val="1"/>
      <w:numFmt w:val="bullet"/>
      <w:lvlText w:val=""/>
      <w:lvlJc w:val="left"/>
      <w:pPr>
        <w:ind w:left="773" w:hanging="360"/>
      </w:pPr>
      <w:rPr>
        <w:rFonts w:ascii="Symbol" w:hAnsi="Symbol" w:hint="default"/>
        <w:color w:val="17365D" w:themeColor="text2" w:themeShade="BF"/>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501451AA"/>
    <w:multiLevelType w:val="multilevel"/>
    <w:tmpl w:val="4D38D470"/>
    <w:lvl w:ilvl="0">
      <w:start w:val="1"/>
      <w:numFmt w:val="bullet"/>
      <w:lvlText w:val=""/>
      <w:lvlJc w:val="left"/>
      <w:pPr>
        <w:tabs>
          <w:tab w:val="num" w:pos="720"/>
        </w:tabs>
        <w:ind w:left="720" w:hanging="360"/>
      </w:pPr>
      <w:rPr>
        <w:rFonts w:ascii="Symbol" w:hAnsi="Symbol" w:hint="default"/>
        <w:color w:val="17365D" w:themeColor="tex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D167E"/>
    <w:multiLevelType w:val="multilevel"/>
    <w:tmpl w:val="A10E0C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5D167BC"/>
    <w:multiLevelType w:val="hybridMultilevel"/>
    <w:tmpl w:val="366062A4"/>
    <w:lvl w:ilvl="0" w:tplc="947CF60C">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78E7326"/>
    <w:multiLevelType w:val="hybridMultilevel"/>
    <w:tmpl w:val="C73E16A4"/>
    <w:lvl w:ilvl="0" w:tplc="0C090001">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F0BF0"/>
    <w:multiLevelType w:val="hybridMultilevel"/>
    <w:tmpl w:val="EDEAA7E0"/>
    <w:lvl w:ilvl="0" w:tplc="D2E05A7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F61A0"/>
    <w:multiLevelType w:val="hybridMultilevel"/>
    <w:tmpl w:val="EE386F18"/>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FFA0AC5"/>
    <w:multiLevelType w:val="hybridMultilevel"/>
    <w:tmpl w:val="36445AE0"/>
    <w:lvl w:ilvl="0" w:tplc="3A0EA2F4">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B3DEE"/>
    <w:multiLevelType w:val="hybridMultilevel"/>
    <w:tmpl w:val="B1C0C77E"/>
    <w:lvl w:ilvl="0" w:tplc="947CF60C">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AE309D"/>
    <w:multiLevelType w:val="hybridMultilevel"/>
    <w:tmpl w:val="CC5A0FD4"/>
    <w:lvl w:ilvl="0" w:tplc="B49C4E8C">
      <w:start w:val="1"/>
      <w:numFmt w:val="bullet"/>
      <w:lvlText w:val=""/>
      <w:lvlJc w:val="left"/>
      <w:pPr>
        <w:ind w:left="720" w:hanging="360"/>
      </w:pPr>
      <w:rPr>
        <w:rFonts w:ascii="Symbol" w:hAnsi="Symbol"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C3B2643"/>
    <w:multiLevelType w:val="hybridMultilevel"/>
    <w:tmpl w:val="B48E54A2"/>
    <w:lvl w:ilvl="0" w:tplc="B3C8B63A">
      <w:start w:val="1"/>
      <w:numFmt w:val="bullet"/>
      <w:lvlText w:val=""/>
      <w:lvlJc w:val="left"/>
      <w:pPr>
        <w:ind w:left="773" w:hanging="360"/>
      </w:pPr>
      <w:rPr>
        <w:rFonts w:ascii="Wingdings" w:hAnsi="Wingdings" w:hint="default"/>
        <w:color w:val="0F243E" w:themeColor="text2" w:themeShade="8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7C3C4D14"/>
    <w:multiLevelType w:val="multilevel"/>
    <w:tmpl w:val="7DEE9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E1407BF"/>
    <w:multiLevelType w:val="hybridMultilevel"/>
    <w:tmpl w:val="481CE38E"/>
    <w:lvl w:ilvl="0" w:tplc="3A0EA2F4">
      <w:start w:val="1"/>
      <w:numFmt w:val="bullet"/>
      <w:lvlText w:val=""/>
      <w:lvlJc w:val="left"/>
      <w:pPr>
        <w:ind w:left="720" w:hanging="360"/>
      </w:pPr>
      <w:rPr>
        <w:rFonts w:ascii="Symbol" w:hAnsi="Symbol"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F2F75D0"/>
    <w:multiLevelType w:val="hybridMultilevel"/>
    <w:tmpl w:val="1720867A"/>
    <w:lvl w:ilvl="0" w:tplc="3A0EA2F4">
      <w:start w:val="1"/>
      <w:numFmt w:val="bullet"/>
      <w:lvlText w:val=""/>
      <w:lvlJc w:val="left"/>
      <w:pPr>
        <w:ind w:left="1080" w:hanging="360"/>
      </w:pPr>
      <w:rPr>
        <w:rFonts w:ascii="Symbol" w:hAnsi="Symbol" w:hint="default"/>
        <w:color w:val="17365D" w:themeColor="text2"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0"/>
  </w:num>
  <w:num w:numId="3">
    <w:abstractNumId w:val="28"/>
  </w:num>
  <w:num w:numId="4">
    <w:abstractNumId w:val="11"/>
  </w:num>
  <w:num w:numId="5">
    <w:abstractNumId w:val="33"/>
  </w:num>
  <w:num w:numId="6">
    <w:abstractNumId w:val="24"/>
  </w:num>
  <w:num w:numId="7">
    <w:abstractNumId w:val="15"/>
  </w:num>
  <w:num w:numId="8">
    <w:abstractNumId w:val="0"/>
  </w:num>
  <w:num w:numId="9">
    <w:abstractNumId w:val="25"/>
  </w:num>
  <w:num w:numId="10">
    <w:abstractNumId w:val="1"/>
  </w:num>
  <w:num w:numId="11">
    <w:abstractNumId w:val="23"/>
  </w:num>
  <w:num w:numId="12">
    <w:abstractNumId w:val="8"/>
  </w:num>
  <w:num w:numId="13">
    <w:abstractNumId w:val="25"/>
  </w:num>
  <w:num w:numId="14">
    <w:abstractNumId w:val="4"/>
  </w:num>
  <w:num w:numId="15">
    <w:abstractNumId w:val="3"/>
  </w:num>
  <w:num w:numId="16">
    <w:abstractNumId w:val="26"/>
  </w:num>
  <w:num w:numId="17">
    <w:abstractNumId w:val="19"/>
  </w:num>
  <w:num w:numId="18">
    <w:abstractNumId w:val="29"/>
  </w:num>
  <w:num w:numId="19">
    <w:abstractNumId w:val="16"/>
  </w:num>
  <w:num w:numId="20">
    <w:abstractNumId w:val="5"/>
  </w:num>
  <w:num w:numId="21">
    <w:abstractNumId w:val="13"/>
  </w:num>
  <w:num w:numId="22">
    <w:abstractNumId w:val="21"/>
  </w:num>
  <w:num w:numId="23">
    <w:abstractNumId w:val="6"/>
  </w:num>
  <w:num w:numId="24">
    <w:abstractNumId w:val="12"/>
  </w:num>
  <w:num w:numId="25">
    <w:abstractNumId w:val="31"/>
  </w:num>
  <w:num w:numId="26">
    <w:abstractNumId w:val="27"/>
  </w:num>
  <w:num w:numId="27">
    <w:abstractNumId w:val="18"/>
  </w:num>
  <w:num w:numId="28">
    <w:abstractNumId w:val="7"/>
  </w:num>
  <w:num w:numId="29">
    <w:abstractNumId w:val="22"/>
  </w:num>
  <w:num w:numId="30">
    <w:abstractNumId w:val="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
  </w:num>
  <w:num w:numId="36">
    <w:abstractNumId w:val="17"/>
  </w:num>
  <w:num w:numId="37">
    <w:abstractNumId w:val="9"/>
  </w:num>
  <w:num w:numId="3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8193">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6795"/>
    <w:rsid w:val="0000715D"/>
    <w:rsid w:val="00007BE0"/>
    <w:rsid w:val="0001115A"/>
    <w:rsid w:val="00011756"/>
    <w:rsid w:val="00012235"/>
    <w:rsid w:val="000130A6"/>
    <w:rsid w:val="00013E12"/>
    <w:rsid w:val="00013E18"/>
    <w:rsid w:val="00014833"/>
    <w:rsid w:val="00015C96"/>
    <w:rsid w:val="00022AB9"/>
    <w:rsid w:val="000230BC"/>
    <w:rsid w:val="00025759"/>
    <w:rsid w:val="00025B89"/>
    <w:rsid w:val="00027BB4"/>
    <w:rsid w:val="000312D7"/>
    <w:rsid w:val="000332BA"/>
    <w:rsid w:val="00033B8D"/>
    <w:rsid w:val="00035193"/>
    <w:rsid w:val="00035557"/>
    <w:rsid w:val="0003621E"/>
    <w:rsid w:val="0003670F"/>
    <w:rsid w:val="0004125F"/>
    <w:rsid w:val="000412C4"/>
    <w:rsid w:val="00043BA0"/>
    <w:rsid w:val="00047268"/>
    <w:rsid w:val="000557DC"/>
    <w:rsid w:val="00055F00"/>
    <w:rsid w:val="00056985"/>
    <w:rsid w:val="00060032"/>
    <w:rsid w:val="000622B6"/>
    <w:rsid w:val="00063673"/>
    <w:rsid w:val="00064ED3"/>
    <w:rsid w:val="000663F6"/>
    <w:rsid w:val="00066F52"/>
    <w:rsid w:val="00067D21"/>
    <w:rsid w:val="0007069E"/>
    <w:rsid w:val="00072AEB"/>
    <w:rsid w:val="000745D6"/>
    <w:rsid w:val="00074BFF"/>
    <w:rsid w:val="000772A0"/>
    <w:rsid w:val="000774ED"/>
    <w:rsid w:val="00081200"/>
    <w:rsid w:val="0008154B"/>
    <w:rsid w:val="00083B3D"/>
    <w:rsid w:val="00084A54"/>
    <w:rsid w:val="00087930"/>
    <w:rsid w:val="00087B21"/>
    <w:rsid w:val="00094BE8"/>
    <w:rsid w:val="00096CE1"/>
    <w:rsid w:val="000A1254"/>
    <w:rsid w:val="000A34CF"/>
    <w:rsid w:val="000A6854"/>
    <w:rsid w:val="000B201C"/>
    <w:rsid w:val="000B2573"/>
    <w:rsid w:val="000B2DE5"/>
    <w:rsid w:val="000B42A5"/>
    <w:rsid w:val="000B4574"/>
    <w:rsid w:val="000B4719"/>
    <w:rsid w:val="000B4796"/>
    <w:rsid w:val="000B7F9B"/>
    <w:rsid w:val="000C2812"/>
    <w:rsid w:val="000C4A11"/>
    <w:rsid w:val="000C551A"/>
    <w:rsid w:val="000C6BFF"/>
    <w:rsid w:val="000D00A7"/>
    <w:rsid w:val="000D1EAD"/>
    <w:rsid w:val="000D2CD8"/>
    <w:rsid w:val="000D47EA"/>
    <w:rsid w:val="000D5926"/>
    <w:rsid w:val="000D5978"/>
    <w:rsid w:val="000D74F8"/>
    <w:rsid w:val="000E1B59"/>
    <w:rsid w:val="000E1F6B"/>
    <w:rsid w:val="000E2F09"/>
    <w:rsid w:val="000E4888"/>
    <w:rsid w:val="000E4D14"/>
    <w:rsid w:val="000E5598"/>
    <w:rsid w:val="000E7E0F"/>
    <w:rsid w:val="000F2811"/>
    <w:rsid w:val="000F31ED"/>
    <w:rsid w:val="000F4A34"/>
    <w:rsid w:val="000F5715"/>
    <w:rsid w:val="000F5C9A"/>
    <w:rsid w:val="000F5E9F"/>
    <w:rsid w:val="000F6EE4"/>
    <w:rsid w:val="000F7C18"/>
    <w:rsid w:val="00102663"/>
    <w:rsid w:val="0010289F"/>
    <w:rsid w:val="00104531"/>
    <w:rsid w:val="00105EB7"/>
    <w:rsid w:val="00106885"/>
    <w:rsid w:val="001068B9"/>
    <w:rsid w:val="00107D66"/>
    <w:rsid w:val="00107EAB"/>
    <w:rsid w:val="00110CAA"/>
    <w:rsid w:val="001121FA"/>
    <w:rsid w:val="00112525"/>
    <w:rsid w:val="00112685"/>
    <w:rsid w:val="00112B9B"/>
    <w:rsid w:val="00113172"/>
    <w:rsid w:val="001153BF"/>
    <w:rsid w:val="001162BF"/>
    <w:rsid w:val="00116C78"/>
    <w:rsid w:val="00116F8C"/>
    <w:rsid w:val="00117670"/>
    <w:rsid w:val="0011782E"/>
    <w:rsid w:val="00121237"/>
    <w:rsid w:val="00123AF4"/>
    <w:rsid w:val="00125FF9"/>
    <w:rsid w:val="001279AC"/>
    <w:rsid w:val="00131431"/>
    <w:rsid w:val="00131A8B"/>
    <w:rsid w:val="0013385D"/>
    <w:rsid w:val="00133A98"/>
    <w:rsid w:val="001341CF"/>
    <w:rsid w:val="00134B08"/>
    <w:rsid w:val="00135417"/>
    <w:rsid w:val="00137172"/>
    <w:rsid w:val="001373E0"/>
    <w:rsid w:val="0014110D"/>
    <w:rsid w:val="00141907"/>
    <w:rsid w:val="00141DB4"/>
    <w:rsid w:val="00145D2F"/>
    <w:rsid w:val="00146E2B"/>
    <w:rsid w:val="00147184"/>
    <w:rsid w:val="001471CA"/>
    <w:rsid w:val="001471F6"/>
    <w:rsid w:val="001475A7"/>
    <w:rsid w:val="00147AB6"/>
    <w:rsid w:val="00150775"/>
    <w:rsid w:val="001535D8"/>
    <w:rsid w:val="001539F5"/>
    <w:rsid w:val="00153FF6"/>
    <w:rsid w:val="00154370"/>
    <w:rsid w:val="00154A46"/>
    <w:rsid w:val="00155770"/>
    <w:rsid w:val="00157818"/>
    <w:rsid w:val="0016032F"/>
    <w:rsid w:val="00160FBD"/>
    <w:rsid w:val="001611D3"/>
    <w:rsid w:val="001615E7"/>
    <w:rsid w:val="001617C2"/>
    <w:rsid w:val="00164D1A"/>
    <w:rsid w:val="001663C8"/>
    <w:rsid w:val="001664BD"/>
    <w:rsid w:val="001674AE"/>
    <w:rsid w:val="00167D15"/>
    <w:rsid w:val="00171C33"/>
    <w:rsid w:val="00171DBC"/>
    <w:rsid w:val="00173F1C"/>
    <w:rsid w:val="00174B68"/>
    <w:rsid w:val="00176D3F"/>
    <w:rsid w:val="0018131A"/>
    <w:rsid w:val="00181BA5"/>
    <w:rsid w:val="001830AF"/>
    <w:rsid w:val="00185BF6"/>
    <w:rsid w:val="0018731A"/>
    <w:rsid w:val="00187639"/>
    <w:rsid w:val="001904D7"/>
    <w:rsid w:val="001917A4"/>
    <w:rsid w:val="00191B6C"/>
    <w:rsid w:val="001923ED"/>
    <w:rsid w:val="00193344"/>
    <w:rsid w:val="001941AB"/>
    <w:rsid w:val="00194640"/>
    <w:rsid w:val="001953E7"/>
    <w:rsid w:val="00196B83"/>
    <w:rsid w:val="001A1239"/>
    <w:rsid w:val="001A437B"/>
    <w:rsid w:val="001A54CA"/>
    <w:rsid w:val="001A601B"/>
    <w:rsid w:val="001A6254"/>
    <w:rsid w:val="001A6F14"/>
    <w:rsid w:val="001A77F0"/>
    <w:rsid w:val="001A7FF8"/>
    <w:rsid w:val="001B0A9B"/>
    <w:rsid w:val="001B0E07"/>
    <w:rsid w:val="001B0F0F"/>
    <w:rsid w:val="001B13A4"/>
    <w:rsid w:val="001B149D"/>
    <w:rsid w:val="001B245A"/>
    <w:rsid w:val="001B285D"/>
    <w:rsid w:val="001B3690"/>
    <w:rsid w:val="001B3FF3"/>
    <w:rsid w:val="001B652C"/>
    <w:rsid w:val="001C0924"/>
    <w:rsid w:val="001C135D"/>
    <w:rsid w:val="001D22E4"/>
    <w:rsid w:val="001D3358"/>
    <w:rsid w:val="001D43AC"/>
    <w:rsid w:val="001D4CF8"/>
    <w:rsid w:val="001D565A"/>
    <w:rsid w:val="001D727D"/>
    <w:rsid w:val="001E1997"/>
    <w:rsid w:val="001E2C30"/>
    <w:rsid w:val="001E322F"/>
    <w:rsid w:val="001E3CB3"/>
    <w:rsid w:val="001E4E9C"/>
    <w:rsid w:val="001F2C36"/>
    <w:rsid w:val="001F5843"/>
    <w:rsid w:val="001F6B94"/>
    <w:rsid w:val="001F756A"/>
    <w:rsid w:val="001F7F87"/>
    <w:rsid w:val="001F7FDE"/>
    <w:rsid w:val="00200125"/>
    <w:rsid w:val="00200322"/>
    <w:rsid w:val="00202D18"/>
    <w:rsid w:val="002041FB"/>
    <w:rsid w:val="00204773"/>
    <w:rsid w:val="00205523"/>
    <w:rsid w:val="00205B14"/>
    <w:rsid w:val="002104CF"/>
    <w:rsid w:val="00210B7C"/>
    <w:rsid w:val="00212C42"/>
    <w:rsid w:val="00212D2F"/>
    <w:rsid w:val="0021701A"/>
    <w:rsid w:val="002177FA"/>
    <w:rsid w:val="00217895"/>
    <w:rsid w:val="00221EB5"/>
    <w:rsid w:val="00223C2F"/>
    <w:rsid w:val="00224D58"/>
    <w:rsid w:val="00225E39"/>
    <w:rsid w:val="00226B53"/>
    <w:rsid w:val="00227930"/>
    <w:rsid w:val="00227B0D"/>
    <w:rsid w:val="002317F0"/>
    <w:rsid w:val="00231A93"/>
    <w:rsid w:val="002331F7"/>
    <w:rsid w:val="00233472"/>
    <w:rsid w:val="00235833"/>
    <w:rsid w:val="0023616C"/>
    <w:rsid w:val="002374AF"/>
    <w:rsid w:val="00237773"/>
    <w:rsid w:val="00242E67"/>
    <w:rsid w:val="002441E2"/>
    <w:rsid w:val="002451F6"/>
    <w:rsid w:val="00246AF3"/>
    <w:rsid w:val="00246C75"/>
    <w:rsid w:val="00246D26"/>
    <w:rsid w:val="00253E17"/>
    <w:rsid w:val="002544C5"/>
    <w:rsid w:val="002549BE"/>
    <w:rsid w:val="00255922"/>
    <w:rsid w:val="00257698"/>
    <w:rsid w:val="00257E9E"/>
    <w:rsid w:val="00260088"/>
    <w:rsid w:val="00260103"/>
    <w:rsid w:val="002607F0"/>
    <w:rsid w:val="00260AA7"/>
    <w:rsid w:val="00261920"/>
    <w:rsid w:val="002621EF"/>
    <w:rsid w:val="00263260"/>
    <w:rsid w:val="00265236"/>
    <w:rsid w:val="00270940"/>
    <w:rsid w:val="00271340"/>
    <w:rsid w:val="002717C5"/>
    <w:rsid w:val="002735EE"/>
    <w:rsid w:val="00275CC0"/>
    <w:rsid w:val="00277B9A"/>
    <w:rsid w:val="00281676"/>
    <w:rsid w:val="00283DB7"/>
    <w:rsid w:val="002843DC"/>
    <w:rsid w:val="0028587B"/>
    <w:rsid w:val="00292E49"/>
    <w:rsid w:val="00293AA5"/>
    <w:rsid w:val="00294AF8"/>
    <w:rsid w:val="00294B12"/>
    <w:rsid w:val="00294E49"/>
    <w:rsid w:val="00296369"/>
    <w:rsid w:val="002973A8"/>
    <w:rsid w:val="002A4203"/>
    <w:rsid w:val="002A564D"/>
    <w:rsid w:val="002A784C"/>
    <w:rsid w:val="002B1885"/>
    <w:rsid w:val="002B3008"/>
    <w:rsid w:val="002B33A9"/>
    <w:rsid w:val="002B4BF1"/>
    <w:rsid w:val="002B5BF0"/>
    <w:rsid w:val="002B6066"/>
    <w:rsid w:val="002C04B3"/>
    <w:rsid w:val="002C189D"/>
    <w:rsid w:val="002C3A5E"/>
    <w:rsid w:val="002C4592"/>
    <w:rsid w:val="002C48B4"/>
    <w:rsid w:val="002C7B3F"/>
    <w:rsid w:val="002C7ED9"/>
    <w:rsid w:val="002D067A"/>
    <w:rsid w:val="002D0DA6"/>
    <w:rsid w:val="002D1055"/>
    <w:rsid w:val="002D13E7"/>
    <w:rsid w:val="002D316E"/>
    <w:rsid w:val="002D5504"/>
    <w:rsid w:val="002D6246"/>
    <w:rsid w:val="002D6D08"/>
    <w:rsid w:val="002E01E0"/>
    <w:rsid w:val="002E064F"/>
    <w:rsid w:val="002E0774"/>
    <w:rsid w:val="002E2946"/>
    <w:rsid w:val="002E2B6A"/>
    <w:rsid w:val="002E3D39"/>
    <w:rsid w:val="002E531A"/>
    <w:rsid w:val="002E60BA"/>
    <w:rsid w:val="002E6C23"/>
    <w:rsid w:val="002F0764"/>
    <w:rsid w:val="002F0B1A"/>
    <w:rsid w:val="002F1488"/>
    <w:rsid w:val="002F232A"/>
    <w:rsid w:val="002F367C"/>
    <w:rsid w:val="002F4ED7"/>
    <w:rsid w:val="002F5738"/>
    <w:rsid w:val="002F5FC7"/>
    <w:rsid w:val="002F64EB"/>
    <w:rsid w:val="002F7358"/>
    <w:rsid w:val="002F79E0"/>
    <w:rsid w:val="00301C10"/>
    <w:rsid w:val="00301F14"/>
    <w:rsid w:val="0030560F"/>
    <w:rsid w:val="0030570B"/>
    <w:rsid w:val="00305EEB"/>
    <w:rsid w:val="00306AE8"/>
    <w:rsid w:val="00311789"/>
    <w:rsid w:val="00321890"/>
    <w:rsid w:val="00321D15"/>
    <w:rsid w:val="003222D4"/>
    <w:rsid w:val="0032267E"/>
    <w:rsid w:val="00322BF4"/>
    <w:rsid w:val="00322EBE"/>
    <w:rsid w:val="00323249"/>
    <w:rsid w:val="00326A2B"/>
    <w:rsid w:val="00327C31"/>
    <w:rsid w:val="003349AD"/>
    <w:rsid w:val="00336249"/>
    <w:rsid w:val="00341943"/>
    <w:rsid w:val="00342AE9"/>
    <w:rsid w:val="00344A0A"/>
    <w:rsid w:val="0035152B"/>
    <w:rsid w:val="00352E3F"/>
    <w:rsid w:val="0035328F"/>
    <w:rsid w:val="00353C76"/>
    <w:rsid w:val="003551BD"/>
    <w:rsid w:val="00355788"/>
    <w:rsid w:val="003567A7"/>
    <w:rsid w:val="00356C5F"/>
    <w:rsid w:val="00356DBC"/>
    <w:rsid w:val="00362063"/>
    <w:rsid w:val="0036331B"/>
    <w:rsid w:val="00363E0F"/>
    <w:rsid w:val="00370CD9"/>
    <w:rsid w:val="00372577"/>
    <w:rsid w:val="00372F49"/>
    <w:rsid w:val="003739D1"/>
    <w:rsid w:val="0037413B"/>
    <w:rsid w:val="00374A10"/>
    <w:rsid w:val="0038321C"/>
    <w:rsid w:val="003837F1"/>
    <w:rsid w:val="00384631"/>
    <w:rsid w:val="003849A6"/>
    <w:rsid w:val="00384CFA"/>
    <w:rsid w:val="0038661D"/>
    <w:rsid w:val="00387177"/>
    <w:rsid w:val="003917D5"/>
    <w:rsid w:val="003920FE"/>
    <w:rsid w:val="00394570"/>
    <w:rsid w:val="00397045"/>
    <w:rsid w:val="0039708E"/>
    <w:rsid w:val="0039758E"/>
    <w:rsid w:val="003A11F0"/>
    <w:rsid w:val="003A1441"/>
    <w:rsid w:val="003A529E"/>
    <w:rsid w:val="003A64AF"/>
    <w:rsid w:val="003A7440"/>
    <w:rsid w:val="003A74FC"/>
    <w:rsid w:val="003A768E"/>
    <w:rsid w:val="003B17AE"/>
    <w:rsid w:val="003B2849"/>
    <w:rsid w:val="003B3BF8"/>
    <w:rsid w:val="003B4142"/>
    <w:rsid w:val="003B46D0"/>
    <w:rsid w:val="003B4F99"/>
    <w:rsid w:val="003B5DEA"/>
    <w:rsid w:val="003B7069"/>
    <w:rsid w:val="003C6DBB"/>
    <w:rsid w:val="003C7F63"/>
    <w:rsid w:val="003D2274"/>
    <w:rsid w:val="003D4600"/>
    <w:rsid w:val="003D55AA"/>
    <w:rsid w:val="003D5ACC"/>
    <w:rsid w:val="003D5B40"/>
    <w:rsid w:val="003E0A5A"/>
    <w:rsid w:val="003E106C"/>
    <w:rsid w:val="003E1BE5"/>
    <w:rsid w:val="003E3303"/>
    <w:rsid w:val="003E3450"/>
    <w:rsid w:val="003E3A9F"/>
    <w:rsid w:val="003E61CB"/>
    <w:rsid w:val="003E71A7"/>
    <w:rsid w:val="003E772E"/>
    <w:rsid w:val="003F041D"/>
    <w:rsid w:val="003F16F2"/>
    <w:rsid w:val="003F285E"/>
    <w:rsid w:val="003F5C77"/>
    <w:rsid w:val="003F61B6"/>
    <w:rsid w:val="003F694F"/>
    <w:rsid w:val="003F6D0F"/>
    <w:rsid w:val="003F74D1"/>
    <w:rsid w:val="004009C6"/>
    <w:rsid w:val="00401082"/>
    <w:rsid w:val="00401D6D"/>
    <w:rsid w:val="004032D0"/>
    <w:rsid w:val="00403F0D"/>
    <w:rsid w:val="00404195"/>
    <w:rsid w:val="004049A2"/>
    <w:rsid w:val="00404A86"/>
    <w:rsid w:val="00404F25"/>
    <w:rsid w:val="004056B5"/>
    <w:rsid w:val="00410C94"/>
    <w:rsid w:val="00415A94"/>
    <w:rsid w:val="00416E4A"/>
    <w:rsid w:val="00420CF3"/>
    <w:rsid w:val="004217B3"/>
    <w:rsid w:val="00421DA1"/>
    <w:rsid w:val="004220F4"/>
    <w:rsid w:val="00422367"/>
    <w:rsid w:val="00423067"/>
    <w:rsid w:val="004241EF"/>
    <w:rsid w:val="00424BEF"/>
    <w:rsid w:val="004252A3"/>
    <w:rsid w:val="00427620"/>
    <w:rsid w:val="00430633"/>
    <w:rsid w:val="00430FED"/>
    <w:rsid w:val="004313E1"/>
    <w:rsid w:val="0043226D"/>
    <w:rsid w:val="00432BA0"/>
    <w:rsid w:val="00432D6B"/>
    <w:rsid w:val="004335BD"/>
    <w:rsid w:val="00433743"/>
    <w:rsid w:val="004367E6"/>
    <w:rsid w:val="00437CBF"/>
    <w:rsid w:val="00441CFB"/>
    <w:rsid w:val="00442E1F"/>
    <w:rsid w:val="00443851"/>
    <w:rsid w:val="004455A3"/>
    <w:rsid w:val="004473CA"/>
    <w:rsid w:val="00447CB6"/>
    <w:rsid w:val="00450719"/>
    <w:rsid w:val="004507E3"/>
    <w:rsid w:val="00451C3D"/>
    <w:rsid w:val="0045206E"/>
    <w:rsid w:val="004551F0"/>
    <w:rsid w:val="00455202"/>
    <w:rsid w:val="00455B5D"/>
    <w:rsid w:val="00457682"/>
    <w:rsid w:val="00457718"/>
    <w:rsid w:val="00457749"/>
    <w:rsid w:val="0046044B"/>
    <w:rsid w:val="004613A2"/>
    <w:rsid w:val="00464717"/>
    <w:rsid w:val="00464A99"/>
    <w:rsid w:val="004656FC"/>
    <w:rsid w:val="00465BED"/>
    <w:rsid w:val="004677DE"/>
    <w:rsid w:val="0047068A"/>
    <w:rsid w:val="00471D80"/>
    <w:rsid w:val="00472F88"/>
    <w:rsid w:val="00474BA0"/>
    <w:rsid w:val="00474BF5"/>
    <w:rsid w:val="004766AE"/>
    <w:rsid w:val="00476809"/>
    <w:rsid w:val="00476B02"/>
    <w:rsid w:val="00477574"/>
    <w:rsid w:val="00481A00"/>
    <w:rsid w:val="00481C2F"/>
    <w:rsid w:val="004823CA"/>
    <w:rsid w:val="004827EF"/>
    <w:rsid w:val="00482C39"/>
    <w:rsid w:val="00482EE2"/>
    <w:rsid w:val="00483AC8"/>
    <w:rsid w:val="00483D3F"/>
    <w:rsid w:val="004858DB"/>
    <w:rsid w:val="00485DE5"/>
    <w:rsid w:val="00485E40"/>
    <w:rsid w:val="00486F27"/>
    <w:rsid w:val="004877BC"/>
    <w:rsid w:val="0049243B"/>
    <w:rsid w:val="00493303"/>
    <w:rsid w:val="00495328"/>
    <w:rsid w:val="00496488"/>
    <w:rsid w:val="004A093E"/>
    <w:rsid w:val="004A2614"/>
    <w:rsid w:val="004A46DE"/>
    <w:rsid w:val="004A5033"/>
    <w:rsid w:val="004A6FAB"/>
    <w:rsid w:val="004B0896"/>
    <w:rsid w:val="004B0C96"/>
    <w:rsid w:val="004B1639"/>
    <w:rsid w:val="004B1DD1"/>
    <w:rsid w:val="004B3DB2"/>
    <w:rsid w:val="004B5AD9"/>
    <w:rsid w:val="004B5DB6"/>
    <w:rsid w:val="004B7428"/>
    <w:rsid w:val="004B7950"/>
    <w:rsid w:val="004C027B"/>
    <w:rsid w:val="004C20D6"/>
    <w:rsid w:val="004C33A4"/>
    <w:rsid w:val="004C49C8"/>
    <w:rsid w:val="004C7E44"/>
    <w:rsid w:val="004D2F0A"/>
    <w:rsid w:val="004D4975"/>
    <w:rsid w:val="004E312C"/>
    <w:rsid w:val="004E4EF7"/>
    <w:rsid w:val="004E5C66"/>
    <w:rsid w:val="004F09E9"/>
    <w:rsid w:val="004F28F6"/>
    <w:rsid w:val="004F2C34"/>
    <w:rsid w:val="004F3600"/>
    <w:rsid w:val="004F45E6"/>
    <w:rsid w:val="004F7E8F"/>
    <w:rsid w:val="00503639"/>
    <w:rsid w:val="0050387C"/>
    <w:rsid w:val="0050493D"/>
    <w:rsid w:val="005069EC"/>
    <w:rsid w:val="00507AC4"/>
    <w:rsid w:val="0051019E"/>
    <w:rsid w:val="005104AF"/>
    <w:rsid w:val="00510628"/>
    <w:rsid w:val="00510750"/>
    <w:rsid w:val="00512FBA"/>
    <w:rsid w:val="00513BD0"/>
    <w:rsid w:val="00514228"/>
    <w:rsid w:val="00514EB9"/>
    <w:rsid w:val="005203E9"/>
    <w:rsid w:val="00522B16"/>
    <w:rsid w:val="00524DE7"/>
    <w:rsid w:val="005253C2"/>
    <w:rsid w:val="005258F2"/>
    <w:rsid w:val="00526BCD"/>
    <w:rsid w:val="00527002"/>
    <w:rsid w:val="00527AB5"/>
    <w:rsid w:val="00527C80"/>
    <w:rsid w:val="005308A4"/>
    <w:rsid w:val="00531EFD"/>
    <w:rsid w:val="00532DA7"/>
    <w:rsid w:val="00532ECE"/>
    <w:rsid w:val="0053613D"/>
    <w:rsid w:val="00537DEC"/>
    <w:rsid w:val="00541024"/>
    <w:rsid w:val="005415D6"/>
    <w:rsid w:val="00542031"/>
    <w:rsid w:val="00545D7E"/>
    <w:rsid w:val="005531B1"/>
    <w:rsid w:val="0055475B"/>
    <w:rsid w:val="00555EBD"/>
    <w:rsid w:val="00556045"/>
    <w:rsid w:val="00556326"/>
    <w:rsid w:val="00557CAF"/>
    <w:rsid w:val="00560AFE"/>
    <w:rsid w:val="00561243"/>
    <w:rsid w:val="0056192E"/>
    <w:rsid w:val="00561E38"/>
    <w:rsid w:val="005636EC"/>
    <w:rsid w:val="00563BD5"/>
    <w:rsid w:val="00563DA0"/>
    <w:rsid w:val="00565D5F"/>
    <w:rsid w:val="00571959"/>
    <w:rsid w:val="005731DA"/>
    <w:rsid w:val="0057324A"/>
    <w:rsid w:val="0057400B"/>
    <w:rsid w:val="0057473E"/>
    <w:rsid w:val="0057520A"/>
    <w:rsid w:val="0058034B"/>
    <w:rsid w:val="00581DCF"/>
    <w:rsid w:val="00581F65"/>
    <w:rsid w:val="005825FE"/>
    <w:rsid w:val="00582EB1"/>
    <w:rsid w:val="00583359"/>
    <w:rsid w:val="00591988"/>
    <w:rsid w:val="00592381"/>
    <w:rsid w:val="00594654"/>
    <w:rsid w:val="00594ED8"/>
    <w:rsid w:val="00595EF2"/>
    <w:rsid w:val="00596F0B"/>
    <w:rsid w:val="005A0A3C"/>
    <w:rsid w:val="005A0E3C"/>
    <w:rsid w:val="005A1B09"/>
    <w:rsid w:val="005A1B20"/>
    <w:rsid w:val="005A1EA8"/>
    <w:rsid w:val="005A60DD"/>
    <w:rsid w:val="005A62B8"/>
    <w:rsid w:val="005B06A6"/>
    <w:rsid w:val="005B1F5C"/>
    <w:rsid w:val="005B6361"/>
    <w:rsid w:val="005B6C7F"/>
    <w:rsid w:val="005C02B1"/>
    <w:rsid w:val="005C1F5D"/>
    <w:rsid w:val="005C1F91"/>
    <w:rsid w:val="005C218A"/>
    <w:rsid w:val="005C2549"/>
    <w:rsid w:val="005C28B5"/>
    <w:rsid w:val="005C29CF"/>
    <w:rsid w:val="005C2F44"/>
    <w:rsid w:val="005C3478"/>
    <w:rsid w:val="005C3833"/>
    <w:rsid w:val="005C72D3"/>
    <w:rsid w:val="005C7318"/>
    <w:rsid w:val="005D1CDD"/>
    <w:rsid w:val="005D2C43"/>
    <w:rsid w:val="005D3F08"/>
    <w:rsid w:val="005D6AF0"/>
    <w:rsid w:val="005D7D14"/>
    <w:rsid w:val="005E0E42"/>
    <w:rsid w:val="005E1344"/>
    <w:rsid w:val="005E3405"/>
    <w:rsid w:val="005E3529"/>
    <w:rsid w:val="005E382B"/>
    <w:rsid w:val="005E3842"/>
    <w:rsid w:val="005E7672"/>
    <w:rsid w:val="005F1A97"/>
    <w:rsid w:val="005F299B"/>
    <w:rsid w:val="005F4E84"/>
    <w:rsid w:val="005F6419"/>
    <w:rsid w:val="005F7506"/>
    <w:rsid w:val="005F755C"/>
    <w:rsid w:val="00600B43"/>
    <w:rsid w:val="00604DD6"/>
    <w:rsid w:val="00605AC4"/>
    <w:rsid w:val="00607EDC"/>
    <w:rsid w:val="00610975"/>
    <w:rsid w:val="00611012"/>
    <w:rsid w:val="00613B1C"/>
    <w:rsid w:val="006142CF"/>
    <w:rsid w:val="00616CC9"/>
    <w:rsid w:val="00620427"/>
    <w:rsid w:val="00621222"/>
    <w:rsid w:val="0062159D"/>
    <w:rsid w:val="00621624"/>
    <w:rsid w:val="00624F62"/>
    <w:rsid w:val="00627901"/>
    <w:rsid w:val="0063091C"/>
    <w:rsid w:val="00630940"/>
    <w:rsid w:val="0063233A"/>
    <w:rsid w:val="00633265"/>
    <w:rsid w:val="00633B32"/>
    <w:rsid w:val="00633F1C"/>
    <w:rsid w:val="00634148"/>
    <w:rsid w:val="006349D7"/>
    <w:rsid w:val="00634AC0"/>
    <w:rsid w:val="00636184"/>
    <w:rsid w:val="00636498"/>
    <w:rsid w:val="00636B16"/>
    <w:rsid w:val="00643CD7"/>
    <w:rsid w:val="00645630"/>
    <w:rsid w:val="0064574B"/>
    <w:rsid w:val="00645D27"/>
    <w:rsid w:val="00646172"/>
    <w:rsid w:val="0065009E"/>
    <w:rsid w:val="00650882"/>
    <w:rsid w:val="00651F81"/>
    <w:rsid w:val="00654D85"/>
    <w:rsid w:val="00656A1C"/>
    <w:rsid w:val="00656CD9"/>
    <w:rsid w:val="00657754"/>
    <w:rsid w:val="00657CEB"/>
    <w:rsid w:val="00660D1B"/>
    <w:rsid w:val="00660EC2"/>
    <w:rsid w:val="00662500"/>
    <w:rsid w:val="0066285D"/>
    <w:rsid w:val="00663063"/>
    <w:rsid w:val="006640C4"/>
    <w:rsid w:val="00667473"/>
    <w:rsid w:val="006679C8"/>
    <w:rsid w:val="00671D22"/>
    <w:rsid w:val="006720FE"/>
    <w:rsid w:val="0067246F"/>
    <w:rsid w:val="00673A47"/>
    <w:rsid w:val="00675BF1"/>
    <w:rsid w:val="00676421"/>
    <w:rsid w:val="00680322"/>
    <w:rsid w:val="006806AB"/>
    <w:rsid w:val="00680A05"/>
    <w:rsid w:val="00680E47"/>
    <w:rsid w:val="0068299B"/>
    <w:rsid w:val="00683C9B"/>
    <w:rsid w:val="00684952"/>
    <w:rsid w:val="00686FD2"/>
    <w:rsid w:val="006908BA"/>
    <w:rsid w:val="006947A3"/>
    <w:rsid w:val="00694FAD"/>
    <w:rsid w:val="006978EA"/>
    <w:rsid w:val="006A0F87"/>
    <w:rsid w:val="006A30E3"/>
    <w:rsid w:val="006A7EA7"/>
    <w:rsid w:val="006A7FCA"/>
    <w:rsid w:val="006B1C00"/>
    <w:rsid w:val="006B2492"/>
    <w:rsid w:val="006B409A"/>
    <w:rsid w:val="006B4DA1"/>
    <w:rsid w:val="006B75D3"/>
    <w:rsid w:val="006C00AC"/>
    <w:rsid w:val="006C48C1"/>
    <w:rsid w:val="006C5340"/>
    <w:rsid w:val="006C5859"/>
    <w:rsid w:val="006C5A22"/>
    <w:rsid w:val="006D1A5E"/>
    <w:rsid w:val="006D3527"/>
    <w:rsid w:val="006D42BC"/>
    <w:rsid w:val="006D6125"/>
    <w:rsid w:val="006D660F"/>
    <w:rsid w:val="006D733A"/>
    <w:rsid w:val="006E18A1"/>
    <w:rsid w:val="006E3044"/>
    <w:rsid w:val="006E35AD"/>
    <w:rsid w:val="006E40EE"/>
    <w:rsid w:val="006E6D7F"/>
    <w:rsid w:val="006F179C"/>
    <w:rsid w:val="006F49A8"/>
    <w:rsid w:val="006F683A"/>
    <w:rsid w:val="0070128A"/>
    <w:rsid w:val="00702765"/>
    <w:rsid w:val="00702A96"/>
    <w:rsid w:val="00702ED8"/>
    <w:rsid w:val="0070604B"/>
    <w:rsid w:val="0071151E"/>
    <w:rsid w:val="00711AA7"/>
    <w:rsid w:val="007126EC"/>
    <w:rsid w:val="00720B7A"/>
    <w:rsid w:val="00720D5A"/>
    <w:rsid w:val="00721480"/>
    <w:rsid w:val="0072161A"/>
    <w:rsid w:val="00721895"/>
    <w:rsid w:val="00722470"/>
    <w:rsid w:val="007227E1"/>
    <w:rsid w:val="00727C7A"/>
    <w:rsid w:val="00727F08"/>
    <w:rsid w:val="00731B58"/>
    <w:rsid w:val="00731DDD"/>
    <w:rsid w:val="0073254F"/>
    <w:rsid w:val="00732EE6"/>
    <w:rsid w:val="0073486D"/>
    <w:rsid w:val="00735A3C"/>
    <w:rsid w:val="00735A47"/>
    <w:rsid w:val="00735C52"/>
    <w:rsid w:val="00737F42"/>
    <w:rsid w:val="00740643"/>
    <w:rsid w:val="00741866"/>
    <w:rsid w:val="00741981"/>
    <w:rsid w:val="0074208D"/>
    <w:rsid w:val="00742B33"/>
    <w:rsid w:val="00743080"/>
    <w:rsid w:val="00745995"/>
    <w:rsid w:val="00747C58"/>
    <w:rsid w:val="00751C5E"/>
    <w:rsid w:val="00752747"/>
    <w:rsid w:val="007538E3"/>
    <w:rsid w:val="00754444"/>
    <w:rsid w:val="007553A7"/>
    <w:rsid w:val="007560AC"/>
    <w:rsid w:val="00760FE4"/>
    <w:rsid w:val="00762342"/>
    <w:rsid w:val="00767223"/>
    <w:rsid w:val="0076796D"/>
    <w:rsid w:val="0077061B"/>
    <w:rsid w:val="007709F9"/>
    <w:rsid w:val="007726B3"/>
    <w:rsid w:val="007730B6"/>
    <w:rsid w:val="00773717"/>
    <w:rsid w:val="00774947"/>
    <w:rsid w:val="0077590D"/>
    <w:rsid w:val="00775A9C"/>
    <w:rsid w:val="007764CA"/>
    <w:rsid w:val="0077689D"/>
    <w:rsid w:val="00776DED"/>
    <w:rsid w:val="0078093F"/>
    <w:rsid w:val="007820B6"/>
    <w:rsid w:val="00783120"/>
    <w:rsid w:val="00783588"/>
    <w:rsid w:val="0078373F"/>
    <w:rsid w:val="00783E67"/>
    <w:rsid w:val="00785F2D"/>
    <w:rsid w:val="00786873"/>
    <w:rsid w:val="00786B77"/>
    <w:rsid w:val="0079242A"/>
    <w:rsid w:val="00793CC8"/>
    <w:rsid w:val="00794AA8"/>
    <w:rsid w:val="007969EF"/>
    <w:rsid w:val="00797460"/>
    <w:rsid w:val="00797BDC"/>
    <w:rsid w:val="00797F3B"/>
    <w:rsid w:val="007A0697"/>
    <w:rsid w:val="007A094B"/>
    <w:rsid w:val="007A0C89"/>
    <w:rsid w:val="007A4F2A"/>
    <w:rsid w:val="007A5F14"/>
    <w:rsid w:val="007B1B80"/>
    <w:rsid w:val="007B1FDE"/>
    <w:rsid w:val="007B2C84"/>
    <w:rsid w:val="007C0085"/>
    <w:rsid w:val="007C187C"/>
    <w:rsid w:val="007C53CD"/>
    <w:rsid w:val="007C63F5"/>
    <w:rsid w:val="007C7EA3"/>
    <w:rsid w:val="007D01D9"/>
    <w:rsid w:val="007D3071"/>
    <w:rsid w:val="007D65C8"/>
    <w:rsid w:val="007D7973"/>
    <w:rsid w:val="007E0384"/>
    <w:rsid w:val="007E117B"/>
    <w:rsid w:val="007E18BB"/>
    <w:rsid w:val="007E1914"/>
    <w:rsid w:val="007E1F49"/>
    <w:rsid w:val="007E26AD"/>
    <w:rsid w:val="007E74D5"/>
    <w:rsid w:val="007F0637"/>
    <w:rsid w:val="007F2C2E"/>
    <w:rsid w:val="007F324D"/>
    <w:rsid w:val="007F36C1"/>
    <w:rsid w:val="007F4189"/>
    <w:rsid w:val="007F7489"/>
    <w:rsid w:val="0080058A"/>
    <w:rsid w:val="00801685"/>
    <w:rsid w:val="00803320"/>
    <w:rsid w:val="00803792"/>
    <w:rsid w:val="008040DB"/>
    <w:rsid w:val="008042D8"/>
    <w:rsid w:val="00804AB5"/>
    <w:rsid w:val="00806150"/>
    <w:rsid w:val="0080724E"/>
    <w:rsid w:val="008075E6"/>
    <w:rsid w:val="008104FD"/>
    <w:rsid w:val="00810FA6"/>
    <w:rsid w:val="00811199"/>
    <w:rsid w:val="00811F97"/>
    <w:rsid w:val="008123D3"/>
    <w:rsid w:val="00813864"/>
    <w:rsid w:val="00813981"/>
    <w:rsid w:val="00813BCB"/>
    <w:rsid w:val="00815CC7"/>
    <w:rsid w:val="00816A88"/>
    <w:rsid w:val="00817EC7"/>
    <w:rsid w:val="00821E30"/>
    <w:rsid w:val="00821E3A"/>
    <w:rsid w:val="008261DD"/>
    <w:rsid w:val="0082669A"/>
    <w:rsid w:val="00826A2B"/>
    <w:rsid w:val="008320A7"/>
    <w:rsid w:val="00835B8C"/>
    <w:rsid w:val="00835BF3"/>
    <w:rsid w:val="00835DAB"/>
    <w:rsid w:val="0083786F"/>
    <w:rsid w:val="00840956"/>
    <w:rsid w:val="00845797"/>
    <w:rsid w:val="00845C81"/>
    <w:rsid w:val="008470F7"/>
    <w:rsid w:val="00847BB9"/>
    <w:rsid w:val="00850973"/>
    <w:rsid w:val="00850E61"/>
    <w:rsid w:val="00851D6E"/>
    <w:rsid w:val="00851FEA"/>
    <w:rsid w:val="008527DD"/>
    <w:rsid w:val="00852DE3"/>
    <w:rsid w:val="00852DF8"/>
    <w:rsid w:val="00852EBB"/>
    <w:rsid w:val="008547F0"/>
    <w:rsid w:val="00856F6B"/>
    <w:rsid w:val="008577B2"/>
    <w:rsid w:val="00857943"/>
    <w:rsid w:val="008601E8"/>
    <w:rsid w:val="00860B68"/>
    <w:rsid w:val="00861DBA"/>
    <w:rsid w:val="00862B2C"/>
    <w:rsid w:val="00862DB7"/>
    <w:rsid w:val="00864A8A"/>
    <w:rsid w:val="00865093"/>
    <w:rsid w:val="008661C3"/>
    <w:rsid w:val="00867522"/>
    <w:rsid w:val="0087022D"/>
    <w:rsid w:val="00870404"/>
    <w:rsid w:val="008710FD"/>
    <w:rsid w:val="00871585"/>
    <w:rsid w:val="00874607"/>
    <w:rsid w:val="008772EE"/>
    <w:rsid w:val="008803F7"/>
    <w:rsid w:val="00880577"/>
    <w:rsid w:val="0088119A"/>
    <w:rsid w:val="00882458"/>
    <w:rsid w:val="00884CE1"/>
    <w:rsid w:val="0088590E"/>
    <w:rsid w:val="0088761C"/>
    <w:rsid w:val="008907A5"/>
    <w:rsid w:val="00892041"/>
    <w:rsid w:val="00894A8F"/>
    <w:rsid w:val="00895629"/>
    <w:rsid w:val="008962E1"/>
    <w:rsid w:val="008A04E3"/>
    <w:rsid w:val="008A0795"/>
    <w:rsid w:val="008A2645"/>
    <w:rsid w:val="008A35BD"/>
    <w:rsid w:val="008A6191"/>
    <w:rsid w:val="008A6B85"/>
    <w:rsid w:val="008A73C3"/>
    <w:rsid w:val="008A797B"/>
    <w:rsid w:val="008B0044"/>
    <w:rsid w:val="008B1B2B"/>
    <w:rsid w:val="008B3E18"/>
    <w:rsid w:val="008B4CB8"/>
    <w:rsid w:val="008B5D12"/>
    <w:rsid w:val="008B7DA0"/>
    <w:rsid w:val="008C0FE8"/>
    <w:rsid w:val="008C18E6"/>
    <w:rsid w:val="008C39BB"/>
    <w:rsid w:val="008C4670"/>
    <w:rsid w:val="008C5E18"/>
    <w:rsid w:val="008D104B"/>
    <w:rsid w:val="008D24B2"/>
    <w:rsid w:val="008D32B0"/>
    <w:rsid w:val="008D3DC9"/>
    <w:rsid w:val="008D3E74"/>
    <w:rsid w:val="008E044A"/>
    <w:rsid w:val="008E1E8C"/>
    <w:rsid w:val="008E7A03"/>
    <w:rsid w:val="008F0CC1"/>
    <w:rsid w:val="008F35CB"/>
    <w:rsid w:val="008F4148"/>
    <w:rsid w:val="008F4921"/>
    <w:rsid w:val="008F5B57"/>
    <w:rsid w:val="008F7006"/>
    <w:rsid w:val="00901390"/>
    <w:rsid w:val="00901BAC"/>
    <w:rsid w:val="00904516"/>
    <w:rsid w:val="009047D6"/>
    <w:rsid w:val="0090497B"/>
    <w:rsid w:val="00905B5A"/>
    <w:rsid w:val="00905D5B"/>
    <w:rsid w:val="009077EF"/>
    <w:rsid w:val="00907CF1"/>
    <w:rsid w:val="00910389"/>
    <w:rsid w:val="00910429"/>
    <w:rsid w:val="00910BD5"/>
    <w:rsid w:val="0091105E"/>
    <w:rsid w:val="0091416E"/>
    <w:rsid w:val="00914888"/>
    <w:rsid w:val="0091539B"/>
    <w:rsid w:val="009160E0"/>
    <w:rsid w:val="00916703"/>
    <w:rsid w:val="009167BE"/>
    <w:rsid w:val="00920235"/>
    <w:rsid w:val="00920D02"/>
    <w:rsid w:val="00923187"/>
    <w:rsid w:val="00923BEB"/>
    <w:rsid w:val="009243EA"/>
    <w:rsid w:val="009244D1"/>
    <w:rsid w:val="00926054"/>
    <w:rsid w:val="009272C1"/>
    <w:rsid w:val="009308B6"/>
    <w:rsid w:val="009308BA"/>
    <w:rsid w:val="00931165"/>
    <w:rsid w:val="00934ADF"/>
    <w:rsid w:val="00936935"/>
    <w:rsid w:val="00941262"/>
    <w:rsid w:val="00941DF1"/>
    <w:rsid w:val="00943267"/>
    <w:rsid w:val="009467C3"/>
    <w:rsid w:val="00947B76"/>
    <w:rsid w:val="00947F14"/>
    <w:rsid w:val="0095781D"/>
    <w:rsid w:val="00961DEC"/>
    <w:rsid w:val="0096275A"/>
    <w:rsid w:val="009631D4"/>
    <w:rsid w:val="00963A7F"/>
    <w:rsid w:val="0096561D"/>
    <w:rsid w:val="00966413"/>
    <w:rsid w:val="0096678A"/>
    <w:rsid w:val="00967A14"/>
    <w:rsid w:val="00970458"/>
    <w:rsid w:val="009725AA"/>
    <w:rsid w:val="00972F47"/>
    <w:rsid w:val="009735D8"/>
    <w:rsid w:val="00974221"/>
    <w:rsid w:val="009750C2"/>
    <w:rsid w:val="00981104"/>
    <w:rsid w:val="0098248B"/>
    <w:rsid w:val="00982754"/>
    <w:rsid w:val="00982D91"/>
    <w:rsid w:val="00984688"/>
    <w:rsid w:val="00984811"/>
    <w:rsid w:val="00984FEF"/>
    <w:rsid w:val="00986A35"/>
    <w:rsid w:val="00986D95"/>
    <w:rsid w:val="009909CF"/>
    <w:rsid w:val="00990DB6"/>
    <w:rsid w:val="009915EF"/>
    <w:rsid w:val="00992B3A"/>
    <w:rsid w:val="00992B63"/>
    <w:rsid w:val="009947DC"/>
    <w:rsid w:val="00994FB5"/>
    <w:rsid w:val="009A0737"/>
    <w:rsid w:val="009A0FD3"/>
    <w:rsid w:val="009A1B75"/>
    <w:rsid w:val="009A3108"/>
    <w:rsid w:val="009A47DA"/>
    <w:rsid w:val="009A4CAB"/>
    <w:rsid w:val="009A597B"/>
    <w:rsid w:val="009A64DB"/>
    <w:rsid w:val="009A687D"/>
    <w:rsid w:val="009A6C89"/>
    <w:rsid w:val="009B0F3C"/>
    <w:rsid w:val="009B4319"/>
    <w:rsid w:val="009B501A"/>
    <w:rsid w:val="009B5C4D"/>
    <w:rsid w:val="009C0BC0"/>
    <w:rsid w:val="009C0EB7"/>
    <w:rsid w:val="009C1FFB"/>
    <w:rsid w:val="009C2ACA"/>
    <w:rsid w:val="009C4291"/>
    <w:rsid w:val="009C4B0E"/>
    <w:rsid w:val="009C4E0C"/>
    <w:rsid w:val="009C57A6"/>
    <w:rsid w:val="009D00EF"/>
    <w:rsid w:val="009D098F"/>
    <w:rsid w:val="009D404E"/>
    <w:rsid w:val="009D4745"/>
    <w:rsid w:val="009D68DE"/>
    <w:rsid w:val="009D6A44"/>
    <w:rsid w:val="009E0F74"/>
    <w:rsid w:val="009E1288"/>
    <w:rsid w:val="009E2CEE"/>
    <w:rsid w:val="009E42B4"/>
    <w:rsid w:val="009E5346"/>
    <w:rsid w:val="009E5786"/>
    <w:rsid w:val="009E5C63"/>
    <w:rsid w:val="009F1C5B"/>
    <w:rsid w:val="009F21CF"/>
    <w:rsid w:val="009F2DCD"/>
    <w:rsid w:val="009F362A"/>
    <w:rsid w:val="009F451F"/>
    <w:rsid w:val="009F58E8"/>
    <w:rsid w:val="009F7481"/>
    <w:rsid w:val="009F79B7"/>
    <w:rsid w:val="00A01EED"/>
    <w:rsid w:val="00A030F1"/>
    <w:rsid w:val="00A04425"/>
    <w:rsid w:val="00A04A84"/>
    <w:rsid w:val="00A060BB"/>
    <w:rsid w:val="00A1041E"/>
    <w:rsid w:val="00A1115A"/>
    <w:rsid w:val="00A118FF"/>
    <w:rsid w:val="00A11AED"/>
    <w:rsid w:val="00A12C20"/>
    <w:rsid w:val="00A13ADF"/>
    <w:rsid w:val="00A1594B"/>
    <w:rsid w:val="00A1703A"/>
    <w:rsid w:val="00A23A61"/>
    <w:rsid w:val="00A25D80"/>
    <w:rsid w:val="00A260D3"/>
    <w:rsid w:val="00A264AC"/>
    <w:rsid w:val="00A265FC"/>
    <w:rsid w:val="00A27655"/>
    <w:rsid w:val="00A312CA"/>
    <w:rsid w:val="00A3165C"/>
    <w:rsid w:val="00A31E25"/>
    <w:rsid w:val="00A32CBE"/>
    <w:rsid w:val="00A3488E"/>
    <w:rsid w:val="00A34C28"/>
    <w:rsid w:val="00A3703B"/>
    <w:rsid w:val="00A37230"/>
    <w:rsid w:val="00A40AF5"/>
    <w:rsid w:val="00A41A68"/>
    <w:rsid w:val="00A41F53"/>
    <w:rsid w:val="00A429EA"/>
    <w:rsid w:val="00A4359A"/>
    <w:rsid w:val="00A437EB"/>
    <w:rsid w:val="00A4783E"/>
    <w:rsid w:val="00A50DC5"/>
    <w:rsid w:val="00A516C7"/>
    <w:rsid w:val="00A5326D"/>
    <w:rsid w:val="00A54ADE"/>
    <w:rsid w:val="00A55CAF"/>
    <w:rsid w:val="00A5726A"/>
    <w:rsid w:val="00A57A44"/>
    <w:rsid w:val="00A6260D"/>
    <w:rsid w:val="00A6270F"/>
    <w:rsid w:val="00A62CAB"/>
    <w:rsid w:val="00A63727"/>
    <w:rsid w:val="00A63B37"/>
    <w:rsid w:val="00A657E0"/>
    <w:rsid w:val="00A66A0C"/>
    <w:rsid w:val="00A6741B"/>
    <w:rsid w:val="00A725B0"/>
    <w:rsid w:val="00A73C36"/>
    <w:rsid w:val="00A74C79"/>
    <w:rsid w:val="00A76204"/>
    <w:rsid w:val="00A76919"/>
    <w:rsid w:val="00A8153F"/>
    <w:rsid w:val="00A81AB0"/>
    <w:rsid w:val="00A83A31"/>
    <w:rsid w:val="00A853C9"/>
    <w:rsid w:val="00A854A0"/>
    <w:rsid w:val="00A87995"/>
    <w:rsid w:val="00A91721"/>
    <w:rsid w:val="00A97744"/>
    <w:rsid w:val="00AA0227"/>
    <w:rsid w:val="00AA0F6F"/>
    <w:rsid w:val="00AA10BE"/>
    <w:rsid w:val="00AA3556"/>
    <w:rsid w:val="00AA3F9F"/>
    <w:rsid w:val="00AA4980"/>
    <w:rsid w:val="00AA4B70"/>
    <w:rsid w:val="00AB1112"/>
    <w:rsid w:val="00AB144C"/>
    <w:rsid w:val="00AB3CCD"/>
    <w:rsid w:val="00AB6464"/>
    <w:rsid w:val="00AC0925"/>
    <w:rsid w:val="00AC0E93"/>
    <w:rsid w:val="00AC2111"/>
    <w:rsid w:val="00AC4D32"/>
    <w:rsid w:val="00AC62F7"/>
    <w:rsid w:val="00AD0B7A"/>
    <w:rsid w:val="00AD22A6"/>
    <w:rsid w:val="00AD4C20"/>
    <w:rsid w:val="00AD55D4"/>
    <w:rsid w:val="00AD61B1"/>
    <w:rsid w:val="00AE1C3A"/>
    <w:rsid w:val="00AE7A4B"/>
    <w:rsid w:val="00AF1E34"/>
    <w:rsid w:val="00AF2D65"/>
    <w:rsid w:val="00AF4CC4"/>
    <w:rsid w:val="00AF5951"/>
    <w:rsid w:val="00AF5D25"/>
    <w:rsid w:val="00AF6472"/>
    <w:rsid w:val="00AF6682"/>
    <w:rsid w:val="00AF6A38"/>
    <w:rsid w:val="00AF7531"/>
    <w:rsid w:val="00AF78CC"/>
    <w:rsid w:val="00B00A13"/>
    <w:rsid w:val="00B01663"/>
    <w:rsid w:val="00B029FB"/>
    <w:rsid w:val="00B061DB"/>
    <w:rsid w:val="00B0729E"/>
    <w:rsid w:val="00B078A3"/>
    <w:rsid w:val="00B11815"/>
    <w:rsid w:val="00B12839"/>
    <w:rsid w:val="00B13088"/>
    <w:rsid w:val="00B14299"/>
    <w:rsid w:val="00B1488E"/>
    <w:rsid w:val="00B14909"/>
    <w:rsid w:val="00B14EF7"/>
    <w:rsid w:val="00B156DC"/>
    <w:rsid w:val="00B16CAE"/>
    <w:rsid w:val="00B16E50"/>
    <w:rsid w:val="00B179F1"/>
    <w:rsid w:val="00B2430E"/>
    <w:rsid w:val="00B24B31"/>
    <w:rsid w:val="00B24FCA"/>
    <w:rsid w:val="00B268F7"/>
    <w:rsid w:val="00B26D43"/>
    <w:rsid w:val="00B271C1"/>
    <w:rsid w:val="00B30344"/>
    <w:rsid w:val="00B31C1C"/>
    <w:rsid w:val="00B32E7B"/>
    <w:rsid w:val="00B33FFB"/>
    <w:rsid w:val="00B3467F"/>
    <w:rsid w:val="00B35E12"/>
    <w:rsid w:val="00B35E4E"/>
    <w:rsid w:val="00B3634F"/>
    <w:rsid w:val="00B377DE"/>
    <w:rsid w:val="00B37A7B"/>
    <w:rsid w:val="00B40773"/>
    <w:rsid w:val="00B417B4"/>
    <w:rsid w:val="00B4471A"/>
    <w:rsid w:val="00B472D7"/>
    <w:rsid w:val="00B47861"/>
    <w:rsid w:val="00B518BD"/>
    <w:rsid w:val="00B5222E"/>
    <w:rsid w:val="00B536B4"/>
    <w:rsid w:val="00B540C2"/>
    <w:rsid w:val="00B550A7"/>
    <w:rsid w:val="00B5573A"/>
    <w:rsid w:val="00B56BA8"/>
    <w:rsid w:val="00B6099C"/>
    <w:rsid w:val="00B61B8E"/>
    <w:rsid w:val="00B635AC"/>
    <w:rsid w:val="00B643D8"/>
    <w:rsid w:val="00B66281"/>
    <w:rsid w:val="00B66FFE"/>
    <w:rsid w:val="00B6710E"/>
    <w:rsid w:val="00B724B7"/>
    <w:rsid w:val="00B726D3"/>
    <w:rsid w:val="00B73BF1"/>
    <w:rsid w:val="00B761BD"/>
    <w:rsid w:val="00B77508"/>
    <w:rsid w:val="00B822C4"/>
    <w:rsid w:val="00B8500A"/>
    <w:rsid w:val="00B87D10"/>
    <w:rsid w:val="00B932B4"/>
    <w:rsid w:val="00B9353F"/>
    <w:rsid w:val="00B95954"/>
    <w:rsid w:val="00B95BF0"/>
    <w:rsid w:val="00BA0390"/>
    <w:rsid w:val="00BA0759"/>
    <w:rsid w:val="00BA3E51"/>
    <w:rsid w:val="00BA4DA2"/>
    <w:rsid w:val="00BA7042"/>
    <w:rsid w:val="00BB1D0B"/>
    <w:rsid w:val="00BB1F9C"/>
    <w:rsid w:val="00BB1FD0"/>
    <w:rsid w:val="00BB245E"/>
    <w:rsid w:val="00BB25EA"/>
    <w:rsid w:val="00BB45ED"/>
    <w:rsid w:val="00BB5353"/>
    <w:rsid w:val="00BB6C0C"/>
    <w:rsid w:val="00BB7508"/>
    <w:rsid w:val="00BC00D1"/>
    <w:rsid w:val="00BC1BE0"/>
    <w:rsid w:val="00BC1EEE"/>
    <w:rsid w:val="00BC29B3"/>
    <w:rsid w:val="00BC3868"/>
    <w:rsid w:val="00BD0090"/>
    <w:rsid w:val="00BD0D01"/>
    <w:rsid w:val="00BD0D6D"/>
    <w:rsid w:val="00BD1984"/>
    <w:rsid w:val="00BD2368"/>
    <w:rsid w:val="00BD2C86"/>
    <w:rsid w:val="00BD2CA0"/>
    <w:rsid w:val="00BD4570"/>
    <w:rsid w:val="00BD6226"/>
    <w:rsid w:val="00BD67E7"/>
    <w:rsid w:val="00BE0998"/>
    <w:rsid w:val="00BE16DA"/>
    <w:rsid w:val="00BE2255"/>
    <w:rsid w:val="00BE3AA9"/>
    <w:rsid w:val="00BE3BB4"/>
    <w:rsid w:val="00BE4766"/>
    <w:rsid w:val="00BE4E7D"/>
    <w:rsid w:val="00BE5EC7"/>
    <w:rsid w:val="00BE68A5"/>
    <w:rsid w:val="00BE6CBF"/>
    <w:rsid w:val="00BE6FE7"/>
    <w:rsid w:val="00BF0067"/>
    <w:rsid w:val="00BF024D"/>
    <w:rsid w:val="00BF1DFB"/>
    <w:rsid w:val="00BF1E34"/>
    <w:rsid w:val="00BF3993"/>
    <w:rsid w:val="00BF3AFE"/>
    <w:rsid w:val="00BF3B8D"/>
    <w:rsid w:val="00BF3BCE"/>
    <w:rsid w:val="00BF540B"/>
    <w:rsid w:val="00BF5A99"/>
    <w:rsid w:val="00BF6432"/>
    <w:rsid w:val="00BF6E3F"/>
    <w:rsid w:val="00BF78E6"/>
    <w:rsid w:val="00C02544"/>
    <w:rsid w:val="00C04483"/>
    <w:rsid w:val="00C0450E"/>
    <w:rsid w:val="00C046C4"/>
    <w:rsid w:val="00C061D3"/>
    <w:rsid w:val="00C07C06"/>
    <w:rsid w:val="00C13B04"/>
    <w:rsid w:val="00C147E6"/>
    <w:rsid w:val="00C15524"/>
    <w:rsid w:val="00C23771"/>
    <w:rsid w:val="00C30970"/>
    <w:rsid w:val="00C326B5"/>
    <w:rsid w:val="00C3456A"/>
    <w:rsid w:val="00C37EA2"/>
    <w:rsid w:val="00C40C48"/>
    <w:rsid w:val="00C41155"/>
    <w:rsid w:val="00C418EE"/>
    <w:rsid w:val="00C41E7D"/>
    <w:rsid w:val="00C470CA"/>
    <w:rsid w:val="00C47FF5"/>
    <w:rsid w:val="00C517B9"/>
    <w:rsid w:val="00C51810"/>
    <w:rsid w:val="00C52C84"/>
    <w:rsid w:val="00C5390A"/>
    <w:rsid w:val="00C5494C"/>
    <w:rsid w:val="00C57532"/>
    <w:rsid w:val="00C612D2"/>
    <w:rsid w:val="00C61C50"/>
    <w:rsid w:val="00C63468"/>
    <w:rsid w:val="00C635EB"/>
    <w:rsid w:val="00C63D2F"/>
    <w:rsid w:val="00C64BF5"/>
    <w:rsid w:val="00C677A7"/>
    <w:rsid w:val="00C67E14"/>
    <w:rsid w:val="00C7069D"/>
    <w:rsid w:val="00C72765"/>
    <w:rsid w:val="00C7327B"/>
    <w:rsid w:val="00C735B0"/>
    <w:rsid w:val="00C73C6A"/>
    <w:rsid w:val="00C75226"/>
    <w:rsid w:val="00C754C5"/>
    <w:rsid w:val="00C77D48"/>
    <w:rsid w:val="00C80203"/>
    <w:rsid w:val="00C807FA"/>
    <w:rsid w:val="00C830E4"/>
    <w:rsid w:val="00C846DA"/>
    <w:rsid w:val="00C84E02"/>
    <w:rsid w:val="00C868EB"/>
    <w:rsid w:val="00C91BC4"/>
    <w:rsid w:val="00C92928"/>
    <w:rsid w:val="00C92B7B"/>
    <w:rsid w:val="00C92F69"/>
    <w:rsid w:val="00C92F91"/>
    <w:rsid w:val="00C941F1"/>
    <w:rsid w:val="00C9586A"/>
    <w:rsid w:val="00C96DED"/>
    <w:rsid w:val="00C97DB0"/>
    <w:rsid w:val="00CA4F53"/>
    <w:rsid w:val="00CA51BA"/>
    <w:rsid w:val="00CA7263"/>
    <w:rsid w:val="00CA7E77"/>
    <w:rsid w:val="00CA7F80"/>
    <w:rsid w:val="00CB1C01"/>
    <w:rsid w:val="00CB2146"/>
    <w:rsid w:val="00CB38C1"/>
    <w:rsid w:val="00CB48DE"/>
    <w:rsid w:val="00CB7F61"/>
    <w:rsid w:val="00CC040D"/>
    <w:rsid w:val="00CC3ADE"/>
    <w:rsid w:val="00CC4D47"/>
    <w:rsid w:val="00CC4DF6"/>
    <w:rsid w:val="00CC6580"/>
    <w:rsid w:val="00CC65EB"/>
    <w:rsid w:val="00CC7BCE"/>
    <w:rsid w:val="00CE1740"/>
    <w:rsid w:val="00CE3839"/>
    <w:rsid w:val="00CF148A"/>
    <w:rsid w:val="00CF2225"/>
    <w:rsid w:val="00CF33F5"/>
    <w:rsid w:val="00CF5190"/>
    <w:rsid w:val="00CF60DF"/>
    <w:rsid w:val="00CF67EF"/>
    <w:rsid w:val="00D01388"/>
    <w:rsid w:val="00D01BCB"/>
    <w:rsid w:val="00D02D53"/>
    <w:rsid w:val="00D046E0"/>
    <w:rsid w:val="00D04AF0"/>
    <w:rsid w:val="00D04EFC"/>
    <w:rsid w:val="00D0535F"/>
    <w:rsid w:val="00D07E9D"/>
    <w:rsid w:val="00D1064A"/>
    <w:rsid w:val="00D2051D"/>
    <w:rsid w:val="00D20DDA"/>
    <w:rsid w:val="00D21F23"/>
    <w:rsid w:val="00D2226D"/>
    <w:rsid w:val="00D24654"/>
    <w:rsid w:val="00D246B4"/>
    <w:rsid w:val="00D2476D"/>
    <w:rsid w:val="00D25D2A"/>
    <w:rsid w:val="00D2629F"/>
    <w:rsid w:val="00D301A5"/>
    <w:rsid w:val="00D3132C"/>
    <w:rsid w:val="00D4079C"/>
    <w:rsid w:val="00D40FF3"/>
    <w:rsid w:val="00D41539"/>
    <w:rsid w:val="00D42F45"/>
    <w:rsid w:val="00D433B3"/>
    <w:rsid w:val="00D43EC9"/>
    <w:rsid w:val="00D442A5"/>
    <w:rsid w:val="00D445BB"/>
    <w:rsid w:val="00D448AD"/>
    <w:rsid w:val="00D4557F"/>
    <w:rsid w:val="00D4647A"/>
    <w:rsid w:val="00D53388"/>
    <w:rsid w:val="00D54828"/>
    <w:rsid w:val="00D56B56"/>
    <w:rsid w:val="00D60BE7"/>
    <w:rsid w:val="00D61B09"/>
    <w:rsid w:val="00D62BE1"/>
    <w:rsid w:val="00D65E77"/>
    <w:rsid w:val="00D6635E"/>
    <w:rsid w:val="00D6724E"/>
    <w:rsid w:val="00D67C32"/>
    <w:rsid w:val="00D715CB"/>
    <w:rsid w:val="00D72A7A"/>
    <w:rsid w:val="00D74853"/>
    <w:rsid w:val="00D75105"/>
    <w:rsid w:val="00D75207"/>
    <w:rsid w:val="00D77A45"/>
    <w:rsid w:val="00D81226"/>
    <w:rsid w:val="00D83BEE"/>
    <w:rsid w:val="00D8413D"/>
    <w:rsid w:val="00D84CE1"/>
    <w:rsid w:val="00D85A9E"/>
    <w:rsid w:val="00D85E76"/>
    <w:rsid w:val="00D8752E"/>
    <w:rsid w:val="00D87D19"/>
    <w:rsid w:val="00D9063A"/>
    <w:rsid w:val="00D91549"/>
    <w:rsid w:val="00D91F1F"/>
    <w:rsid w:val="00D92882"/>
    <w:rsid w:val="00D92B67"/>
    <w:rsid w:val="00D94783"/>
    <w:rsid w:val="00D965D1"/>
    <w:rsid w:val="00D9697C"/>
    <w:rsid w:val="00D97415"/>
    <w:rsid w:val="00DA0392"/>
    <w:rsid w:val="00DA0551"/>
    <w:rsid w:val="00DA17B1"/>
    <w:rsid w:val="00DA1B74"/>
    <w:rsid w:val="00DA2FEC"/>
    <w:rsid w:val="00DA4105"/>
    <w:rsid w:val="00DA5236"/>
    <w:rsid w:val="00DA5629"/>
    <w:rsid w:val="00DA5B6A"/>
    <w:rsid w:val="00DA73AD"/>
    <w:rsid w:val="00DA7413"/>
    <w:rsid w:val="00DA7643"/>
    <w:rsid w:val="00DA7801"/>
    <w:rsid w:val="00DB0743"/>
    <w:rsid w:val="00DB07DC"/>
    <w:rsid w:val="00DB1E5E"/>
    <w:rsid w:val="00DB336B"/>
    <w:rsid w:val="00DB4FA1"/>
    <w:rsid w:val="00DB618E"/>
    <w:rsid w:val="00DB69C1"/>
    <w:rsid w:val="00DC0F82"/>
    <w:rsid w:val="00DC6412"/>
    <w:rsid w:val="00DC64B6"/>
    <w:rsid w:val="00DC7315"/>
    <w:rsid w:val="00DD2C8C"/>
    <w:rsid w:val="00DD395D"/>
    <w:rsid w:val="00DD4219"/>
    <w:rsid w:val="00DE07A1"/>
    <w:rsid w:val="00DE15A1"/>
    <w:rsid w:val="00DE1B53"/>
    <w:rsid w:val="00DE4076"/>
    <w:rsid w:val="00DE7D4B"/>
    <w:rsid w:val="00DF027B"/>
    <w:rsid w:val="00DF0A03"/>
    <w:rsid w:val="00DF0E8A"/>
    <w:rsid w:val="00DF175E"/>
    <w:rsid w:val="00DF2879"/>
    <w:rsid w:val="00DF443D"/>
    <w:rsid w:val="00DF5136"/>
    <w:rsid w:val="00DF7303"/>
    <w:rsid w:val="00E0057F"/>
    <w:rsid w:val="00E01BE7"/>
    <w:rsid w:val="00E0253E"/>
    <w:rsid w:val="00E0263B"/>
    <w:rsid w:val="00E02A99"/>
    <w:rsid w:val="00E02C12"/>
    <w:rsid w:val="00E0712E"/>
    <w:rsid w:val="00E073E4"/>
    <w:rsid w:val="00E07C69"/>
    <w:rsid w:val="00E117C7"/>
    <w:rsid w:val="00E13CE1"/>
    <w:rsid w:val="00E13E43"/>
    <w:rsid w:val="00E16D5B"/>
    <w:rsid w:val="00E17F41"/>
    <w:rsid w:val="00E207DA"/>
    <w:rsid w:val="00E2466C"/>
    <w:rsid w:val="00E30889"/>
    <w:rsid w:val="00E3173D"/>
    <w:rsid w:val="00E325C9"/>
    <w:rsid w:val="00E33463"/>
    <w:rsid w:val="00E34F8B"/>
    <w:rsid w:val="00E3611F"/>
    <w:rsid w:val="00E36420"/>
    <w:rsid w:val="00E36FCB"/>
    <w:rsid w:val="00E40846"/>
    <w:rsid w:val="00E41072"/>
    <w:rsid w:val="00E41A76"/>
    <w:rsid w:val="00E42BBE"/>
    <w:rsid w:val="00E45326"/>
    <w:rsid w:val="00E454AA"/>
    <w:rsid w:val="00E46FE9"/>
    <w:rsid w:val="00E5042A"/>
    <w:rsid w:val="00E50859"/>
    <w:rsid w:val="00E52FEE"/>
    <w:rsid w:val="00E54C2B"/>
    <w:rsid w:val="00E555E2"/>
    <w:rsid w:val="00E55CCE"/>
    <w:rsid w:val="00E56D42"/>
    <w:rsid w:val="00E57444"/>
    <w:rsid w:val="00E57DC2"/>
    <w:rsid w:val="00E605AB"/>
    <w:rsid w:val="00E618F3"/>
    <w:rsid w:val="00E61B30"/>
    <w:rsid w:val="00E62F23"/>
    <w:rsid w:val="00E662D0"/>
    <w:rsid w:val="00E66413"/>
    <w:rsid w:val="00E67A30"/>
    <w:rsid w:val="00E70625"/>
    <w:rsid w:val="00E72A4F"/>
    <w:rsid w:val="00E74E65"/>
    <w:rsid w:val="00E754BA"/>
    <w:rsid w:val="00E76F3D"/>
    <w:rsid w:val="00E80372"/>
    <w:rsid w:val="00E816A9"/>
    <w:rsid w:val="00E828C9"/>
    <w:rsid w:val="00E82D36"/>
    <w:rsid w:val="00E860C2"/>
    <w:rsid w:val="00E87332"/>
    <w:rsid w:val="00E90C0E"/>
    <w:rsid w:val="00E91599"/>
    <w:rsid w:val="00E91D29"/>
    <w:rsid w:val="00E920B8"/>
    <w:rsid w:val="00E92760"/>
    <w:rsid w:val="00E9470D"/>
    <w:rsid w:val="00E95114"/>
    <w:rsid w:val="00E95E33"/>
    <w:rsid w:val="00EA05F2"/>
    <w:rsid w:val="00EA12E6"/>
    <w:rsid w:val="00EA1903"/>
    <w:rsid w:val="00EA22B8"/>
    <w:rsid w:val="00EA2B53"/>
    <w:rsid w:val="00EA312A"/>
    <w:rsid w:val="00EA6E88"/>
    <w:rsid w:val="00EA70F5"/>
    <w:rsid w:val="00EA734C"/>
    <w:rsid w:val="00EA7D83"/>
    <w:rsid w:val="00EB50DF"/>
    <w:rsid w:val="00EB51F5"/>
    <w:rsid w:val="00EB611E"/>
    <w:rsid w:val="00EC1F20"/>
    <w:rsid w:val="00ED49D1"/>
    <w:rsid w:val="00ED4FF8"/>
    <w:rsid w:val="00ED5CCD"/>
    <w:rsid w:val="00ED617B"/>
    <w:rsid w:val="00ED6787"/>
    <w:rsid w:val="00ED7238"/>
    <w:rsid w:val="00ED7C49"/>
    <w:rsid w:val="00EE0C7F"/>
    <w:rsid w:val="00EE12FA"/>
    <w:rsid w:val="00EE1337"/>
    <w:rsid w:val="00EE2DAE"/>
    <w:rsid w:val="00EE34BA"/>
    <w:rsid w:val="00EF1AA5"/>
    <w:rsid w:val="00EF3870"/>
    <w:rsid w:val="00EF3BEB"/>
    <w:rsid w:val="00EF4C9E"/>
    <w:rsid w:val="00EF6D45"/>
    <w:rsid w:val="00F00304"/>
    <w:rsid w:val="00F012A5"/>
    <w:rsid w:val="00F02C56"/>
    <w:rsid w:val="00F034EB"/>
    <w:rsid w:val="00F0375F"/>
    <w:rsid w:val="00F03A06"/>
    <w:rsid w:val="00F048AC"/>
    <w:rsid w:val="00F05F29"/>
    <w:rsid w:val="00F071F6"/>
    <w:rsid w:val="00F07802"/>
    <w:rsid w:val="00F10212"/>
    <w:rsid w:val="00F1132D"/>
    <w:rsid w:val="00F11DE3"/>
    <w:rsid w:val="00F172D4"/>
    <w:rsid w:val="00F179C8"/>
    <w:rsid w:val="00F2205C"/>
    <w:rsid w:val="00F24FC4"/>
    <w:rsid w:val="00F25D29"/>
    <w:rsid w:val="00F264BB"/>
    <w:rsid w:val="00F2708B"/>
    <w:rsid w:val="00F3075A"/>
    <w:rsid w:val="00F33ED1"/>
    <w:rsid w:val="00F3585A"/>
    <w:rsid w:val="00F42FA4"/>
    <w:rsid w:val="00F430A7"/>
    <w:rsid w:val="00F43F4F"/>
    <w:rsid w:val="00F50D3E"/>
    <w:rsid w:val="00F518C9"/>
    <w:rsid w:val="00F52C99"/>
    <w:rsid w:val="00F61B2F"/>
    <w:rsid w:val="00F625DF"/>
    <w:rsid w:val="00F62E2E"/>
    <w:rsid w:val="00F63213"/>
    <w:rsid w:val="00F6578A"/>
    <w:rsid w:val="00F673E4"/>
    <w:rsid w:val="00F676FB"/>
    <w:rsid w:val="00F70C9C"/>
    <w:rsid w:val="00F70D19"/>
    <w:rsid w:val="00F712AB"/>
    <w:rsid w:val="00F73269"/>
    <w:rsid w:val="00F73EDD"/>
    <w:rsid w:val="00F75C17"/>
    <w:rsid w:val="00F7601A"/>
    <w:rsid w:val="00F760B7"/>
    <w:rsid w:val="00F77BA1"/>
    <w:rsid w:val="00F801ED"/>
    <w:rsid w:val="00F80323"/>
    <w:rsid w:val="00F810C2"/>
    <w:rsid w:val="00F816F1"/>
    <w:rsid w:val="00F81B7D"/>
    <w:rsid w:val="00F82142"/>
    <w:rsid w:val="00F83F69"/>
    <w:rsid w:val="00F8675E"/>
    <w:rsid w:val="00F90F71"/>
    <w:rsid w:val="00F918E2"/>
    <w:rsid w:val="00F91F22"/>
    <w:rsid w:val="00F92472"/>
    <w:rsid w:val="00F937CA"/>
    <w:rsid w:val="00F93EFE"/>
    <w:rsid w:val="00F953E2"/>
    <w:rsid w:val="00F95E25"/>
    <w:rsid w:val="00FA110D"/>
    <w:rsid w:val="00FA11B4"/>
    <w:rsid w:val="00FA131F"/>
    <w:rsid w:val="00FA4F27"/>
    <w:rsid w:val="00FA7161"/>
    <w:rsid w:val="00FB23FF"/>
    <w:rsid w:val="00FB2894"/>
    <w:rsid w:val="00FB3215"/>
    <w:rsid w:val="00FB4EEF"/>
    <w:rsid w:val="00FB5B7E"/>
    <w:rsid w:val="00FB6559"/>
    <w:rsid w:val="00FB7A37"/>
    <w:rsid w:val="00FB7B2D"/>
    <w:rsid w:val="00FC4A25"/>
    <w:rsid w:val="00FC552E"/>
    <w:rsid w:val="00FC5ED3"/>
    <w:rsid w:val="00FC6021"/>
    <w:rsid w:val="00FC69F9"/>
    <w:rsid w:val="00FC6EFC"/>
    <w:rsid w:val="00FC7DA2"/>
    <w:rsid w:val="00FD0317"/>
    <w:rsid w:val="00FD056E"/>
    <w:rsid w:val="00FD2DA0"/>
    <w:rsid w:val="00FD3E6C"/>
    <w:rsid w:val="00FD5122"/>
    <w:rsid w:val="00FD7512"/>
    <w:rsid w:val="00FE307F"/>
    <w:rsid w:val="00FE5CD3"/>
    <w:rsid w:val="00FE5DE0"/>
    <w:rsid w:val="00FE64B9"/>
    <w:rsid w:val="00FE7D4E"/>
    <w:rsid w:val="00FF0BF2"/>
    <w:rsid w:val="00FF401B"/>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6c1b2"/>
    </o:shapedefaults>
    <o:shapelayout v:ext="edit">
      <o:idmap v:ext="edit" data="1"/>
    </o:shapelayout>
  </w:shapeDefaults>
  <w:decimalSymbol w:val="."/>
  <w:listSeparator w:val=","/>
  <w14:docId w14:val="0CED3F44"/>
  <w15:docId w15:val="{81EF16E9-507D-4120-816E-979BFFEA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val="0"/>
    </w:rPr>
  </w:style>
  <w:style w:type="paragraph" w:styleId="Heading2">
    <w:name w:val="heading 2"/>
    <w:basedOn w:val="Head2"/>
    <w:next w:val="Normal"/>
    <w:uiPriority w:val="99"/>
    <w:qFormat/>
    <w:rsid w:val="003A64AF"/>
    <w:rPr>
      <w:bCs w:val="0"/>
      <w:iCs/>
      <w:szCs w:val="28"/>
    </w:rPr>
  </w:style>
  <w:style w:type="paragraph" w:styleId="Heading3">
    <w:name w:val="heading 3"/>
    <w:basedOn w:val="Head3"/>
    <w:next w:val="Maintext"/>
    <w:uiPriority w:val="99"/>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776DED"/>
    <w:pPr>
      <w:keepNext/>
      <w:keepLines/>
      <w:widowControl w:val="0"/>
      <w:numPr>
        <w:numId w:val="7"/>
      </w:numPr>
      <w:spacing w:after="220"/>
      <w:outlineLvl w:val="0"/>
    </w:pPr>
    <w:rPr>
      <w:rFonts w:cs="Arial"/>
      <w:bCs/>
      <w:caps/>
      <w:color w:val="0F243E" w:themeColor="text2" w:themeShade="80"/>
      <w:kern w:val="36"/>
      <w:sz w:val="56"/>
      <w:szCs w:val="56"/>
    </w:rPr>
  </w:style>
  <w:style w:type="paragraph" w:customStyle="1" w:styleId="Head2">
    <w:name w:val="Head 2"/>
    <w:basedOn w:val="Normal"/>
    <w:next w:val="Maintext"/>
    <w:link w:val="Head2Char"/>
    <w:autoRedefine/>
    <w:rsid w:val="003567A7"/>
    <w:pPr>
      <w:keepNext/>
      <w:numPr>
        <w:ilvl w:val="1"/>
        <w:numId w:val="7"/>
      </w:numPr>
      <w:tabs>
        <w:tab w:val="left" w:pos="709"/>
      </w:tabs>
      <w:spacing w:before="440" w:after="220"/>
      <w:outlineLvl w:val="1"/>
    </w:pPr>
    <w:rPr>
      <w:rFonts w:cs="Arial"/>
      <w:bCs/>
      <w:color w:val="1F497D" w:themeColor="text2"/>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81F65"/>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2607F0"/>
    <w:pPr>
      <w:tabs>
        <w:tab w:val="left" w:pos="880"/>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2607F0"/>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caps/>
      <w:color w:val="0F243E" w:themeColor="text2" w:themeShade="80"/>
      <w:kern w:val="36"/>
      <w:sz w:val="56"/>
      <w:szCs w:val="5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3D5ACC"/>
    <w:rPr>
      <w:sz w:val="20"/>
    </w:rPr>
  </w:style>
  <w:style w:type="character" w:customStyle="1" w:styleId="Head2Char">
    <w:name w:val="Head 2 Char"/>
    <w:link w:val="Head2"/>
    <w:locked/>
    <w:rsid w:val="003567A7"/>
    <w:rPr>
      <w:rFonts w:ascii="Arial" w:hAnsi="Arial" w:cs="Arial"/>
      <w:bCs/>
      <w:color w:val="1F497D" w:themeColor="text2"/>
      <w:kern w:val="36"/>
      <w:sz w:val="42"/>
      <w:szCs w:val="42"/>
    </w:rPr>
  </w:style>
  <w:style w:type="paragraph" w:styleId="NoSpacing">
    <w:name w:val="No Spacing"/>
    <w:uiPriority w:val="1"/>
    <w:qFormat/>
    <w:rsid w:val="00F81B7D"/>
    <w:rPr>
      <w:rFonts w:ascii="Arial" w:hAnsi="Arial"/>
      <w:sz w:val="22"/>
      <w:szCs w:val="24"/>
    </w:rPr>
  </w:style>
  <w:style w:type="paragraph" w:customStyle="1" w:styleId="BulletedList">
    <w:name w:val="Bulleted List"/>
    <w:next w:val="Normal"/>
    <w:rsid w:val="00984811"/>
    <w:pPr>
      <w:widowControl w:val="0"/>
      <w:autoSpaceDE w:val="0"/>
      <w:autoSpaceDN w:val="0"/>
      <w:adjustRightInd w:val="0"/>
      <w:ind w:left="360" w:hanging="360"/>
    </w:pPr>
    <w:rPr>
      <w:color w:val="000000"/>
      <w:shd w:val="clear" w:color="auto" w:fill="FFFFFF"/>
    </w:rPr>
  </w:style>
  <w:style w:type="paragraph" w:styleId="FootnoteText">
    <w:name w:val="footnote text"/>
    <w:basedOn w:val="Normal"/>
    <w:link w:val="FootnoteTextChar"/>
    <w:rsid w:val="006C00AC"/>
    <w:rPr>
      <w:sz w:val="20"/>
      <w:szCs w:val="20"/>
    </w:rPr>
  </w:style>
  <w:style w:type="character" w:customStyle="1" w:styleId="FootnoteTextChar">
    <w:name w:val="Footnote Text Char"/>
    <w:basedOn w:val="DefaultParagraphFont"/>
    <w:link w:val="FootnoteText"/>
    <w:rsid w:val="006C00AC"/>
    <w:rPr>
      <w:rFonts w:ascii="Arial" w:hAnsi="Arial"/>
    </w:rPr>
  </w:style>
  <w:style w:type="character" w:styleId="FootnoteReference">
    <w:name w:val="footnote reference"/>
    <w:basedOn w:val="DefaultParagraphFont"/>
    <w:rsid w:val="006C00AC"/>
    <w:rPr>
      <w:vertAlign w:val="superscript"/>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8040DB"/>
    <w:rPr>
      <w:sz w:val="24"/>
      <w:szCs w:val="24"/>
    </w:rPr>
  </w:style>
  <w:style w:type="character" w:styleId="UnresolvedMention">
    <w:name w:val="Unresolved Mention"/>
    <w:basedOn w:val="DefaultParagraphFont"/>
    <w:uiPriority w:val="99"/>
    <w:semiHidden/>
    <w:unhideWhenUsed/>
    <w:rsid w:val="00064ED3"/>
    <w:rPr>
      <w:color w:val="605E5C"/>
      <w:shd w:val="clear" w:color="auto" w:fill="E1DFDD"/>
    </w:rPr>
  </w:style>
  <w:style w:type="table" w:customStyle="1" w:styleId="Tablewithborder">
    <w:name w:val="Table with border"/>
    <w:basedOn w:val="TableNormal"/>
    <w:rsid w:val="00AB111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547F0"/>
    <w:rPr>
      <w:i/>
      <w:iCs/>
    </w:rPr>
  </w:style>
  <w:style w:type="character" w:customStyle="1" w:styleId="active">
    <w:name w:val="active"/>
    <w:basedOn w:val="DefaultParagraphFont"/>
    <w:rsid w:val="00246AF3"/>
  </w:style>
  <w:style w:type="paragraph" w:customStyle="1" w:styleId="null">
    <w:name w:val="null"/>
    <w:basedOn w:val="Normal"/>
    <w:rsid w:val="00914888"/>
    <w:pPr>
      <w:spacing w:before="100" w:beforeAutospacing="1" w:after="100" w:afterAutospacing="1"/>
    </w:pPr>
    <w:rPr>
      <w:rFonts w:ascii="Calibri" w:eastAsiaTheme="minorHAnsi" w:hAnsi="Calibri" w:cs="Calibri"/>
      <w:szCs w:val="22"/>
    </w:rPr>
  </w:style>
  <w:style w:type="character" w:customStyle="1" w:styleId="null1">
    <w:name w:val="null1"/>
    <w:basedOn w:val="DefaultParagraphFont"/>
    <w:rsid w:val="0091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4396473">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75918">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1309">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3417098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129168">
      <w:bodyDiv w:val="1"/>
      <w:marLeft w:val="0"/>
      <w:marRight w:val="0"/>
      <w:marTop w:val="0"/>
      <w:marBottom w:val="0"/>
      <w:divBdr>
        <w:top w:val="none" w:sz="0" w:space="0" w:color="auto"/>
        <w:left w:val="none" w:sz="0" w:space="0" w:color="auto"/>
        <w:bottom w:val="none" w:sz="0" w:space="0" w:color="auto"/>
        <w:right w:val="none" w:sz="0" w:space="0" w:color="auto"/>
      </w:divBdr>
    </w:div>
    <w:div w:id="327295308">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89095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819475">
      <w:bodyDiv w:val="1"/>
      <w:marLeft w:val="0"/>
      <w:marRight w:val="0"/>
      <w:marTop w:val="0"/>
      <w:marBottom w:val="0"/>
      <w:divBdr>
        <w:top w:val="none" w:sz="0" w:space="0" w:color="auto"/>
        <w:left w:val="none" w:sz="0" w:space="0" w:color="auto"/>
        <w:bottom w:val="none" w:sz="0" w:space="0" w:color="auto"/>
        <w:right w:val="none" w:sz="0" w:space="0" w:color="auto"/>
      </w:divBdr>
    </w:div>
    <w:div w:id="733970297">
      <w:bodyDiv w:val="1"/>
      <w:marLeft w:val="0"/>
      <w:marRight w:val="0"/>
      <w:marTop w:val="0"/>
      <w:marBottom w:val="0"/>
      <w:divBdr>
        <w:top w:val="none" w:sz="0" w:space="0" w:color="auto"/>
        <w:left w:val="none" w:sz="0" w:space="0" w:color="auto"/>
        <w:bottom w:val="none" w:sz="0" w:space="0" w:color="auto"/>
        <w:right w:val="none" w:sz="0" w:space="0" w:color="auto"/>
      </w:divBdr>
    </w:div>
    <w:div w:id="87218486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4604031">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29937008">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89022434">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321692">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314739">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821962">
      <w:bodyDiv w:val="1"/>
      <w:marLeft w:val="0"/>
      <w:marRight w:val="0"/>
      <w:marTop w:val="0"/>
      <w:marBottom w:val="0"/>
      <w:divBdr>
        <w:top w:val="none" w:sz="0" w:space="0" w:color="auto"/>
        <w:left w:val="none" w:sz="0" w:space="0" w:color="auto"/>
        <w:bottom w:val="none" w:sz="0" w:space="0" w:color="auto"/>
        <w:right w:val="none" w:sz="0" w:space="0" w:color="auto"/>
      </w:divBdr>
    </w:div>
    <w:div w:id="1509246841">
      <w:bodyDiv w:val="1"/>
      <w:marLeft w:val="0"/>
      <w:marRight w:val="0"/>
      <w:marTop w:val="0"/>
      <w:marBottom w:val="0"/>
      <w:divBdr>
        <w:top w:val="none" w:sz="0" w:space="0" w:color="auto"/>
        <w:left w:val="none" w:sz="0" w:space="0" w:color="auto"/>
        <w:bottom w:val="none" w:sz="0" w:space="0" w:color="auto"/>
        <w:right w:val="none" w:sz="0" w:space="0" w:color="auto"/>
      </w:divBdr>
    </w:div>
    <w:div w:id="155611813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08530529">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972617">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1881">
      <w:bodyDiv w:val="1"/>
      <w:marLeft w:val="0"/>
      <w:marRight w:val="0"/>
      <w:marTop w:val="0"/>
      <w:marBottom w:val="0"/>
      <w:divBdr>
        <w:top w:val="none" w:sz="0" w:space="0" w:color="auto"/>
        <w:left w:val="none" w:sz="0" w:space="0" w:color="auto"/>
        <w:bottom w:val="none" w:sz="0" w:space="0" w:color="auto"/>
        <w:right w:val="none" w:sz="0" w:space="0" w:color="auto"/>
      </w:divBdr>
    </w:div>
    <w:div w:id="186471180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256887">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341666">
      <w:bodyDiv w:val="1"/>
      <w:marLeft w:val="30"/>
      <w:marRight w:val="30"/>
      <w:marTop w:val="0"/>
      <w:marBottom w:val="0"/>
      <w:divBdr>
        <w:top w:val="none" w:sz="0" w:space="0" w:color="auto"/>
        <w:left w:val="none" w:sz="0" w:space="0" w:color="auto"/>
        <w:bottom w:val="none" w:sz="0" w:space="0" w:color="auto"/>
        <w:right w:val="none" w:sz="0" w:space="0" w:color="auto"/>
      </w:divBdr>
      <w:divsChild>
        <w:div w:id="810371437">
          <w:marLeft w:val="0"/>
          <w:marRight w:val="0"/>
          <w:marTop w:val="0"/>
          <w:marBottom w:val="0"/>
          <w:divBdr>
            <w:top w:val="none" w:sz="0" w:space="0" w:color="auto"/>
            <w:left w:val="none" w:sz="0" w:space="0" w:color="auto"/>
            <w:bottom w:val="none" w:sz="0" w:space="0" w:color="auto"/>
            <w:right w:val="none" w:sz="0" w:space="0" w:color="auto"/>
          </w:divBdr>
          <w:divsChild>
            <w:div w:id="1452702700">
              <w:marLeft w:val="0"/>
              <w:marRight w:val="0"/>
              <w:marTop w:val="0"/>
              <w:marBottom w:val="0"/>
              <w:divBdr>
                <w:top w:val="none" w:sz="0" w:space="0" w:color="auto"/>
                <w:left w:val="none" w:sz="0" w:space="0" w:color="auto"/>
                <w:bottom w:val="none" w:sz="0" w:space="0" w:color="auto"/>
                <w:right w:val="none" w:sz="0" w:space="0" w:color="auto"/>
              </w:divBdr>
              <w:divsChild>
                <w:div w:id="1511487769">
                  <w:marLeft w:val="180"/>
                  <w:marRight w:val="0"/>
                  <w:marTop w:val="0"/>
                  <w:marBottom w:val="0"/>
                  <w:divBdr>
                    <w:top w:val="none" w:sz="0" w:space="0" w:color="auto"/>
                    <w:left w:val="none" w:sz="0" w:space="0" w:color="auto"/>
                    <w:bottom w:val="none" w:sz="0" w:space="0" w:color="auto"/>
                    <w:right w:val="none" w:sz="0" w:space="0" w:color="auto"/>
                  </w:divBdr>
                  <w:divsChild>
                    <w:div w:id="1302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494915">
      <w:bodyDiv w:val="1"/>
      <w:marLeft w:val="0"/>
      <w:marRight w:val="0"/>
      <w:marTop w:val="0"/>
      <w:marBottom w:val="0"/>
      <w:divBdr>
        <w:top w:val="none" w:sz="0" w:space="0" w:color="auto"/>
        <w:left w:val="none" w:sz="0" w:space="0" w:color="auto"/>
        <w:bottom w:val="none" w:sz="0" w:space="0" w:color="auto"/>
        <w:right w:val="none" w:sz="0" w:space="0" w:color="auto"/>
      </w:divBdr>
    </w:div>
    <w:div w:id="1999845401">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7440">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9499">
      <w:bodyDiv w:val="1"/>
      <w:marLeft w:val="0"/>
      <w:marRight w:val="0"/>
      <w:marTop w:val="0"/>
      <w:marBottom w:val="0"/>
      <w:divBdr>
        <w:top w:val="none" w:sz="0" w:space="0" w:color="auto"/>
        <w:left w:val="none" w:sz="0" w:space="0" w:color="auto"/>
        <w:bottom w:val="none" w:sz="0" w:space="0" w:color="auto"/>
        <w:right w:val="none" w:sz="0" w:space="0" w:color="auto"/>
      </w:divBdr>
    </w:div>
    <w:div w:id="21399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eader" Target="header2.xml"/><Relationship Id="rId26" Type="http://schemas.openxmlformats.org/officeDocument/2006/relationships/hyperlink" Target="https://softwaredevelopers.ato.gov.au/usage-restrictions" TargetMode="External"/><Relationship Id="rId3" Type="http://schemas.openxmlformats.org/officeDocument/2006/relationships/customXml" Target="../customXml/item3.xml"/><Relationship Id="rId21" Type="http://schemas.openxmlformats.org/officeDocument/2006/relationships/hyperlink" Target="https://www.ato.gov.au/Definitions/?anchor=to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to.gov.au/general/online-services/access-manage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br.gov.au/digital-service-providers/developer-tools/glossar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Business/Reports-and-returns/Taxable-payments-annual-report/Lodge-your-TPAR/Amend-a-lodged-TPA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Business/Reports-and-returns/Taxable-payments-annual-report/Lodge-your-TPAR/Amend-a-lodged-TPAR/" TargetMode="External"/><Relationship Id="rId28" Type="http://schemas.openxmlformats.org/officeDocument/2006/relationships/hyperlink" Target="http://softwaredevelopers.ato.gov.au/ABNformat"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Business/Reports-and-returns/Taxable-payments-annual-report/" TargetMode="External"/><Relationship Id="rId27" Type="http://schemas.openxmlformats.org/officeDocument/2006/relationships/hyperlink" Target="https://www.ato.gov.au/tax-professionals/prepare-and-lodge/managing-your-lodgment-program/client-declarations-and-lodgment-online/"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UWAP6TQF35DU-983241972-46851</_dlc_DocId>
    <_dlc_DocIdUrl xmlns="609ac5f6-0d75-4c55-a681-0835f604f482">
      <Url>http://atowss/sites/SWS/_layouts/15/DocIdRedir.aspx?ID=UWAP6TQF35DU-983241972-46851</Url>
      <Description>UWAP6TQF35DU-983241972-46851</Description>
    </_dlc_DocIdUrl>
    <Publication_x0020_Date xmlns="cc39bfff-4eb3-44ee-9aa3-3b7b0b294d37">2022-09-28T14:00:00+00:00</Publication_x0020_Date>
    <Publication_x0020_Site xmlns="cc39bfff-4eb3-44ee-9aa3-3b7b0b294d37">http://www.sbr.gov.au/software-developers/developer-tools/ato/non-individual-income-tax-return-nitr</Publication_x0020_Site>
    <Document_x0020_Status xmlns="cc39bfff-4eb3-44ee-9aa3-3b7b0b294d37">Published Final</Document_x0020_Status>
    <Project xmlns="cc39bfff-4eb3-44ee-9aa3-3b7b0b294d37" xsi:nil="true"/>
    <Document_x0020_Type xmlns="cc39bfff-4eb3-44ee-9aa3-3b7b0b294d37">AP360</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40cb52bdcc240167709d9134b9137f27">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1f30ccc4bcb328dddbe8603f2bbfb02b"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3DB9-06C8-476C-8214-6ED1C95C1BBC}">
  <ds:schemaRefs>
    <ds:schemaRef ds:uri="http://purl.org/dc/terms/"/>
    <ds:schemaRef ds:uri="http://schemas.microsoft.com/office/2006/documentManagement/types"/>
    <ds:schemaRef ds:uri="fc59432e-ae4a-4421-baa1-eafb91367645"/>
    <ds:schemaRef ds:uri="http://purl.org/dc/elements/1.1/"/>
    <ds:schemaRef ds:uri="http://schemas.microsoft.com/office/infopath/2007/PartnerControls"/>
    <ds:schemaRef ds:uri="http://purl.org/dc/dcmitype/"/>
    <ds:schemaRef ds:uri="http://schemas.microsoft.com/sharepoint/v3/fields"/>
    <ds:schemaRef ds:uri="http://schemas.openxmlformats.org/package/2006/metadata/core-properties"/>
    <ds:schemaRef ds:uri="http://schemas.microsoft.com/office/2006/metadata/properties"/>
    <ds:schemaRef ds:uri="http://www.w3.org/XML/1998/namespace"/>
    <ds:schemaRef ds:uri="609ac5f6-0d75-4c55-a681-0835f604f482"/>
    <ds:schemaRef ds:uri="cc39bfff-4eb3-44ee-9aa3-3b7b0b294d37"/>
  </ds:schemaRefs>
</ds:datastoreItem>
</file>

<file path=customXml/itemProps2.xml><?xml version="1.0" encoding="utf-8"?>
<ds:datastoreItem xmlns:ds="http://schemas.openxmlformats.org/officeDocument/2006/customXml" ds:itemID="{7C3D3777-5EEE-46B0-82C5-CF2FEF28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05760-B6C4-4F74-9485-30C7EBE22049}">
  <ds:schemaRefs>
    <ds:schemaRef ds:uri="http://schemas.microsoft.com/sharepoint/events"/>
  </ds:schemaRefs>
</ds:datastoreItem>
</file>

<file path=customXml/itemProps4.xml><?xml version="1.0" encoding="utf-8"?>
<ds:datastoreItem xmlns:ds="http://schemas.openxmlformats.org/officeDocument/2006/customXml" ds:itemID="{C2432E2D-066D-443D-9AB1-62F868F40B64}">
  <ds:schemaRefs>
    <ds:schemaRef ds:uri="http://schemas.microsoft.com/sharepoint/v3/contenttype/forms"/>
  </ds:schemaRefs>
</ds:datastoreItem>
</file>

<file path=customXml/itemProps5.xml><?xml version="1.0" encoding="utf-8"?>
<ds:datastoreItem xmlns:ds="http://schemas.openxmlformats.org/officeDocument/2006/customXml" ds:itemID="{DB963F89-D754-458C-82E8-9FA7FF91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2031</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ATO TPAR.0003 2021 Business Implementation Guide</vt:lpstr>
    </vt:vector>
  </TitlesOfParts>
  <Company>Australian Taxation Office</Company>
  <LinksUpToDate>false</LinksUpToDate>
  <CharactersWithSpaces>15567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TPAR.0003 2021 Business Implementation Guide</dc:title>
  <dc:creator>Shyamalangan, Kausalya</dc:creator>
  <cp:keywords>1.0</cp:keywords>
  <dc:description>Final</dc:description>
  <cp:lastModifiedBy>Peck Lian How</cp:lastModifiedBy>
  <cp:revision>2</cp:revision>
  <cp:lastPrinted>2017-05-31T03:17:00Z</cp:lastPrinted>
  <dcterms:created xsi:type="dcterms:W3CDTF">2022-09-26T04:36:00Z</dcterms:created>
  <dcterms:modified xsi:type="dcterms:W3CDTF">2022-09-26T04:36:00Z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y fmtid="{D5CDD505-2E9C-101B-9397-08002B2CF9AE}" pid="4" name="_NewReviewCycle">
    <vt:lpwstr/>
  </property>
  <property fmtid="{D5CDD505-2E9C-101B-9397-08002B2CF9AE}" pid="5" name="_MarkAsFinal">
    <vt:bool>true</vt:bool>
  </property>
  <property fmtid="{D5CDD505-2E9C-101B-9397-08002B2CF9AE}" pid="6" name="_dlc_DocIdItemGuid">
    <vt:lpwstr>36338b23-2e3b-4c27-98e4-6f6096a60f02</vt:lpwstr>
  </property>
  <property fmtid="{D5CDD505-2E9C-101B-9397-08002B2CF9AE}" pid="7" name="Endorsing Officer">
    <vt:lpwstr>3306;#David Baker</vt:lpwstr>
  </property>
  <property fmtid="{D5CDD505-2E9C-101B-9397-08002B2CF9AE}" pid="8" name="Audience">
    <vt:lpwstr>External</vt:lpwstr>
  </property>
  <property fmtid="{D5CDD505-2E9C-101B-9397-08002B2CF9AE}" pid="9" name="Domain">
    <vt:lpwstr>EMP Obligation</vt:lpwstr>
  </property>
</Properties>
</file>