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AE77" w14:textId="52F0AE3B" w:rsidR="00662370" w:rsidRPr="00662370" w:rsidRDefault="00B66D52" w:rsidP="00662370">
      <w:pPr>
        <w:pStyle w:val="SBRtitle"/>
      </w:pPr>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r w:rsidR="002E7393" w:rsidRPr="002E7393">
        <w:t xml:space="preserve"> Standard Business </w:t>
      </w:r>
      <w:r w:rsidR="002E7393" w:rsidRPr="00047182">
        <w:t>Reporti</w:t>
      </w:r>
      <w:r w:rsidR="002E7393" w:rsidRPr="002E7393">
        <w:t>ng</w:t>
      </w:r>
    </w:p>
    <w:p w14:paraId="4855C4C9" w14:textId="68551721" w:rsidR="002E7393" w:rsidRDefault="002E7393" w:rsidP="007006E8">
      <w:pPr>
        <w:pStyle w:val="BIGtitle"/>
        <w:spacing w:before="0" w:after="0"/>
      </w:pPr>
      <w:r>
        <w:t xml:space="preserve">Australian Taxation Office – </w:t>
      </w:r>
    </w:p>
    <w:p w14:paraId="6F98CFD2" w14:textId="77777777" w:rsidR="00056BDD" w:rsidRDefault="00056BDD" w:rsidP="007006E8">
      <w:pPr>
        <w:pStyle w:val="BIGtitle"/>
        <w:spacing w:before="0" w:after="0"/>
      </w:pPr>
      <w:r w:rsidRPr="00056BDD">
        <w:t>PAYEVNTRECON.0001 2023</w:t>
      </w:r>
    </w:p>
    <w:p w14:paraId="5095C680" w14:textId="48368BAA" w:rsidR="00662370" w:rsidRDefault="002E7393" w:rsidP="007006E8">
      <w:pPr>
        <w:pStyle w:val="BIGtitle"/>
        <w:spacing w:before="0" w:after="0"/>
      </w:pPr>
      <w:r>
        <w:t>Business Implementation Guide</w:t>
      </w:r>
    </w:p>
    <w:p w14:paraId="06FE77FF" w14:textId="263C69B5" w:rsidR="002E7393" w:rsidRDefault="002E7393" w:rsidP="002E7393">
      <w:pPr>
        <w:pStyle w:val="BIGtitle"/>
      </w:pPr>
      <w:r>
        <w:t xml:space="preserve">Date: </w:t>
      </w:r>
      <w:r w:rsidR="0029781F">
        <w:t>18</w:t>
      </w:r>
      <w:r w:rsidR="00937F8B">
        <w:t xml:space="preserve"> April 2024</w:t>
      </w:r>
    </w:p>
    <w:p w14:paraId="7C26CFCD" w14:textId="288E77FC" w:rsidR="002E7393" w:rsidRPr="005615F6" w:rsidRDefault="002E7393" w:rsidP="002E7393">
      <w:pPr>
        <w:pStyle w:val="BIGtitle"/>
      </w:pPr>
      <w:r>
        <w:t xml:space="preserve">Status: </w:t>
      </w:r>
      <w:r w:rsidR="00056BDD">
        <w:t>Final</w:t>
      </w:r>
    </w:p>
    <w:p w14:paraId="3B4517A6" w14:textId="77777777" w:rsidR="002E7393" w:rsidRDefault="002E7393" w:rsidP="002E7393">
      <w:r>
        <w:t xml:space="preserve">This document and its attachments are </w:t>
      </w:r>
      <w:proofErr w:type="gramStart"/>
      <w:r w:rsidRPr="003E1826">
        <w:rPr>
          <w:b/>
          <w:bCs/>
        </w:rPr>
        <w:t>Official</w:t>
      </w:r>
      <w:proofErr w:type="gramEnd"/>
    </w:p>
    <w:p w14:paraId="64A92088" w14:textId="7202D1B4" w:rsidR="00E52470" w:rsidRDefault="002E7393" w:rsidP="002E7393">
      <w:r>
        <w:t xml:space="preserve">For further information, raise an enquiry via </w:t>
      </w:r>
      <w:hyperlink r:id="rId9" w:history="1">
        <w:r>
          <w:rPr>
            <w:rStyle w:val="Hyperlink"/>
          </w:rPr>
          <w:t>Online Services for DSPs</w:t>
        </w:r>
      </w:hyperlink>
      <w:r>
        <w:t xml:space="preserve">. If you are unable to access this, contact </w:t>
      </w:r>
      <w:r>
        <w:rPr>
          <w:rStyle w:val="Hyperlink"/>
        </w:rPr>
        <w:t>SBRServiceDesk@sbr.gov.au</w:t>
      </w:r>
      <w:r>
        <w:t xml:space="preserve"> or call </w:t>
      </w:r>
      <w:r>
        <w:rPr>
          <w:b/>
          <w:bCs/>
        </w:rPr>
        <w:t>1300 488 231</w:t>
      </w:r>
      <w:r>
        <w:t xml:space="preserve">. International callers may use </w:t>
      </w:r>
      <w:r>
        <w:rPr>
          <w:b/>
          <w:bCs/>
        </w:rPr>
        <w:t>+61-2-6216 5577</w:t>
      </w:r>
      <w:r>
        <w:t>.</w:t>
      </w:r>
    </w:p>
    <w:p w14:paraId="7133DF66" w14:textId="77777777" w:rsidR="00E52470" w:rsidRDefault="00E52470">
      <w:pPr>
        <w:spacing w:before="0" w:after="160" w:line="259" w:lineRule="auto"/>
      </w:pPr>
      <w:r>
        <w:br w:type="page"/>
      </w:r>
    </w:p>
    <w:p w14:paraId="04CAC5E9" w14:textId="77777777" w:rsidR="002E7393" w:rsidRDefault="002E7393" w:rsidP="002E7393">
      <w:pPr>
        <w:pStyle w:val="Openingadminheading"/>
      </w:pPr>
      <w:bookmarkStart w:id="0" w:name="_Toc164157517"/>
      <w:r>
        <w:lastRenderedPageBreak/>
        <w:t>Version control</w:t>
      </w:r>
      <w:bookmarkEnd w:id="0"/>
    </w:p>
    <w:tbl>
      <w:tblPr>
        <w:tblStyle w:val="TableGrid"/>
        <w:tblW w:w="0" w:type="auto"/>
        <w:tblLook w:val="04A0" w:firstRow="1" w:lastRow="0" w:firstColumn="1" w:lastColumn="0" w:noHBand="0" w:noVBand="1"/>
      </w:tblPr>
      <w:tblGrid>
        <w:gridCol w:w="1696"/>
        <w:gridCol w:w="2268"/>
        <w:gridCol w:w="5052"/>
      </w:tblGrid>
      <w:tr w:rsidR="002E7393" w14:paraId="3F821780" w14:textId="77777777" w:rsidTr="003E1826">
        <w:tc>
          <w:tcPr>
            <w:tcW w:w="1696" w:type="dxa"/>
            <w:shd w:val="clear" w:color="auto" w:fill="D9E2F3" w:themeFill="accent1" w:themeFillTint="33"/>
          </w:tcPr>
          <w:p w14:paraId="49424C46" w14:textId="39DE0CC6" w:rsidR="002E7393" w:rsidRPr="002E7393" w:rsidRDefault="002E7393" w:rsidP="002E7393">
            <w:pPr>
              <w:rPr>
                <w:b/>
                <w:bCs/>
              </w:rPr>
            </w:pPr>
            <w:r>
              <w:rPr>
                <w:b/>
                <w:bCs/>
              </w:rPr>
              <w:t>Version</w:t>
            </w:r>
          </w:p>
        </w:tc>
        <w:tc>
          <w:tcPr>
            <w:tcW w:w="2268" w:type="dxa"/>
            <w:shd w:val="clear" w:color="auto" w:fill="D9E2F3" w:themeFill="accent1" w:themeFillTint="33"/>
          </w:tcPr>
          <w:p w14:paraId="0F74EEDA" w14:textId="1A53B3AB" w:rsidR="002E7393" w:rsidRPr="002E7393" w:rsidRDefault="002E7393" w:rsidP="002E7393">
            <w:pPr>
              <w:rPr>
                <w:b/>
                <w:bCs/>
              </w:rPr>
            </w:pPr>
            <w:r w:rsidRPr="002E7393">
              <w:rPr>
                <w:b/>
                <w:bCs/>
              </w:rPr>
              <w:t>Release date</w:t>
            </w:r>
          </w:p>
        </w:tc>
        <w:tc>
          <w:tcPr>
            <w:tcW w:w="5052" w:type="dxa"/>
            <w:shd w:val="clear" w:color="auto" w:fill="D9E2F3" w:themeFill="accent1" w:themeFillTint="33"/>
          </w:tcPr>
          <w:p w14:paraId="13FBD75F" w14:textId="3113331F" w:rsidR="002E7393" w:rsidRPr="002E7393" w:rsidRDefault="002E7393" w:rsidP="002E7393">
            <w:pPr>
              <w:rPr>
                <w:b/>
                <w:bCs/>
              </w:rPr>
            </w:pPr>
            <w:r>
              <w:rPr>
                <w:b/>
                <w:bCs/>
              </w:rPr>
              <w:t>Description of changes</w:t>
            </w:r>
          </w:p>
        </w:tc>
      </w:tr>
      <w:tr w:rsidR="00937F8B" w14:paraId="178896C5" w14:textId="77777777" w:rsidTr="008019D1">
        <w:tc>
          <w:tcPr>
            <w:tcW w:w="1696" w:type="dxa"/>
            <w:shd w:val="clear" w:color="auto" w:fill="auto"/>
          </w:tcPr>
          <w:p w14:paraId="607620A7" w14:textId="74B61B41" w:rsidR="00937F8B" w:rsidRPr="008019D1" w:rsidRDefault="00937F8B" w:rsidP="002E7393">
            <w:r w:rsidRPr="008019D1">
              <w:t>1.1</w:t>
            </w:r>
          </w:p>
        </w:tc>
        <w:tc>
          <w:tcPr>
            <w:tcW w:w="2268" w:type="dxa"/>
            <w:shd w:val="clear" w:color="auto" w:fill="auto"/>
          </w:tcPr>
          <w:p w14:paraId="2ECF9530" w14:textId="76B0154C" w:rsidR="00937F8B" w:rsidRPr="008019D1" w:rsidRDefault="0029781F" w:rsidP="002E7393">
            <w:r w:rsidRPr="008019D1">
              <w:t>18</w:t>
            </w:r>
            <w:r w:rsidR="00937F8B" w:rsidRPr="008019D1">
              <w:t>/04/2024</w:t>
            </w:r>
          </w:p>
        </w:tc>
        <w:tc>
          <w:tcPr>
            <w:tcW w:w="5052" w:type="dxa"/>
            <w:shd w:val="clear" w:color="auto" w:fill="auto"/>
          </w:tcPr>
          <w:p w14:paraId="6C9B2934" w14:textId="4411F4F9" w:rsidR="00937F8B" w:rsidRDefault="0029781F" w:rsidP="0029781F">
            <w:pPr>
              <w:rPr>
                <w:b/>
                <w:bCs/>
              </w:rPr>
            </w:pPr>
            <w:r w:rsidRPr="008019D1">
              <w:t xml:space="preserve">Final </w:t>
            </w:r>
            <w:r w:rsidR="00A85121">
              <w:t>version updated</w:t>
            </w:r>
          </w:p>
        </w:tc>
      </w:tr>
      <w:tr w:rsidR="002E7393" w14:paraId="34F790DF" w14:textId="77777777" w:rsidTr="007006E8">
        <w:tc>
          <w:tcPr>
            <w:tcW w:w="1696" w:type="dxa"/>
          </w:tcPr>
          <w:p w14:paraId="7CCC67FB" w14:textId="751ED576" w:rsidR="002E7393" w:rsidRDefault="00D75FF8" w:rsidP="002E7393">
            <w:r>
              <w:t>1.0</w:t>
            </w:r>
          </w:p>
        </w:tc>
        <w:tc>
          <w:tcPr>
            <w:tcW w:w="2268" w:type="dxa"/>
          </w:tcPr>
          <w:p w14:paraId="48BE0A42" w14:textId="18173948" w:rsidR="002E7393" w:rsidRDefault="00D87D03" w:rsidP="002E7393">
            <w:r>
              <w:t>0</w:t>
            </w:r>
            <w:r w:rsidR="00056BDD">
              <w:t>2</w:t>
            </w:r>
            <w:r w:rsidR="00751F81" w:rsidRPr="005B0149">
              <w:t>/1</w:t>
            </w:r>
            <w:r w:rsidR="00056BDD">
              <w:t>1</w:t>
            </w:r>
            <w:r w:rsidR="002E7393" w:rsidRPr="00751F81">
              <w:t>/202</w:t>
            </w:r>
            <w:r w:rsidR="001A1A9E" w:rsidRPr="00751F81">
              <w:t>3</w:t>
            </w:r>
          </w:p>
        </w:tc>
        <w:tc>
          <w:tcPr>
            <w:tcW w:w="5052" w:type="dxa"/>
          </w:tcPr>
          <w:p w14:paraId="3D9C6C67" w14:textId="7D69845D" w:rsidR="002E7393" w:rsidRDefault="00D75FF8" w:rsidP="002E7393">
            <w:r>
              <w:t>First Published</w:t>
            </w:r>
            <w:r w:rsidR="002E7393">
              <w:t xml:space="preserve"> </w:t>
            </w:r>
          </w:p>
        </w:tc>
      </w:tr>
    </w:tbl>
    <w:p w14:paraId="32A1257E" w14:textId="77777777" w:rsidR="00054BB7" w:rsidRDefault="00054BB7"/>
    <w:p w14:paraId="014069DD" w14:textId="2137CA6E" w:rsidR="002E7393" w:rsidRDefault="002E7393" w:rsidP="002E7393">
      <w:pPr>
        <w:pStyle w:val="Openingadminheading"/>
      </w:pPr>
      <w:bookmarkStart w:id="1" w:name="_Toc164157518"/>
      <w:r>
        <w:t>Endorsement</w:t>
      </w:r>
      <w:bookmarkEnd w:id="1"/>
    </w:p>
    <w:p w14:paraId="50415B57" w14:textId="74094A07" w:rsidR="0002360D" w:rsidRDefault="007B56EA" w:rsidP="0002360D">
      <w:r>
        <w:t>Ian Colhoun</w:t>
      </w:r>
      <w:r w:rsidR="00E55B7B">
        <w:t xml:space="preserve"> -</w:t>
      </w:r>
      <w:r>
        <w:t xml:space="preserve"> </w:t>
      </w:r>
      <w:r w:rsidR="006200B8">
        <w:t>D</w:t>
      </w:r>
      <w:r w:rsidR="0002360D">
        <w:t>irector</w:t>
      </w:r>
      <w:r w:rsidR="00F51DAF">
        <w:t>,</w:t>
      </w:r>
      <w:r w:rsidR="0002360D">
        <w:t xml:space="preserve"> </w:t>
      </w:r>
      <w:r w:rsidR="00CA0603">
        <w:t xml:space="preserve">Single Touch Payroll (STP) </w:t>
      </w:r>
      <w:r w:rsidRPr="007B56EA">
        <w:t>Risk and Strategy</w:t>
      </w:r>
      <w:r w:rsidR="00CA0603">
        <w:t xml:space="preserve">– </w:t>
      </w:r>
      <w:r w:rsidR="006A1067">
        <w:t>E</w:t>
      </w:r>
      <w:r w:rsidR="00DD3DEE">
        <w:t>ndorsed</w:t>
      </w:r>
      <w:r w:rsidR="00F51DAF">
        <w:t xml:space="preserve"> for business context</w:t>
      </w:r>
      <w:r w:rsidR="00937F8B">
        <w:t>.</w:t>
      </w:r>
    </w:p>
    <w:p w14:paraId="7AA789A4" w14:textId="0CC93C6A" w:rsidR="0002360D" w:rsidRDefault="00937F8B" w:rsidP="0002360D">
      <w:r>
        <w:t xml:space="preserve">Katrena Cawthorne </w:t>
      </w:r>
      <w:r w:rsidR="00474D01">
        <w:t>–</w:t>
      </w:r>
      <w:r w:rsidR="00E55B7B">
        <w:t xml:space="preserve"> </w:t>
      </w:r>
      <w:r w:rsidR="00474D01">
        <w:t xml:space="preserve">Acting </w:t>
      </w:r>
      <w:r w:rsidR="0002360D">
        <w:t>Director</w:t>
      </w:r>
      <w:r w:rsidR="00F51DAF">
        <w:t>,</w:t>
      </w:r>
      <w:r w:rsidR="0002360D">
        <w:t xml:space="preserve"> </w:t>
      </w:r>
      <w:proofErr w:type="gramStart"/>
      <w:r w:rsidR="0002360D">
        <w:t>Individuals</w:t>
      </w:r>
      <w:proofErr w:type="gramEnd"/>
      <w:r w:rsidR="0002360D">
        <w:t xml:space="preserve"> and Intermediaries</w:t>
      </w:r>
      <w:r w:rsidR="00F51DAF">
        <w:t xml:space="preserve"> </w:t>
      </w:r>
      <w:r w:rsidR="00CA0603">
        <w:t xml:space="preserve">– </w:t>
      </w:r>
      <w:r w:rsidR="00F51DAF">
        <w:t>Endorsed for publication</w:t>
      </w:r>
      <w:r>
        <w:t>.</w:t>
      </w:r>
    </w:p>
    <w:p w14:paraId="4617A0FA" w14:textId="77777777" w:rsidR="00CB776D" w:rsidRDefault="00CB776D" w:rsidP="0002360D"/>
    <w:p w14:paraId="70AE8608" w14:textId="75585CF3" w:rsidR="0002360D" w:rsidRPr="0002360D" w:rsidRDefault="0002360D" w:rsidP="0002360D">
      <w:pPr>
        <w:pStyle w:val="Openingadminheading"/>
      </w:pPr>
      <w:bookmarkStart w:id="2" w:name="_Toc164157519"/>
      <w:r w:rsidRPr="0002360D">
        <w:t>Copyri</w:t>
      </w:r>
      <w:r w:rsidRPr="00047182">
        <w:t>ght</w:t>
      </w:r>
      <w:bookmarkEnd w:id="2"/>
    </w:p>
    <w:p w14:paraId="29398BA0" w14:textId="77777777" w:rsidR="00D87D03" w:rsidRDefault="0002360D" w:rsidP="0002360D">
      <w:r>
        <w:t>© Commonwealth of Australia 202</w:t>
      </w:r>
      <w:r w:rsidR="001A1A9E">
        <w:t>3</w:t>
      </w:r>
    </w:p>
    <w:p w14:paraId="5CD2FC19" w14:textId="1F1F6C40" w:rsidR="0002360D" w:rsidRDefault="0002360D" w:rsidP="0002360D">
      <w:r>
        <w:br/>
        <w:t xml:space="preserve">This work is copyright. Use of this Information and Material is subject to the terms and conditions in the </w:t>
      </w:r>
      <w:r w:rsidR="00CA0603">
        <w:t>“</w:t>
      </w:r>
      <w:r>
        <w:t>SBR Disclaimer and Conditions of Use</w:t>
      </w:r>
      <w:r w:rsidR="00CA0603">
        <w:t>”</w:t>
      </w:r>
      <w:r>
        <w:t xml:space="preserve"> that is available at </w:t>
      </w:r>
      <w:hyperlink r:id="rId10" w:history="1">
        <w:r>
          <w:rPr>
            <w:rStyle w:val="Hyperlink"/>
            <w:bCs/>
          </w:rPr>
          <w:t>http://www.sbr.gov.au</w:t>
        </w:r>
      </w:hyperlink>
      <w:r>
        <w:t xml:space="preserve">. You must ensure that you comply with those terms and conditions. </w:t>
      </w:r>
      <w:r w:rsidR="00CA0603">
        <w:t>Those</w:t>
      </w:r>
      <w:r>
        <w:t xml:space="preserve"> terms and conditions include disclaimers and limitations on the liability of the Commonwealth and an indemnity from you to the Commonwealth and its personnel, Standard Business Reporting </w:t>
      </w:r>
      <w:proofErr w:type="gramStart"/>
      <w:r>
        <w:t>Agencies</w:t>
      </w:r>
      <w:proofErr w:type="gramEnd"/>
      <w:r>
        <w:t xml:space="preserve"> and their personnel.</w:t>
      </w:r>
    </w:p>
    <w:p w14:paraId="251E2539" w14:textId="47313AA2" w:rsidR="00E52470" w:rsidRDefault="0002360D" w:rsidP="0002360D">
      <w:r>
        <w:t xml:space="preserve">You must include this copyright notice in all copies of this Information and Material that you create. If you modify, </w:t>
      </w:r>
      <w:r w:rsidR="0019362B">
        <w:t>adapt,</w:t>
      </w:r>
      <w:r>
        <w:t xml:space="preserve">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w:t>
      </w:r>
      <w:r w:rsidR="00CA0603">
        <w:t>modification,</w:t>
      </w:r>
      <w:r>
        <w:t xml:space="preserve"> or derivative work is based on Commonwealth or SBR Agency owned Information and Material. Copyright in SBR Agency specific aspects of Standard Business Reporting Taxonomy is owned by the relevant SBR Agency.</w:t>
      </w:r>
    </w:p>
    <w:p w14:paraId="7AC1B60B" w14:textId="77777777" w:rsidR="00E52470" w:rsidRDefault="00E52470">
      <w:pPr>
        <w:spacing w:before="0" w:after="160" w:line="259" w:lineRule="auto"/>
      </w:pPr>
      <w:r>
        <w:br w:type="page"/>
      </w:r>
    </w:p>
    <w:p w14:paraId="6F69EDA1" w14:textId="72003BAA" w:rsidR="0002360D" w:rsidRDefault="00E52470" w:rsidP="00E52470">
      <w:pPr>
        <w:pStyle w:val="Openingadminheading"/>
      </w:pPr>
      <w:bookmarkStart w:id="3" w:name="_Toc164157520"/>
      <w:r>
        <w:lastRenderedPageBreak/>
        <w:t>Table of contents</w:t>
      </w:r>
      <w:bookmarkEnd w:id="3"/>
    </w:p>
    <w:sdt>
      <w:sdtPr>
        <w:id w:val="-1094016552"/>
        <w:docPartObj>
          <w:docPartGallery w:val="Table of Contents"/>
          <w:docPartUnique/>
        </w:docPartObj>
      </w:sdtPr>
      <w:sdtEndPr>
        <w:rPr>
          <w:noProof/>
        </w:rPr>
      </w:sdtEndPr>
      <w:sdtContent>
        <w:p w14:paraId="70B60DC9" w14:textId="683EC354" w:rsidR="00A85121" w:rsidRPr="008019D1" w:rsidRDefault="000A7B2D" w:rsidP="00E31E9F">
          <w:pPr>
            <w:pStyle w:val="TOC1"/>
            <w:rPr>
              <w:noProof/>
            </w:rPr>
          </w:pPr>
          <w:r w:rsidRPr="00A85121">
            <w:fldChar w:fldCharType="begin"/>
          </w:r>
          <w:r w:rsidRPr="00A85121">
            <w:instrText xml:space="preserve"> TOC \o "1-3" \u </w:instrText>
          </w:r>
          <w:r w:rsidRPr="00A85121">
            <w:fldChar w:fldCharType="separate"/>
          </w:r>
          <w:bookmarkStart w:id="4" w:name="_Hlk148606833"/>
          <w:r w:rsidR="00A85121" w:rsidRPr="008019D1">
            <w:rPr>
              <w:noProof/>
            </w:rPr>
            <w:t>1</w:t>
          </w:r>
          <w:r w:rsidR="00A85121" w:rsidRPr="00A85121">
            <w:rPr>
              <w:rFonts w:asciiTheme="minorHAnsi" w:eastAsiaTheme="minorEastAsia" w:hAnsiTheme="minorHAnsi" w:cstheme="minorBidi"/>
              <w:noProof/>
              <w:lang w:eastAsia="en-AU"/>
            </w:rPr>
            <w:tab/>
          </w:r>
          <w:r w:rsidR="00A85121" w:rsidRPr="00A85121">
            <w:rPr>
              <w:noProof/>
            </w:rPr>
            <w:t>Introduction</w:t>
          </w:r>
          <w:r w:rsidR="00A85121" w:rsidRPr="00A85121">
            <w:rPr>
              <w:noProof/>
            </w:rPr>
            <w:tab/>
          </w:r>
          <w:r w:rsidR="00A85121" w:rsidRPr="00A85121">
            <w:rPr>
              <w:noProof/>
            </w:rPr>
            <w:fldChar w:fldCharType="begin"/>
          </w:r>
          <w:r w:rsidR="00A85121" w:rsidRPr="00A85121">
            <w:rPr>
              <w:noProof/>
            </w:rPr>
            <w:instrText xml:space="preserve"> PAGEREF _Toc164157521 \h </w:instrText>
          </w:r>
          <w:r w:rsidR="00A85121" w:rsidRPr="00A85121">
            <w:rPr>
              <w:noProof/>
            </w:rPr>
          </w:r>
          <w:r w:rsidR="00A85121" w:rsidRPr="00A85121">
            <w:rPr>
              <w:noProof/>
            </w:rPr>
            <w:fldChar w:fldCharType="separate"/>
          </w:r>
          <w:r w:rsidR="00A85121" w:rsidRPr="00A85121">
            <w:rPr>
              <w:noProof/>
            </w:rPr>
            <w:t>4</w:t>
          </w:r>
          <w:r w:rsidR="00A85121" w:rsidRPr="00A85121">
            <w:rPr>
              <w:noProof/>
            </w:rPr>
            <w:fldChar w:fldCharType="end"/>
          </w:r>
        </w:p>
        <w:p w14:paraId="133BD441" w14:textId="32D0E5C8"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1.1</w:t>
          </w:r>
          <w:r w:rsidRPr="00A85121">
            <w:rPr>
              <w:rFonts w:asciiTheme="minorHAnsi" w:eastAsiaTheme="minorEastAsia" w:hAnsiTheme="minorHAnsi" w:cstheme="minorBidi"/>
              <w:noProof/>
              <w:lang w:eastAsia="en-AU"/>
            </w:rPr>
            <w:tab/>
          </w:r>
          <w:r w:rsidRPr="00A85121">
            <w:rPr>
              <w:noProof/>
            </w:rPr>
            <w:t>Purpose and audience</w:t>
          </w:r>
          <w:r w:rsidRPr="00A85121">
            <w:rPr>
              <w:noProof/>
            </w:rPr>
            <w:tab/>
          </w:r>
          <w:r w:rsidRPr="00A85121">
            <w:rPr>
              <w:noProof/>
            </w:rPr>
            <w:fldChar w:fldCharType="begin"/>
          </w:r>
          <w:r w:rsidRPr="00A85121">
            <w:rPr>
              <w:noProof/>
            </w:rPr>
            <w:instrText xml:space="preserve"> PAGEREF _Toc164157522 \h </w:instrText>
          </w:r>
          <w:r w:rsidRPr="00A85121">
            <w:rPr>
              <w:noProof/>
            </w:rPr>
          </w:r>
          <w:r w:rsidRPr="00A85121">
            <w:rPr>
              <w:noProof/>
            </w:rPr>
            <w:fldChar w:fldCharType="separate"/>
          </w:r>
          <w:r w:rsidRPr="00A85121">
            <w:rPr>
              <w:noProof/>
            </w:rPr>
            <w:t>4</w:t>
          </w:r>
          <w:r w:rsidRPr="00A85121">
            <w:rPr>
              <w:noProof/>
            </w:rPr>
            <w:fldChar w:fldCharType="end"/>
          </w:r>
        </w:p>
        <w:p w14:paraId="794A7B61" w14:textId="594B8C46"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1.2</w:t>
          </w:r>
          <w:r w:rsidRPr="00A85121">
            <w:rPr>
              <w:rFonts w:asciiTheme="minorHAnsi" w:eastAsiaTheme="minorEastAsia" w:hAnsiTheme="minorHAnsi" w:cstheme="minorBidi"/>
              <w:noProof/>
              <w:lang w:eastAsia="en-AU"/>
            </w:rPr>
            <w:tab/>
          </w:r>
          <w:r w:rsidRPr="00A85121">
            <w:rPr>
              <w:noProof/>
            </w:rPr>
            <w:t>Glossary</w:t>
          </w:r>
          <w:r w:rsidRPr="00A85121">
            <w:rPr>
              <w:noProof/>
            </w:rPr>
            <w:tab/>
          </w:r>
          <w:r w:rsidRPr="00A85121">
            <w:rPr>
              <w:noProof/>
            </w:rPr>
            <w:fldChar w:fldCharType="begin"/>
          </w:r>
          <w:r w:rsidRPr="00A85121">
            <w:rPr>
              <w:noProof/>
            </w:rPr>
            <w:instrText xml:space="preserve"> PAGEREF _Toc164157523 \h </w:instrText>
          </w:r>
          <w:r w:rsidRPr="00A85121">
            <w:rPr>
              <w:noProof/>
            </w:rPr>
          </w:r>
          <w:r w:rsidRPr="00A85121">
            <w:rPr>
              <w:noProof/>
            </w:rPr>
            <w:fldChar w:fldCharType="separate"/>
          </w:r>
          <w:r w:rsidRPr="00A85121">
            <w:rPr>
              <w:noProof/>
            </w:rPr>
            <w:t>4</w:t>
          </w:r>
          <w:r w:rsidRPr="00A85121">
            <w:rPr>
              <w:noProof/>
            </w:rPr>
            <w:fldChar w:fldCharType="end"/>
          </w:r>
        </w:p>
        <w:p w14:paraId="396C3A2A" w14:textId="3C98DE72" w:rsidR="00A85121" w:rsidRPr="00A85121" w:rsidRDefault="00A85121" w:rsidP="00E31E9F">
          <w:pPr>
            <w:pStyle w:val="TOC1"/>
            <w:rPr>
              <w:rFonts w:asciiTheme="minorHAnsi" w:eastAsiaTheme="minorEastAsia" w:hAnsiTheme="minorHAnsi" w:cstheme="minorBidi"/>
              <w:noProof/>
              <w:lang w:eastAsia="en-AU"/>
            </w:rPr>
          </w:pPr>
          <w:r w:rsidRPr="008019D1">
            <w:rPr>
              <w:noProof/>
            </w:rPr>
            <w:t>2</w:t>
          </w:r>
          <w:r w:rsidRPr="00A85121">
            <w:rPr>
              <w:rFonts w:asciiTheme="minorHAnsi" w:eastAsiaTheme="minorEastAsia" w:hAnsiTheme="minorHAnsi" w:cstheme="minorBidi"/>
              <w:noProof/>
              <w:lang w:eastAsia="en-AU"/>
            </w:rPr>
            <w:tab/>
          </w:r>
          <w:r w:rsidRPr="00A85121">
            <w:rPr>
              <w:noProof/>
            </w:rPr>
            <w:t>Overview</w:t>
          </w:r>
          <w:r w:rsidRPr="00A85121">
            <w:rPr>
              <w:noProof/>
            </w:rPr>
            <w:tab/>
          </w:r>
          <w:r w:rsidRPr="00A85121">
            <w:rPr>
              <w:noProof/>
            </w:rPr>
            <w:fldChar w:fldCharType="begin"/>
          </w:r>
          <w:r w:rsidRPr="00A85121">
            <w:rPr>
              <w:noProof/>
            </w:rPr>
            <w:instrText xml:space="preserve"> PAGEREF _Toc164157525 \h </w:instrText>
          </w:r>
          <w:r w:rsidRPr="00A85121">
            <w:rPr>
              <w:noProof/>
            </w:rPr>
          </w:r>
          <w:r w:rsidRPr="00A85121">
            <w:rPr>
              <w:noProof/>
            </w:rPr>
            <w:fldChar w:fldCharType="separate"/>
          </w:r>
          <w:r w:rsidRPr="00A85121">
            <w:rPr>
              <w:noProof/>
            </w:rPr>
            <w:t>5</w:t>
          </w:r>
          <w:r w:rsidRPr="00A85121">
            <w:rPr>
              <w:noProof/>
            </w:rPr>
            <w:fldChar w:fldCharType="end"/>
          </w:r>
        </w:p>
        <w:p w14:paraId="080035E7" w14:textId="30D471CF"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2.1</w:t>
          </w:r>
          <w:r w:rsidRPr="00A85121">
            <w:rPr>
              <w:rFonts w:asciiTheme="minorHAnsi" w:eastAsiaTheme="minorEastAsia" w:hAnsiTheme="minorHAnsi" w:cstheme="minorBidi"/>
              <w:noProof/>
              <w:lang w:eastAsia="en-AU"/>
            </w:rPr>
            <w:tab/>
          </w:r>
          <w:r w:rsidRPr="00A85121">
            <w:rPr>
              <w:noProof/>
            </w:rPr>
            <w:t>What is the PayEvent List service</w:t>
          </w:r>
          <w:r w:rsidRPr="00A85121">
            <w:rPr>
              <w:noProof/>
            </w:rPr>
            <w:tab/>
          </w:r>
          <w:r w:rsidRPr="00A85121">
            <w:rPr>
              <w:noProof/>
            </w:rPr>
            <w:fldChar w:fldCharType="begin"/>
          </w:r>
          <w:r w:rsidRPr="00A85121">
            <w:rPr>
              <w:noProof/>
            </w:rPr>
            <w:instrText xml:space="preserve"> PAGEREF _Toc164157526 \h </w:instrText>
          </w:r>
          <w:r w:rsidRPr="00A85121">
            <w:rPr>
              <w:noProof/>
            </w:rPr>
          </w:r>
          <w:r w:rsidRPr="00A85121">
            <w:rPr>
              <w:noProof/>
            </w:rPr>
            <w:fldChar w:fldCharType="separate"/>
          </w:r>
          <w:r w:rsidRPr="00A85121">
            <w:rPr>
              <w:noProof/>
            </w:rPr>
            <w:t>5</w:t>
          </w:r>
          <w:r w:rsidRPr="00A85121">
            <w:rPr>
              <w:noProof/>
            </w:rPr>
            <w:fldChar w:fldCharType="end"/>
          </w:r>
        </w:p>
        <w:p w14:paraId="0B208DD4" w14:textId="7DD4B718" w:rsidR="00A85121" w:rsidRPr="00A85121" w:rsidRDefault="00A85121" w:rsidP="00E31E9F">
          <w:pPr>
            <w:pStyle w:val="TOC1"/>
            <w:rPr>
              <w:rFonts w:asciiTheme="minorHAnsi" w:eastAsiaTheme="minorEastAsia" w:hAnsiTheme="minorHAnsi" w:cstheme="minorBidi"/>
              <w:noProof/>
              <w:lang w:eastAsia="en-AU"/>
            </w:rPr>
          </w:pPr>
          <w:r w:rsidRPr="008019D1">
            <w:rPr>
              <w:noProof/>
            </w:rPr>
            <w:t>3</w:t>
          </w:r>
          <w:r w:rsidRPr="00A85121">
            <w:rPr>
              <w:rFonts w:asciiTheme="minorHAnsi" w:eastAsiaTheme="minorEastAsia" w:hAnsiTheme="minorHAnsi" w:cstheme="minorBidi"/>
              <w:noProof/>
              <w:lang w:eastAsia="en-AU"/>
            </w:rPr>
            <w:tab/>
          </w:r>
          <w:r w:rsidRPr="00A85121">
            <w:rPr>
              <w:noProof/>
            </w:rPr>
            <w:t>Interactions and Channels</w:t>
          </w:r>
          <w:r w:rsidRPr="00A85121">
            <w:rPr>
              <w:noProof/>
            </w:rPr>
            <w:tab/>
          </w:r>
          <w:r w:rsidRPr="00A85121">
            <w:rPr>
              <w:noProof/>
            </w:rPr>
            <w:fldChar w:fldCharType="begin"/>
          </w:r>
          <w:r w:rsidRPr="00A85121">
            <w:rPr>
              <w:noProof/>
            </w:rPr>
            <w:instrText xml:space="preserve"> PAGEREF _Toc164157529 \h </w:instrText>
          </w:r>
          <w:r w:rsidRPr="00A85121">
            <w:rPr>
              <w:noProof/>
            </w:rPr>
          </w:r>
          <w:r w:rsidRPr="00A85121">
            <w:rPr>
              <w:noProof/>
            </w:rPr>
            <w:fldChar w:fldCharType="separate"/>
          </w:r>
          <w:r w:rsidRPr="00A85121">
            <w:rPr>
              <w:noProof/>
            </w:rPr>
            <w:t>6</w:t>
          </w:r>
          <w:r w:rsidRPr="00A85121">
            <w:rPr>
              <w:noProof/>
            </w:rPr>
            <w:fldChar w:fldCharType="end"/>
          </w:r>
        </w:p>
        <w:p w14:paraId="7AEDA640" w14:textId="136EA7C5"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3.1</w:t>
          </w:r>
          <w:r w:rsidRPr="00A85121">
            <w:rPr>
              <w:rFonts w:asciiTheme="minorHAnsi" w:eastAsiaTheme="minorEastAsia" w:hAnsiTheme="minorHAnsi" w:cstheme="minorBidi"/>
              <w:noProof/>
              <w:lang w:eastAsia="en-AU"/>
            </w:rPr>
            <w:tab/>
          </w:r>
          <w:r w:rsidRPr="00A85121">
            <w:rPr>
              <w:noProof/>
            </w:rPr>
            <w:t>Interactions</w:t>
          </w:r>
          <w:r w:rsidRPr="00A85121">
            <w:rPr>
              <w:noProof/>
            </w:rPr>
            <w:tab/>
          </w:r>
          <w:r w:rsidRPr="00A85121">
            <w:rPr>
              <w:noProof/>
            </w:rPr>
            <w:fldChar w:fldCharType="begin"/>
          </w:r>
          <w:r w:rsidRPr="00A85121">
            <w:rPr>
              <w:noProof/>
            </w:rPr>
            <w:instrText xml:space="preserve"> PAGEREF _Toc164157530 \h </w:instrText>
          </w:r>
          <w:r w:rsidRPr="00A85121">
            <w:rPr>
              <w:noProof/>
            </w:rPr>
          </w:r>
          <w:r w:rsidRPr="00A85121">
            <w:rPr>
              <w:noProof/>
            </w:rPr>
            <w:fldChar w:fldCharType="separate"/>
          </w:r>
          <w:r w:rsidRPr="00A85121">
            <w:rPr>
              <w:noProof/>
            </w:rPr>
            <w:t>6</w:t>
          </w:r>
          <w:r w:rsidRPr="00A85121">
            <w:rPr>
              <w:noProof/>
            </w:rPr>
            <w:fldChar w:fldCharType="end"/>
          </w:r>
        </w:p>
        <w:p w14:paraId="0A0FD3D9" w14:textId="5FA2D913"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3.2</w:t>
          </w:r>
          <w:r w:rsidRPr="00A85121">
            <w:rPr>
              <w:rFonts w:asciiTheme="minorHAnsi" w:eastAsiaTheme="minorEastAsia" w:hAnsiTheme="minorHAnsi" w:cstheme="minorBidi"/>
              <w:noProof/>
              <w:lang w:eastAsia="en-AU"/>
            </w:rPr>
            <w:tab/>
          </w:r>
          <w:r w:rsidRPr="00A85121">
            <w:rPr>
              <w:noProof/>
            </w:rPr>
            <w:t>Channels</w:t>
          </w:r>
          <w:r w:rsidRPr="00A85121">
            <w:rPr>
              <w:noProof/>
            </w:rPr>
            <w:tab/>
          </w:r>
          <w:r w:rsidRPr="00A85121">
            <w:rPr>
              <w:noProof/>
            </w:rPr>
            <w:fldChar w:fldCharType="begin"/>
          </w:r>
          <w:r w:rsidRPr="00A85121">
            <w:rPr>
              <w:noProof/>
            </w:rPr>
            <w:instrText xml:space="preserve"> PAGEREF _Toc164157531 \h </w:instrText>
          </w:r>
          <w:r w:rsidRPr="00A85121">
            <w:rPr>
              <w:noProof/>
            </w:rPr>
          </w:r>
          <w:r w:rsidRPr="00A85121">
            <w:rPr>
              <w:noProof/>
            </w:rPr>
            <w:fldChar w:fldCharType="separate"/>
          </w:r>
          <w:r w:rsidRPr="00A85121">
            <w:rPr>
              <w:noProof/>
            </w:rPr>
            <w:t>6</w:t>
          </w:r>
          <w:r w:rsidRPr="00A85121">
            <w:rPr>
              <w:noProof/>
            </w:rPr>
            <w:fldChar w:fldCharType="end"/>
          </w:r>
        </w:p>
        <w:p w14:paraId="1C3EE335" w14:textId="6178ECD3" w:rsidR="00A85121" w:rsidRPr="00A85121" w:rsidRDefault="00A85121" w:rsidP="00E31E9F">
          <w:pPr>
            <w:pStyle w:val="TOC1"/>
            <w:rPr>
              <w:rFonts w:asciiTheme="minorHAnsi" w:eastAsiaTheme="minorEastAsia" w:hAnsiTheme="minorHAnsi" w:cstheme="minorBidi"/>
              <w:noProof/>
              <w:lang w:eastAsia="en-AU"/>
            </w:rPr>
          </w:pPr>
          <w:r w:rsidRPr="008019D1">
            <w:rPr>
              <w:noProof/>
            </w:rPr>
            <w:t>4</w:t>
          </w:r>
          <w:r w:rsidRPr="00A85121">
            <w:rPr>
              <w:rFonts w:asciiTheme="minorHAnsi" w:eastAsiaTheme="minorEastAsia" w:hAnsiTheme="minorHAnsi" w:cstheme="minorBidi"/>
              <w:noProof/>
              <w:lang w:eastAsia="en-AU"/>
            </w:rPr>
            <w:tab/>
          </w:r>
          <w:r w:rsidRPr="00A85121">
            <w:rPr>
              <w:noProof/>
            </w:rPr>
            <w:t>Authorisations</w:t>
          </w:r>
          <w:r w:rsidRPr="00A85121">
            <w:rPr>
              <w:noProof/>
            </w:rPr>
            <w:tab/>
          </w:r>
          <w:r w:rsidRPr="00A85121">
            <w:rPr>
              <w:noProof/>
            </w:rPr>
            <w:fldChar w:fldCharType="begin"/>
          </w:r>
          <w:r w:rsidRPr="00A85121">
            <w:rPr>
              <w:noProof/>
            </w:rPr>
            <w:instrText xml:space="preserve"> PAGEREF _Toc164157533 \h </w:instrText>
          </w:r>
          <w:r w:rsidRPr="00A85121">
            <w:rPr>
              <w:noProof/>
            </w:rPr>
          </w:r>
          <w:r w:rsidRPr="00A85121">
            <w:rPr>
              <w:noProof/>
            </w:rPr>
            <w:fldChar w:fldCharType="separate"/>
          </w:r>
          <w:r w:rsidRPr="00A85121">
            <w:rPr>
              <w:noProof/>
            </w:rPr>
            <w:t>7</w:t>
          </w:r>
          <w:r w:rsidRPr="00A85121">
            <w:rPr>
              <w:noProof/>
            </w:rPr>
            <w:fldChar w:fldCharType="end"/>
          </w:r>
        </w:p>
        <w:p w14:paraId="339F24A6" w14:textId="3FF65587"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4.1</w:t>
          </w:r>
          <w:r w:rsidRPr="00A85121">
            <w:rPr>
              <w:rFonts w:asciiTheme="minorHAnsi" w:eastAsiaTheme="minorEastAsia" w:hAnsiTheme="minorHAnsi" w:cstheme="minorBidi"/>
              <w:noProof/>
              <w:lang w:eastAsia="en-AU"/>
            </w:rPr>
            <w:tab/>
          </w:r>
          <w:r w:rsidRPr="00A85121">
            <w:rPr>
              <w:noProof/>
            </w:rPr>
            <w:t>Access and initiating parties</w:t>
          </w:r>
          <w:r w:rsidRPr="00A85121">
            <w:rPr>
              <w:noProof/>
            </w:rPr>
            <w:tab/>
          </w:r>
          <w:r w:rsidRPr="00A85121">
            <w:rPr>
              <w:noProof/>
            </w:rPr>
            <w:fldChar w:fldCharType="begin"/>
          </w:r>
          <w:r w:rsidRPr="00A85121">
            <w:rPr>
              <w:noProof/>
            </w:rPr>
            <w:instrText xml:space="preserve"> PAGEREF _Toc164157534 \h </w:instrText>
          </w:r>
          <w:r w:rsidRPr="00A85121">
            <w:rPr>
              <w:noProof/>
            </w:rPr>
          </w:r>
          <w:r w:rsidRPr="00A85121">
            <w:rPr>
              <w:noProof/>
            </w:rPr>
            <w:fldChar w:fldCharType="separate"/>
          </w:r>
          <w:r w:rsidRPr="00A85121">
            <w:rPr>
              <w:noProof/>
            </w:rPr>
            <w:t>7</w:t>
          </w:r>
          <w:r w:rsidRPr="00A85121">
            <w:rPr>
              <w:noProof/>
            </w:rPr>
            <w:fldChar w:fldCharType="end"/>
          </w:r>
        </w:p>
        <w:p w14:paraId="7B4DB736" w14:textId="6EF2139F" w:rsidR="00A85121" w:rsidRPr="00A85121" w:rsidRDefault="00A85121" w:rsidP="00E31E9F">
          <w:pPr>
            <w:pStyle w:val="TOC1"/>
            <w:rPr>
              <w:rFonts w:asciiTheme="minorHAnsi" w:eastAsiaTheme="minorEastAsia" w:hAnsiTheme="minorHAnsi" w:cstheme="minorBidi"/>
              <w:noProof/>
              <w:lang w:eastAsia="en-AU"/>
            </w:rPr>
          </w:pPr>
          <w:r w:rsidRPr="008019D1">
            <w:rPr>
              <w:noProof/>
            </w:rPr>
            <w:t>5</w:t>
          </w:r>
          <w:r w:rsidRPr="00A85121">
            <w:rPr>
              <w:rFonts w:asciiTheme="minorHAnsi" w:eastAsiaTheme="minorEastAsia" w:hAnsiTheme="minorHAnsi" w:cstheme="minorBidi"/>
              <w:noProof/>
              <w:lang w:eastAsia="en-AU"/>
            </w:rPr>
            <w:tab/>
          </w:r>
          <w:r w:rsidRPr="00A85121">
            <w:rPr>
              <w:noProof/>
            </w:rPr>
            <w:t>Constraints and known issues</w:t>
          </w:r>
          <w:r w:rsidRPr="00A85121">
            <w:rPr>
              <w:noProof/>
            </w:rPr>
            <w:tab/>
          </w:r>
          <w:r w:rsidRPr="00A85121">
            <w:rPr>
              <w:noProof/>
            </w:rPr>
            <w:fldChar w:fldCharType="begin"/>
          </w:r>
          <w:r w:rsidRPr="00A85121">
            <w:rPr>
              <w:noProof/>
            </w:rPr>
            <w:instrText xml:space="preserve"> PAGEREF _Toc164157535 \h </w:instrText>
          </w:r>
          <w:r w:rsidRPr="00A85121">
            <w:rPr>
              <w:noProof/>
            </w:rPr>
          </w:r>
          <w:r w:rsidRPr="00A85121">
            <w:rPr>
              <w:noProof/>
            </w:rPr>
            <w:fldChar w:fldCharType="separate"/>
          </w:r>
          <w:r w:rsidRPr="00A85121">
            <w:rPr>
              <w:noProof/>
            </w:rPr>
            <w:t>8</w:t>
          </w:r>
          <w:r w:rsidRPr="00A85121">
            <w:rPr>
              <w:noProof/>
            </w:rPr>
            <w:fldChar w:fldCharType="end"/>
          </w:r>
        </w:p>
        <w:p w14:paraId="6F7A9AAF" w14:textId="358F3E51"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5.1</w:t>
          </w:r>
          <w:r w:rsidRPr="00A85121">
            <w:rPr>
              <w:rFonts w:asciiTheme="minorHAnsi" w:eastAsiaTheme="minorEastAsia" w:hAnsiTheme="minorHAnsi" w:cstheme="minorBidi"/>
              <w:noProof/>
              <w:lang w:eastAsia="en-AU"/>
            </w:rPr>
            <w:tab/>
          </w:r>
          <w:r w:rsidRPr="00A85121">
            <w:rPr>
              <w:noProof/>
            </w:rPr>
            <w:t>Usage restrictions</w:t>
          </w:r>
          <w:r w:rsidRPr="00A85121">
            <w:rPr>
              <w:noProof/>
            </w:rPr>
            <w:tab/>
          </w:r>
          <w:r w:rsidRPr="00A85121">
            <w:rPr>
              <w:noProof/>
            </w:rPr>
            <w:fldChar w:fldCharType="begin"/>
          </w:r>
          <w:r w:rsidRPr="00A85121">
            <w:rPr>
              <w:noProof/>
            </w:rPr>
            <w:instrText xml:space="preserve"> PAGEREF _Toc164157536 \h </w:instrText>
          </w:r>
          <w:r w:rsidRPr="00A85121">
            <w:rPr>
              <w:noProof/>
            </w:rPr>
          </w:r>
          <w:r w:rsidRPr="00A85121">
            <w:rPr>
              <w:noProof/>
            </w:rPr>
            <w:fldChar w:fldCharType="separate"/>
          </w:r>
          <w:r w:rsidRPr="00A85121">
            <w:rPr>
              <w:noProof/>
            </w:rPr>
            <w:t>8</w:t>
          </w:r>
          <w:r w:rsidRPr="00A85121">
            <w:rPr>
              <w:noProof/>
            </w:rPr>
            <w:fldChar w:fldCharType="end"/>
          </w:r>
        </w:p>
        <w:p w14:paraId="4D8D2662" w14:textId="5F4ECC94" w:rsidR="00A85121" w:rsidRPr="00A85121" w:rsidRDefault="00A85121" w:rsidP="00E31E9F">
          <w:pPr>
            <w:pStyle w:val="TOC1"/>
            <w:rPr>
              <w:rFonts w:asciiTheme="minorHAnsi" w:eastAsiaTheme="minorEastAsia" w:hAnsiTheme="minorHAnsi" w:cstheme="minorBidi"/>
              <w:noProof/>
              <w:lang w:eastAsia="en-AU"/>
            </w:rPr>
          </w:pPr>
          <w:r w:rsidRPr="008019D1">
            <w:rPr>
              <w:noProof/>
            </w:rPr>
            <w:t>6</w:t>
          </w:r>
          <w:r w:rsidRPr="00A85121">
            <w:rPr>
              <w:rFonts w:asciiTheme="minorHAnsi" w:eastAsiaTheme="minorEastAsia" w:hAnsiTheme="minorHAnsi" w:cstheme="minorBidi"/>
              <w:noProof/>
              <w:lang w:eastAsia="en-AU"/>
            </w:rPr>
            <w:tab/>
          </w:r>
          <w:r w:rsidRPr="00A85121">
            <w:rPr>
              <w:noProof/>
            </w:rPr>
            <w:t>PayEvent List guidance</w:t>
          </w:r>
          <w:r w:rsidRPr="00A85121">
            <w:rPr>
              <w:noProof/>
            </w:rPr>
            <w:tab/>
          </w:r>
          <w:r w:rsidRPr="00A85121">
            <w:rPr>
              <w:noProof/>
            </w:rPr>
            <w:fldChar w:fldCharType="begin"/>
          </w:r>
          <w:r w:rsidRPr="00A85121">
            <w:rPr>
              <w:noProof/>
            </w:rPr>
            <w:instrText xml:space="preserve"> PAGEREF _Toc164157537 \h </w:instrText>
          </w:r>
          <w:r w:rsidRPr="00A85121">
            <w:rPr>
              <w:noProof/>
            </w:rPr>
          </w:r>
          <w:r w:rsidRPr="00A85121">
            <w:rPr>
              <w:noProof/>
            </w:rPr>
            <w:fldChar w:fldCharType="separate"/>
          </w:r>
          <w:r w:rsidRPr="00A85121">
            <w:rPr>
              <w:noProof/>
            </w:rPr>
            <w:t>9</w:t>
          </w:r>
          <w:r w:rsidRPr="00A85121">
            <w:rPr>
              <w:noProof/>
            </w:rPr>
            <w:fldChar w:fldCharType="end"/>
          </w:r>
        </w:p>
        <w:p w14:paraId="3B064C5A" w14:textId="5767BC2E"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6.1</w:t>
          </w:r>
          <w:r w:rsidRPr="00A85121">
            <w:rPr>
              <w:rFonts w:asciiTheme="minorHAnsi" w:eastAsiaTheme="minorEastAsia" w:hAnsiTheme="minorHAnsi" w:cstheme="minorBidi"/>
              <w:noProof/>
              <w:lang w:eastAsia="en-AU"/>
            </w:rPr>
            <w:tab/>
          </w:r>
          <w:r w:rsidRPr="00A85121">
            <w:rPr>
              <w:noProof/>
            </w:rPr>
            <w:t>Search Identifiers</w:t>
          </w:r>
          <w:r w:rsidRPr="00A85121">
            <w:rPr>
              <w:noProof/>
            </w:rPr>
            <w:tab/>
          </w:r>
          <w:r w:rsidRPr="00A85121">
            <w:rPr>
              <w:noProof/>
            </w:rPr>
            <w:fldChar w:fldCharType="begin"/>
          </w:r>
          <w:r w:rsidRPr="00A85121">
            <w:rPr>
              <w:noProof/>
            </w:rPr>
            <w:instrText xml:space="preserve"> PAGEREF _Toc164157538 \h </w:instrText>
          </w:r>
          <w:r w:rsidRPr="00A85121">
            <w:rPr>
              <w:noProof/>
            </w:rPr>
          </w:r>
          <w:r w:rsidRPr="00A85121">
            <w:rPr>
              <w:noProof/>
            </w:rPr>
            <w:fldChar w:fldCharType="separate"/>
          </w:r>
          <w:r w:rsidRPr="00A85121">
            <w:rPr>
              <w:noProof/>
            </w:rPr>
            <w:t>9</w:t>
          </w:r>
          <w:r w:rsidRPr="00A85121">
            <w:rPr>
              <w:noProof/>
            </w:rPr>
            <w:fldChar w:fldCharType="end"/>
          </w:r>
        </w:p>
        <w:p w14:paraId="7BABEEDC" w14:textId="423D22F1"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6.2</w:t>
          </w:r>
          <w:r w:rsidRPr="00A85121">
            <w:rPr>
              <w:rFonts w:asciiTheme="minorHAnsi" w:eastAsiaTheme="minorEastAsia" w:hAnsiTheme="minorHAnsi" w:cstheme="minorBidi"/>
              <w:noProof/>
              <w:lang w:eastAsia="en-AU"/>
            </w:rPr>
            <w:tab/>
          </w:r>
          <w:r w:rsidRPr="00A85121">
            <w:rPr>
              <w:noProof/>
            </w:rPr>
            <w:t>Search Parameters</w:t>
          </w:r>
          <w:r w:rsidRPr="00A85121">
            <w:rPr>
              <w:noProof/>
            </w:rPr>
            <w:tab/>
          </w:r>
          <w:r w:rsidRPr="00A85121">
            <w:rPr>
              <w:noProof/>
            </w:rPr>
            <w:fldChar w:fldCharType="begin"/>
          </w:r>
          <w:r w:rsidRPr="00A85121">
            <w:rPr>
              <w:noProof/>
            </w:rPr>
            <w:instrText xml:space="preserve"> PAGEREF _Toc164157539 \h </w:instrText>
          </w:r>
          <w:r w:rsidRPr="00A85121">
            <w:rPr>
              <w:noProof/>
            </w:rPr>
          </w:r>
          <w:r w:rsidRPr="00A85121">
            <w:rPr>
              <w:noProof/>
            </w:rPr>
            <w:fldChar w:fldCharType="separate"/>
          </w:r>
          <w:r w:rsidRPr="00A85121">
            <w:rPr>
              <w:noProof/>
            </w:rPr>
            <w:t>10</w:t>
          </w:r>
          <w:r w:rsidRPr="00A85121">
            <w:rPr>
              <w:noProof/>
            </w:rPr>
            <w:fldChar w:fldCharType="end"/>
          </w:r>
        </w:p>
        <w:p w14:paraId="0DF769C8" w14:textId="7B483122" w:rsidR="00A85121" w:rsidRPr="00A85121" w:rsidRDefault="00A85121" w:rsidP="008019D1">
          <w:pPr>
            <w:pStyle w:val="TOC1"/>
            <w:rPr>
              <w:rFonts w:asciiTheme="minorHAnsi" w:eastAsiaTheme="minorEastAsia" w:hAnsiTheme="minorHAnsi" w:cstheme="minorBidi"/>
              <w:noProof/>
              <w:lang w:eastAsia="en-AU"/>
            </w:rPr>
          </w:pPr>
          <w:r w:rsidRPr="00A85121">
            <w:rPr>
              <w:bCs/>
              <w:noProof/>
            </w:rPr>
            <w:t>6.3</w:t>
          </w:r>
          <w:r w:rsidRPr="00A85121">
            <w:rPr>
              <w:rFonts w:asciiTheme="minorHAnsi" w:eastAsiaTheme="minorEastAsia" w:hAnsiTheme="minorHAnsi" w:cstheme="minorBidi"/>
              <w:noProof/>
              <w:lang w:eastAsia="en-AU"/>
            </w:rPr>
            <w:tab/>
          </w:r>
          <w:r w:rsidRPr="00A85121">
            <w:rPr>
              <w:noProof/>
            </w:rPr>
            <w:t>Search Results</w:t>
          </w:r>
          <w:r w:rsidRPr="00A85121">
            <w:rPr>
              <w:noProof/>
            </w:rPr>
            <w:tab/>
          </w:r>
          <w:r w:rsidRPr="00A85121">
            <w:rPr>
              <w:noProof/>
            </w:rPr>
            <w:fldChar w:fldCharType="begin"/>
          </w:r>
          <w:r w:rsidRPr="00A85121">
            <w:rPr>
              <w:noProof/>
            </w:rPr>
            <w:instrText xml:space="preserve"> PAGEREF _Toc164157540 \h </w:instrText>
          </w:r>
          <w:r w:rsidRPr="00A85121">
            <w:rPr>
              <w:noProof/>
            </w:rPr>
          </w:r>
          <w:r w:rsidRPr="00A85121">
            <w:rPr>
              <w:noProof/>
            </w:rPr>
            <w:fldChar w:fldCharType="separate"/>
          </w:r>
          <w:r w:rsidRPr="00A85121">
            <w:rPr>
              <w:noProof/>
            </w:rPr>
            <w:t>11</w:t>
          </w:r>
          <w:r w:rsidRPr="00A85121">
            <w:rPr>
              <w:noProof/>
            </w:rPr>
            <w:fldChar w:fldCharType="end"/>
          </w:r>
        </w:p>
        <w:bookmarkEnd w:id="4"/>
        <w:p w14:paraId="6FB90968" w14:textId="5A39E2E3" w:rsidR="000079BE" w:rsidRDefault="000A7B2D" w:rsidP="00E31E9F">
          <w:pPr>
            <w:pStyle w:val="TOC1"/>
            <w:rPr>
              <w:noProof/>
            </w:rPr>
          </w:pPr>
          <w:r w:rsidRPr="00A85121">
            <w:fldChar w:fldCharType="end"/>
          </w:r>
        </w:p>
      </w:sdtContent>
    </w:sdt>
    <w:p w14:paraId="1260193E" w14:textId="356BA128" w:rsidR="0041176A" w:rsidRDefault="000A7B2D" w:rsidP="006F0AE0">
      <w:pPr>
        <w:pStyle w:val="TOC1"/>
        <w:spacing w:line="240" w:lineRule="auto"/>
        <w:rPr>
          <w:rFonts w:asciiTheme="minorHAnsi" w:eastAsiaTheme="minorEastAsia" w:hAnsiTheme="minorHAnsi" w:cstheme="minorBidi"/>
          <w:noProof/>
          <w:lang w:eastAsia="en-AU"/>
        </w:rPr>
      </w:pPr>
      <w:r>
        <w:fldChar w:fldCharType="begin"/>
      </w:r>
      <w:r>
        <w:instrText xml:space="preserve"> TOC \c "Table" </w:instrText>
      </w:r>
      <w:r>
        <w:fldChar w:fldCharType="separate"/>
      </w:r>
      <w:r w:rsidR="0041176A">
        <w:rPr>
          <w:noProof/>
        </w:rPr>
        <w:t xml:space="preserve">Table </w:t>
      </w:r>
      <w:r w:rsidR="00490043">
        <w:rPr>
          <w:noProof/>
        </w:rPr>
        <w:t>1</w:t>
      </w:r>
      <w:r w:rsidR="00912F3D">
        <w:rPr>
          <w:noProof/>
        </w:rPr>
        <w:t>:</w:t>
      </w:r>
      <w:r w:rsidR="0041176A">
        <w:rPr>
          <w:noProof/>
        </w:rPr>
        <w:t xml:space="preserve"> Interactions available in the PayEvent List </w:t>
      </w:r>
      <w:r w:rsidR="005C240E">
        <w:rPr>
          <w:noProof/>
        </w:rPr>
        <w:t>service</w:t>
      </w:r>
      <w:r w:rsidR="0041176A">
        <w:rPr>
          <w:noProof/>
        </w:rPr>
        <w:tab/>
      </w:r>
      <w:r w:rsidR="0041176A">
        <w:rPr>
          <w:noProof/>
        </w:rPr>
        <w:fldChar w:fldCharType="begin"/>
      </w:r>
      <w:r w:rsidR="0041176A">
        <w:rPr>
          <w:noProof/>
        </w:rPr>
        <w:instrText xml:space="preserve"> PAGEREF _Toc135315761 \h </w:instrText>
      </w:r>
      <w:r w:rsidR="0041176A">
        <w:rPr>
          <w:noProof/>
        </w:rPr>
      </w:r>
      <w:r w:rsidR="0041176A">
        <w:rPr>
          <w:noProof/>
        </w:rPr>
        <w:fldChar w:fldCharType="separate"/>
      </w:r>
      <w:r w:rsidR="00054BB7">
        <w:rPr>
          <w:noProof/>
        </w:rPr>
        <w:t>6</w:t>
      </w:r>
      <w:r w:rsidR="0041176A">
        <w:rPr>
          <w:noProof/>
        </w:rPr>
        <w:fldChar w:fldCharType="end"/>
      </w:r>
    </w:p>
    <w:p w14:paraId="0BB52835" w14:textId="403FF344" w:rsidR="0041176A" w:rsidRDefault="0041176A" w:rsidP="008019D1">
      <w:pPr>
        <w:pStyle w:val="TableofFigures"/>
        <w:tabs>
          <w:tab w:val="right" w:leader="dot" w:pos="9016"/>
        </w:tabs>
        <w:spacing w:line="240" w:lineRule="auto"/>
        <w:rPr>
          <w:rFonts w:asciiTheme="minorHAnsi" w:eastAsiaTheme="minorEastAsia" w:hAnsiTheme="minorHAnsi" w:cstheme="minorBidi"/>
          <w:noProof/>
          <w:lang w:eastAsia="en-AU"/>
        </w:rPr>
      </w:pPr>
      <w:r>
        <w:rPr>
          <w:noProof/>
        </w:rPr>
        <w:t xml:space="preserve">Table </w:t>
      </w:r>
      <w:r w:rsidR="00490043">
        <w:rPr>
          <w:noProof/>
        </w:rPr>
        <w:t>2</w:t>
      </w:r>
      <w:r>
        <w:rPr>
          <w:noProof/>
        </w:rPr>
        <w:t xml:space="preserve">: Interactions available in the channel for PayEvent List </w:t>
      </w:r>
      <w:r w:rsidR="005C240E">
        <w:rPr>
          <w:noProof/>
        </w:rPr>
        <w:t>service</w:t>
      </w:r>
      <w:r>
        <w:rPr>
          <w:noProof/>
        </w:rPr>
        <w:tab/>
      </w:r>
      <w:r>
        <w:rPr>
          <w:noProof/>
        </w:rPr>
        <w:fldChar w:fldCharType="begin"/>
      </w:r>
      <w:r>
        <w:rPr>
          <w:noProof/>
        </w:rPr>
        <w:instrText xml:space="preserve"> PAGEREF _Toc135315762 \h </w:instrText>
      </w:r>
      <w:r>
        <w:rPr>
          <w:noProof/>
        </w:rPr>
      </w:r>
      <w:r>
        <w:rPr>
          <w:noProof/>
        </w:rPr>
        <w:fldChar w:fldCharType="separate"/>
      </w:r>
      <w:r w:rsidR="00054BB7">
        <w:rPr>
          <w:noProof/>
        </w:rPr>
        <w:t>6</w:t>
      </w:r>
      <w:r>
        <w:rPr>
          <w:noProof/>
        </w:rPr>
        <w:fldChar w:fldCharType="end"/>
      </w:r>
    </w:p>
    <w:p w14:paraId="730FD707" w14:textId="6151ECE2" w:rsidR="00054BB7" w:rsidRDefault="00054BB7" w:rsidP="008019D1">
      <w:pPr>
        <w:spacing w:line="240" w:lineRule="auto"/>
        <w:rPr>
          <w:noProof/>
        </w:rPr>
      </w:pPr>
      <w:bookmarkStart w:id="5" w:name="_Toc135410166"/>
      <w:bookmarkStart w:id="6" w:name="_Toc135410196"/>
      <w:bookmarkStart w:id="7" w:name="_Toc135410352"/>
      <w:bookmarkStart w:id="8" w:name="_Toc135410382"/>
      <w:bookmarkStart w:id="9" w:name="_Toc137109473"/>
      <w:bookmarkStart w:id="10" w:name="_Toc137110038"/>
      <w:bookmarkStart w:id="11" w:name="_Toc137110141"/>
      <w:bookmarkStart w:id="12" w:name="_Toc137110430"/>
      <w:bookmarkStart w:id="13" w:name="_Toc137110636"/>
      <w:bookmarkStart w:id="14" w:name="_Toc137111133"/>
      <w:bookmarkStart w:id="15" w:name="_Toc137114188"/>
      <w:bookmarkStart w:id="16" w:name="_Toc137114349"/>
      <w:bookmarkStart w:id="17" w:name="_Toc137114506"/>
      <w:bookmarkStart w:id="18" w:name="_Toc137114694"/>
      <w:bookmarkStart w:id="19" w:name="_Toc137114726"/>
      <w:bookmarkStart w:id="20" w:name="_Toc137114860"/>
      <w:bookmarkStart w:id="21" w:name="_Toc137114892"/>
      <w:bookmarkStart w:id="22" w:name="_Toc1396164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A16BE37" w14:textId="2E938360" w:rsidR="00054BB7" w:rsidRDefault="00054BB7" w:rsidP="008019D1">
      <w:pPr>
        <w:spacing w:before="0" w:after="160" w:line="240" w:lineRule="auto"/>
        <w:rPr>
          <w:noProof/>
        </w:rPr>
      </w:pPr>
      <w:r>
        <w:rPr>
          <w:noProof/>
        </w:rPr>
        <w:br w:type="page"/>
      </w:r>
    </w:p>
    <w:p w14:paraId="6C23B717" w14:textId="77777777" w:rsidR="005C240E" w:rsidRPr="00944D9B" w:rsidRDefault="005C240E" w:rsidP="008019D1">
      <w:pPr>
        <w:spacing w:line="240" w:lineRule="auto"/>
        <w:rPr>
          <w:noProof/>
        </w:rPr>
      </w:pPr>
    </w:p>
    <w:p w14:paraId="4FCBA608" w14:textId="0E7EC937" w:rsidR="00E52470" w:rsidRDefault="000A7B2D" w:rsidP="006F0AE0">
      <w:pPr>
        <w:pStyle w:val="Heading1"/>
      </w:pPr>
      <w:r>
        <w:fldChar w:fldCharType="end"/>
      </w:r>
      <w:bookmarkStart w:id="23" w:name="_Toc164157521"/>
      <w:r w:rsidR="00E52470">
        <w:t>Introduction</w:t>
      </w:r>
      <w:bookmarkEnd w:id="23"/>
    </w:p>
    <w:p w14:paraId="1BAA9DB1" w14:textId="74CA366C" w:rsidR="00E52470" w:rsidRDefault="00E52470" w:rsidP="00283171">
      <w:pPr>
        <w:pStyle w:val="Heading2"/>
      </w:pPr>
      <w:bookmarkStart w:id="24" w:name="_Toc164157522"/>
      <w:r>
        <w:t>Purpose and audience</w:t>
      </w:r>
      <w:bookmarkEnd w:id="24"/>
      <w:r>
        <w:t xml:space="preserve"> </w:t>
      </w:r>
    </w:p>
    <w:p w14:paraId="4004B9CC" w14:textId="133DB4D1" w:rsidR="00E52470" w:rsidRDefault="00E52470">
      <w:r w:rsidRPr="00E52470">
        <w:t>The purpose of this document is to provide information that will assist Digital Service Providers</w:t>
      </w:r>
      <w:r w:rsidR="00912F3D">
        <w:t xml:space="preserve"> (DSP</w:t>
      </w:r>
      <w:r w:rsidR="00CD1B5A">
        <w:t>s</w:t>
      </w:r>
      <w:r w:rsidR="00912F3D">
        <w:t>)</w:t>
      </w:r>
      <w:r w:rsidRPr="00E52470">
        <w:t xml:space="preserve"> in understanding the business context surrounding the </w:t>
      </w:r>
      <w:proofErr w:type="spellStart"/>
      <w:r w:rsidR="008748F9">
        <w:t>PayEvent</w:t>
      </w:r>
      <w:proofErr w:type="spellEnd"/>
      <w:r w:rsidR="008748F9">
        <w:t xml:space="preserve"> List service interactions</w:t>
      </w:r>
      <w:r w:rsidRPr="00E52470">
        <w:t xml:space="preserve">. These interactions are performed with the Australian Taxation Office (ATO) through the Standard Business Reporting (SBR) platform. </w:t>
      </w:r>
    </w:p>
    <w:p w14:paraId="4BA0853E" w14:textId="04DEC402" w:rsidR="00424181" w:rsidRDefault="002E3187" w:rsidP="00E52470">
      <w:r>
        <w:t xml:space="preserve">The </w:t>
      </w:r>
      <w:proofErr w:type="spellStart"/>
      <w:r>
        <w:t>PayEvent</w:t>
      </w:r>
      <w:proofErr w:type="spellEnd"/>
      <w:r>
        <w:t xml:space="preserve"> List service refers to</w:t>
      </w:r>
      <w:r w:rsidR="00780D7D">
        <w:t xml:space="preserve"> a</w:t>
      </w:r>
      <w:r w:rsidR="00F93D2B">
        <w:t xml:space="preserve"> single service that</w:t>
      </w:r>
      <w:r>
        <w:t xml:space="preserve"> </w:t>
      </w:r>
      <w:r w:rsidR="00F93D2B">
        <w:t>enables a requesting party to</w:t>
      </w:r>
      <w:r>
        <w:t xml:space="preserve"> retrieve </w:t>
      </w:r>
      <w:r w:rsidR="00A334F4">
        <w:t>a list of</w:t>
      </w:r>
      <w:r w:rsidR="00A43980">
        <w:t xml:space="preserve"> </w:t>
      </w:r>
      <w:r w:rsidR="00E31E9F" w:rsidRPr="00E31E9F">
        <w:t>Single Touch Payroll (STP)</w:t>
      </w:r>
      <w:r w:rsidR="00E31E9F">
        <w:t xml:space="preserve"> </w:t>
      </w:r>
      <w:r w:rsidR="00A334F4">
        <w:t>pay</w:t>
      </w:r>
      <w:r w:rsidR="00DC6788">
        <w:t xml:space="preserve"> </w:t>
      </w:r>
      <w:r w:rsidR="00A334F4">
        <w:t>events</w:t>
      </w:r>
      <w:r w:rsidR="001F7CE7">
        <w:t xml:space="preserve"> </w:t>
      </w:r>
      <w:r w:rsidR="00F93D2B">
        <w:t xml:space="preserve">(including submit, </w:t>
      </w:r>
      <w:r w:rsidR="00DF281F">
        <w:t>update,</w:t>
      </w:r>
      <w:r w:rsidR="00F93D2B">
        <w:t xml:space="preserve"> or adjust actions) </w:t>
      </w:r>
      <w:r w:rsidR="001F7CE7">
        <w:t>successfully</w:t>
      </w:r>
      <w:r w:rsidR="00A334F4">
        <w:t xml:space="preserve"> processed by the ATO and associated </w:t>
      </w:r>
      <w:r w:rsidR="00780D7D">
        <w:t xml:space="preserve">payer </w:t>
      </w:r>
      <w:r w:rsidR="00F93D2B">
        <w:t>totals.</w:t>
      </w:r>
      <w:r>
        <w:t xml:space="preserve"> </w:t>
      </w:r>
      <w:r w:rsidR="00F93D2B">
        <w:t>Whilst u</w:t>
      </w:r>
      <w:r w:rsidR="00A334F4">
        <w:t xml:space="preserve">pdate </w:t>
      </w:r>
      <w:r w:rsidR="001F7CE7">
        <w:t>action</w:t>
      </w:r>
      <w:r w:rsidR="00A334F4">
        <w:t xml:space="preserve">s will be returned in the list service, </w:t>
      </w:r>
      <w:r w:rsidR="00F93D2B">
        <w:t xml:space="preserve">they </w:t>
      </w:r>
      <w:r w:rsidR="00A334F4">
        <w:t xml:space="preserve">will not include any payer totals (as these cannot be reported in an update </w:t>
      </w:r>
      <w:r w:rsidR="001F7CE7">
        <w:t>action</w:t>
      </w:r>
      <w:r w:rsidR="00A334F4">
        <w:t>).</w:t>
      </w:r>
      <w:r w:rsidR="00424181">
        <w:t xml:space="preserve"> </w:t>
      </w:r>
      <w:r w:rsidR="00424181" w:rsidRPr="0058231D">
        <w:t xml:space="preserve">If an original submit action has been replaced by a </w:t>
      </w:r>
      <w:r w:rsidR="00424181">
        <w:t>f</w:t>
      </w:r>
      <w:r w:rsidR="00424181" w:rsidRPr="0058231D">
        <w:t xml:space="preserve">ull </w:t>
      </w:r>
      <w:r w:rsidR="00424181">
        <w:t>f</w:t>
      </w:r>
      <w:r w:rsidR="00424181" w:rsidRPr="0058231D">
        <w:t xml:space="preserve">ile </w:t>
      </w:r>
      <w:r w:rsidR="00424181">
        <w:t>r</w:t>
      </w:r>
      <w:r w:rsidR="00424181" w:rsidRPr="0058231D">
        <w:t xml:space="preserve">eplacement, then only the replacement </w:t>
      </w:r>
      <w:r w:rsidR="00424181">
        <w:t>s</w:t>
      </w:r>
      <w:r w:rsidR="00424181" w:rsidRPr="0058231D">
        <w:t>ubmit action will be retrieved and displayed</w:t>
      </w:r>
      <w:r w:rsidR="00803D16">
        <w:t xml:space="preserve"> as the original is cancelled</w:t>
      </w:r>
      <w:r w:rsidR="00424181" w:rsidRPr="0058231D">
        <w:t>.</w:t>
      </w:r>
      <w:r w:rsidR="00F93D2B" w:rsidRPr="00F93D2B">
        <w:t xml:space="preserve"> </w:t>
      </w:r>
      <w:r w:rsidR="00F93D2B">
        <w:t>The service will not return pay events that have been cancelled and/or fully rejected.</w:t>
      </w:r>
    </w:p>
    <w:p w14:paraId="7E95E21D" w14:textId="05926B7E" w:rsidR="00E52470" w:rsidRDefault="00E52470" w:rsidP="00E52470">
      <w:r w:rsidRPr="00E52470">
        <w:t>The</w:t>
      </w:r>
      <w:r w:rsidR="00530DEB">
        <w:rPr>
          <w:i/>
          <w:iCs/>
        </w:rPr>
        <w:t xml:space="preserve"> </w:t>
      </w:r>
      <w:proofErr w:type="spellStart"/>
      <w:r w:rsidR="00AE1B1F" w:rsidRPr="00B65882">
        <w:t>PayEvent</w:t>
      </w:r>
      <w:proofErr w:type="spellEnd"/>
      <w:r w:rsidR="00AE1B1F" w:rsidRPr="00B65882">
        <w:t xml:space="preserve"> List </w:t>
      </w:r>
      <w:r w:rsidR="00FB56FA" w:rsidRPr="00B65882">
        <w:t>2023</w:t>
      </w:r>
      <w:r w:rsidRPr="00B65882">
        <w:t xml:space="preserve"> Business Implementation Guide</w:t>
      </w:r>
      <w:r w:rsidR="00CA0603">
        <w:t xml:space="preserve"> (BIG)</w:t>
      </w:r>
      <w:r w:rsidRPr="00E52470">
        <w:t xml:space="preserve"> forms part of the broader suite of documents used by the ATO to describe or interpret how the technical implementation relates back to the business context and process. This document is designed to be read in conjunction with the ATO SBR documentation suite including</w:t>
      </w:r>
      <w:r>
        <w:t>:</w:t>
      </w:r>
    </w:p>
    <w:p w14:paraId="22B89A21" w14:textId="7AEAE550" w:rsidR="00DF4111" w:rsidRDefault="00DF4111" w:rsidP="00E52470">
      <w:pPr>
        <w:pStyle w:val="ListBullet"/>
      </w:pPr>
      <w:r>
        <w:t>ATO Payevnt</w:t>
      </w:r>
      <w:r w:rsidR="00B23397">
        <w:t xml:space="preserve">.0004 </w:t>
      </w:r>
      <w:r>
        <w:t>2020 Business Implementation Guide</w:t>
      </w:r>
    </w:p>
    <w:p w14:paraId="7E2E60B0" w14:textId="5871A156" w:rsidR="00E52470" w:rsidRDefault="00967373" w:rsidP="00E52470">
      <w:pPr>
        <w:pStyle w:val="ListBullet"/>
      </w:pPr>
      <w:r>
        <w:t>W</w:t>
      </w:r>
      <w:r w:rsidR="00E52470">
        <w:t>eb service/platform information</w:t>
      </w:r>
    </w:p>
    <w:p w14:paraId="544048FB" w14:textId="77CC2C26" w:rsidR="00E52470" w:rsidRPr="00B65882" w:rsidRDefault="00E52470" w:rsidP="00E52470">
      <w:pPr>
        <w:pStyle w:val="ListBullet"/>
      </w:pPr>
      <w:r w:rsidRPr="00B65882">
        <w:t>ATO Common Business Implementation and Taxpayer Declaration Guide</w:t>
      </w:r>
    </w:p>
    <w:p w14:paraId="413CA791" w14:textId="4EF71422" w:rsidR="00E52470" w:rsidRDefault="00E52470" w:rsidP="00E52470">
      <w:pPr>
        <w:pStyle w:val="ListBullet"/>
      </w:pPr>
      <w:r>
        <w:t>ATO Service Registry (SR)</w:t>
      </w:r>
    </w:p>
    <w:p w14:paraId="4EF52C1C" w14:textId="39186FD3" w:rsidR="00E52470" w:rsidRDefault="00967373" w:rsidP="00E52470">
      <w:pPr>
        <w:pStyle w:val="ListBullet"/>
      </w:pPr>
      <w:r>
        <w:t>T</w:t>
      </w:r>
      <w:r w:rsidR="00E52470">
        <w:t>est information, for example, conformance suites</w:t>
      </w:r>
    </w:p>
    <w:p w14:paraId="2EA9FE1F" w14:textId="20E160E5" w:rsidR="00E52470" w:rsidRDefault="00E52470" w:rsidP="00E52470">
      <w:pPr>
        <w:pStyle w:val="ListBullet"/>
      </w:pPr>
      <w:r>
        <w:t>Message Structure Tables</w:t>
      </w:r>
    </w:p>
    <w:p w14:paraId="773FF207" w14:textId="03BAB011" w:rsidR="00E52470" w:rsidRDefault="00967373" w:rsidP="00E52470">
      <w:pPr>
        <w:pStyle w:val="ListBullet"/>
      </w:pPr>
      <w:r>
        <w:t>V</w:t>
      </w:r>
      <w:r w:rsidR="00E52470">
        <w:t>alidation rules.</w:t>
      </w:r>
    </w:p>
    <w:p w14:paraId="5C09C09A" w14:textId="3D401A08" w:rsidR="00E52470" w:rsidRDefault="00E52470" w:rsidP="00283171">
      <w:pPr>
        <w:pStyle w:val="Heading2"/>
      </w:pPr>
      <w:bookmarkStart w:id="25" w:name="_Toc164157523"/>
      <w:r>
        <w:t>Glossary</w:t>
      </w:r>
      <w:bookmarkEnd w:id="25"/>
    </w:p>
    <w:p w14:paraId="5F337AEC" w14:textId="3E9549B7" w:rsidR="00E52470" w:rsidRDefault="00E52470" w:rsidP="00E52470">
      <w:r>
        <w:t>For a glossary of terms see</w:t>
      </w:r>
    </w:p>
    <w:p w14:paraId="0039C7CD" w14:textId="3D448C4B" w:rsidR="00E52470" w:rsidRDefault="00E77562" w:rsidP="0002399D">
      <w:pPr>
        <w:pStyle w:val="ListBullet"/>
      </w:pPr>
      <w:hyperlink r:id="rId11" w:history="1">
        <w:r w:rsidR="00E52470" w:rsidRPr="00E52470">
          <w:rPr>
            <w:rStyle w:val="Hyperlink"/>
          </w:rPr>
          <w:t>SBR glossary</w:t>
        </w:r>
      </w:hyperlink>
    </w:p>
    <w:p w14:paraId="09C6E141" w14:textId="41180B79" w:rsidR="00E52470" w:rsidRDefault="00E77562" w:rsidP="00E52470">
      <w:pPr>
        <w:pStyle w:val="ListBullet"/>
      </w:pPr>
      <w:hyperlink r:id="rId12" w:history="1">
        <w:r w:rsidR="00E52470" w:rsidRPr="00E52470">
          <w:rPr>
            <w:rStyle w:val="Hyperlink"/>
          </w:rPr>
          <w:t>ATO definitions</w:t>
        </w:r>
      </w:hyperlink>
    </w:p>
    <w:p w14:paraId="2A33792B" w14:textId="6104E6B2" w:rsidR="0029330B" w:rsidRDefault="0029330B" w:rsidP="00944D9B">
      <w:pPr>
        <w:pStyle w:val="ListBullet"/>
        <w:tabs>
          <w:tab w:val="left" w:pos="720"/>
        </w:tabs>
      </w:pPr>
      <w:r>
        <w:t xml:space="preserve">The </w:t>
      </w:r>
      <w:hyperlink r:id="rId13" w:history="1">
        <w:r>
          <w:rPr>
            <w:rStyle w:val="Hyperlink"/>
          </w:rPr>
          <w:t>Common Business Implementation and Taxpayer Declaration Guide</w:t>
        </w:r>
      </w:hyperlink>
      <w:r>
        <w:t>.</w:t>
      </w:r>
    </w:p>
    <w:p w14:paraId="5D05FB50" w14:textId="6BF8CCC1" w:rsidR="00054BB7" w:rsidRDefault="00054BB7">
      <w:pPr>
        <w:spacing w:before="0" w:after="160" w:line="259" w:lineRule="auto"/>
      </w:pPr>
      <w:r>
        <w:br w:type="page"/>
      </w:r>
    </w:p>
    <w:p w14:paraId="38C9613C" w14:textId="12A58064" w:rsidR="00E52470" w:rsidRPr="007006E8" w:rsidRDefault="00CF648C" w:rsidP="00944D9B">
      <w:pPr>
        <w:pStyle w:val="Heading1"/>
      </w:pPr>
      <w:bookmarkStart w:id="26" w:name="_Toc163561814"/>
      <w:bookmarkStart w:id="27" w:name="_Toc164157524"/>
      <w:bookmarkStart w:id="28" w:name="_Toc147850844"/>
      <w:bookmarkStart w:id="29" w:name="_Toc147850878"/>
      <w:bookmarkStart w:id="30" w:name="_Toc147850944"/>
      <w:bookmarkStart w:id="31" w:name="_Toc147850845"/>
      <w:bookmarkStart w:id="32" w:name="_Toc147850879"/>
      <w:bookmarkStart w:id="33" w:name="_Toc147850945"/>
      <w:bookmarkStart w:id="34" w:name="_Toc147850846"/>
      <w:bookmarkStart w:id="35" w:name="_Toc147850880"/>
      <w:bookmarkStart w:id="36" w:name="_Toc147850946"/>
      <w:bookmarkEnd w:id="26"/>
      <w:bookmarkEnd w:id="27"/>
      <w:bookmarkEnd w:id="28"/>
      <w:bookmarkEnd w:id="29"/>
      <w:bookmarkEnd w:id="30"/>
      <w:bookmarkEnd w:id="31"/>
      <w:bookmarkEnd w:id="32"/>
      <w:bookmarkEnd w:id="33"/>
      <w:bookmarkEnd w:id="34"/>
      <w:bookmarkEnd w:id="35"/>
      <w:bookmarkEnd w:id="36"/>
      <w:r>
        <w:rPr>
          <w:sz w:val="22"/>
          <w:szCs w:val="22"/>
        </w:rPr>
        <w:lastRenderedPageBreak/>
        <w:t xml:space="preserve">  </w:t>
      </w:r>
      <w:bookmarkStart w:id="37" w:name="_Toc164157525"/>
      <w:r w:rsidR="00E34D05">
        <w:t>Overview</w:t>
      </w:r>
      <w:bookmarkEnd w:id="37"/>
    </w:p>
    <w:p w14:paraId="56E04E84" w14:textId="2E0DA2ED" w:rsidR="00E34D05" w:rsidRDefault="00E34D05" w:rsidP="00283171">
      <w:pPr>
        <w:pStyle w:val="Heading2"/>
      </w:pPr>
      <w:bookmarkStart w:id="38" w:name="_Toc164157526"/>
      <w:r>
        <w:t xml:space="preserve">What is the </w:t>
      </w:r>
      <w:proofErr w:type="spellStart"/>
      <w:r>
        <w:t>PayEvent</w:t>
      </w:r>
      <w:proofErr w:type="spellEnd"/>
      <w:r>
        <w:t xml:space="preserve"> List service</w:t>
      </w:r>
      <w:bookmarkEnd w:id="38"/>
    </w:p>
    <w:p w14:paraId="119E0FE5" w14:textId="36D4725D" w:rsidR="00F37C49" w:rsidRDefault="00F37C49" w:rsidP="009911EB">
      <w:r>
        <w:t xml:space="preserve">The </w:t>
      </w:r>
      <w:proofErr w:type="spellStart"/>
      <w:r>
        <w:t>PayEvent</w:t>
      </w:r>
      <w:proofErr w:type="spellEnd"/>
      <w:r>
        <w:t xml:space="preserve"> List service</w:t>
      </w:r>
      <w:r w:rsidR="00E95C71">
        <w:t xml:space="preserve"> (SBR name: </w:t>
      </w:r>
      <w:r w:rsidR="00CB776D" w:rsidRPr="005F32B3">
        <w:t>PAYEVNTRECON</w:t>
      </w:r>
      <w:r w:rsidR="00E95C71">
        <w:t>)</w:t>
      </w:r>
      <w:r>
        <w:t xml:space="preserve"> is a service that will serve both </w:t>
      </w:r>
      <w:r w:rsidR="00F93D2B">
        <w:t xml:space="preserve">ATO </w:t>
      </w:r>
      <w:r>
        <w:t xml:space="preserve">retail and wholesale channels to return a list of defined </w:t>
      </w:r>
      <w:r w:rsidR="00534BD8">
        <w:t xml:space="preserve">STP </w:t>
      </w:r>
      <w:r w:rsidR="00A46E91">
        <w:t>pay events</w:t>
      </w:r>
      <w:r w:rsidR="00A334F4">
        <w:t>, the payer totals reported for these (where applicable)</w:t>
      </w:r>
      <w:r>
        <w:t xml:space="preserve"> and any associated messages.</w:t>
      </w:r>
    </w:p>
    <w:p w14:paraId="1F936814" w14:textId="711222F7" w:rsidR="002E2575" w:rsidRDefault="002E2575" w:rsidP="009911EB">
      <w:r w:rsidRPr="002E2575">
        <w:t xml:space="preserve">The service will be made available through the SBR channel. It will be available as an interactive service, and a batch service </w:t>
      </w:r>
      <w:r w:rsidR="00CA0603">
        <w:t>that</w:t>
      </w:r>
      <w:r w:rsidRPr="002E2575">
        <w:t xml:space="preserve"> can retrieve multiple </w:t>
      </w:r>
      <w:r w:rsidR="00342BC8">
        <w:t>payer</w:t>
      </w:r>
      <w:r w:rsidRPr="002E2575">
        <w:t xml:space="preserve"> details.</w:t>
      </w:r>
      <w:r w:rsidR="005761F3">
        <w:t xml:space="preserve"> </w:t>
      </w:r>
      <w:r w:rsidR="005761F3" w:rsidRPr="005761F3">
        <w:t>Multiple payers refer to businesses that have the same</w:t>
      </w:r>
      <w:r w:rsidR="008A2007">
        <w:t xml:space="preserve"> Australian Business Number (</w:t>
      </w:r>
      <w:r w:rsidR="005761F3" w:rsidRPr="005761F3">
        <w:t>ABN</w:t>
      </w:r>
      <w:r w:rsidR="008A2007">
        <w:t>)</w:t>
      </w:r>
      <w:r w:rsidR="005761F3" w:rsidRPr="005761F3">
        <w:t xml:space="preserve"> </w:t>
      </w:r>
      <w:r w:rsidR="00A336A0">
        <w:t>that</w:t>
      </w:r>
      <w:r w:rsidR="005761F3" w:rsidRPr="005761F3">
        <w:t xml:space="preserve"> have multiple branches.</w:t>
      </w:r>
    </w:p>
    <w:p w14:paraId="502641BA" w14:textId="4A9C7BA2" w:rsidR="005F32B3" w:rsidRDefault="005F32B3" w:rsidP="009911EB">
      <w:r w:rsidRPr="005F32B3">
        <w:t>Along with the business rules outlined in this document, validation rules are specific to the action.  Use the following SBR artefacts to understand the required validation rules</w:t>
      </w:r>
      <w:r>
        <w:t>:</w:t>
      </w:r>
    </w:p>
    <w:p w14:paraId="703FDAB4" w14:textId="0A083F2F" w:rsidR="005F32B3" w:rsidRDefault="005F32B3" w:rsidP="00944D9B">
      <w:pPr>
        <w:pStyle w:val="ListParagraph"/>
        <w:numPr>
          <w:ilvl w:val="0"/>
          <w:numId w:val="38"/>
        </w:numPr>
        <w:ind w:left="426" w:hanging="426"/>
      </w:pPr>
      <w:r w:rsidRPr="005F32B3">
        <w:t>ATO PAYEVNTRECON List Request Message Structure Table</w:t>
      </w:r>
    </w:p>
    <w:p w14:paraId="3F7E5A85" w14:textId="796CA60B" w:rsidR="005F32B3" w:rsidRDefault="005F32B3" w:rsidP="00944D9B">
      <w:pPr>
        <w:pStyle w:val="ListParagraph"/>
        <w:numPr>
          <w:ilvl w:val="0"/>
          <w:numId w:val="38"/>
        </w:numPr>
        <w:ind w:left="426" w:hanging="426"/>
      </w:pPr>
      <w:r w:rsidRPr="005F32B3">
        <w:t>ATO PAYEVNTRECON List Response Message Structure Table</w:t>
      </w:r>
    </w:p>
    <w:p w14:paraId="4C010EF8" w14:textId="4E54FFE6" w:rsidR="008B5F3E" w:rsidRDefault="005F32B3" w:rsidP="003E1826">
      <w:pPr>
        <w:pStyle w:val="ListParagraph"/>
        <w:numPr>
          <w:ilvl w:val="0"/>
          <w:numId w:val="38"/>
        </w:numPr>
        <w:ind w:left="426" w:hanging="426"/>
      </w:pPr>
      <w:r w:rsidRPr="005F32B3">
        <w:t>ATO PAYEVNTRECON List Validation Rules</w:t>
      </w:r>
      <w:r w:rsidR="00B23397">
        <w:t>.</w:t>
      </w:r>
    </w:p>
    <w:p w14:paraId="7D728B8C" w14:textId="1B452EAB" w:rsidR="00CE53FE" w:rsidRPr="00B61725" w:rsidRDefault="004C5C1B" w:rsidP="00B61725">
      <w:pPr>
        <w:pStyle w:val="xxmsolistparagraph"/>
        <w:spacing w:before="120" w:after="120" w:line="320" w:lineRule="exact"/>
        <w:ind w:left="0"/>
        <w:rPr>
          <w:rFonts w:ascii="Arial" w:hAnsi="Arial" w:cs="Arial"/>
          <w:lang w:eastAsia="en-US"/>
        </w:rPr>
      </w:pPr>
      <w:r>
        <w:rPr>
          <w:rFonts w:ascii="Arial" w:hAnsi="Arial" w:cs="Arial"/>
          <w:lang w:eastAsia="en-US"/>
        </w:rPr>
        <w:t xml:space="preserve">Digital </w:t>
      </w:r>
      <w:r w:rsidR="00B23397">
        <w:rPr>
          <w:rFonts w:ascii="Arial" w:hAnsi="Arial" w:cs="Arial"/>
          <w:lang w:eastAsia="en-US"/>
        </w:rPr>
        <w:t xml:space="preserve">Service </w:t>
      </w:r>
      <w:r>
        <w:rPr>
          <w:rFonts w:ascii="Arial" w:hAnsi="Arial" w:cs="Arial"/>
          <w:lang w:eastAsia="en-US"/>
        </w:rPr>
        <w:t>Providers may use t</w:t>
      </w:r>
      <w:r w:rsidR="00CE53FE" w:rsidRPr="00B61725">
        <w:rPr>
          <w:rFonts w:ascii="Arial" w:hAnsi="Arial" w:cs="Arial"/>
          <w:lang w:eastAsia="en-US"/>
        </w:rPr>
        <w:t>his service:</w:t>
      </w:r>
    </w:p>
    <w:p w14:paraId="2E6083E1" w14:textId="619FDE16" w:rsidR="00CE53FE" w:rsidRPr="00B61725" w:rsidRDefault="00CE53FE" w:rsidP="00B61725">
      <w:pPr>
        <w:pStyle w:val="xxmsolistparagraph"/>
        <w:numPr>
          <w:ilvl w:val="0"/>
          <w:numId w:val="38"/>
        </w:numPr>
        <w:spacing w:before="60" w:after="60" w:line="320" w:lineRule="exact"/>
        <w:ind w:left="426" w:hanging="426"/>
        <w:rPr>
          <w:rFonts w:ascii="Arial" w:hAnsi="Arial" w:cs="Arial"/>
          <w:lang w:eastAsia="en-US"/>
        </w:rPr>
      </w:pPr>
      <w:r w:rsidRPr="00B61725">
        <w:rPr>
          <w:rFonts w:ascii="Arial" w:hAnsi="Arial" w:cs="Arial"/>
          <w:lang w:eastAsia="en-US"/>
        </w:rPr>
        <w:t xml:space="preserve">To validate the STP </w:t>
      </w:r>
      <w:r w:rsidR="004C5C1B">
        <w:rPr>
          <w:rFonts w:ascii="Arial" w:hAnsi="Arial" w:cs="Arial"/>
          <w:lang w:eastAsia="en-US"/>
        </w:rPr>
        <w:t>pay</w:t>
      </w:r>
      <w:r w:rsidR="00E06946">
        <w:rPr>
          <w:rFonts w:ascii="Arial" w:hAnsi="Arial" w:cs="Arial"/>
          <w:lang w:eastAsia="en-US"/>
        </w:rPr>
        <w:t xml:space="preserve"> </w:t>
      </w:r>
      <w:r w:rsidR="004C5C1B">
        <w:rPr>
          <w:rFonts w:ascii="Arial" w:hAnsi="Arial" w:cs="Arial"/>
          <w:lang w:eastAsia="en-US"/>
        </w:rPr>
        <w:t>events</w:t>
      </w:r>
      <w:r w:rsidRPr="00B61725">
        <w:rPr>
          <w:rFonts w:ascii="Arial" w:hAnsi="Arial" w:cs="Arial"/>
          <w:lang w:eastAsia="en-US"/>
        </w:rPr>
        <w:t xml:space="preserve"> </w:t>
      </w:r>
      <w:r w:rsidR="004C5C1B">
        <w:rPr>
          <w:rFonts w:ascii="Arial" w:hAnsi="Arial" w:cs="Arial"/>
          <w:lang w:eastAsia="en-US"/>
        </w:rPr>
        <w:t xml:space="preserve">the ATO has on record </w:t>
      </w:r>
      <w:r w:rsidRPr="00B61725">
        <w:rPr>
          <w:rFonts w:ascii="Arial" w:hAnsi="Arial" w:cs="Arial"/>
          <w:lang w:eastAsia="en-US"/>
        </w:rPr>
        <w:t xml:space="preserve">against the payroll to ensure there are no missed </w:t>
      </w:r>
      <w:r w:rsidR="00C56683">
        <w:rPr>
          <w:rFonts w:ascii="Arial" w:hAnsi="Arial" w:cs="Arial"/>
          <w:lang w:eastAsia="en-US"/>
        </w:rPr>
        <w:t>pay</w:t>
      </w:r>
      <w:r w:rsidR="00E06946">
        <w:rPr>
          <w:rFonts w:ascii="Arial" w:hAnsi="Arial" w:cs="Arial"/>
          <w:lang w:eastAsia="en-US"/>
        </w:rPr>
        <w:t xml:space="preserve"> </w:t>
      </w:r>
      <w:r w:rsidR="00C56683">
        <w:rPr>
          <w:rFonts w:ascii="Arial" w:hAnsi="Arial" w:cs="Arial"/>
          <w:lang w:eastAsia="en-US"/>
        </w:rPr>
        <w:t>events</w:t>
      </w:r>
      <w:r w:rsidRPr="00B61725">
        <w:rPr>
          <w:rFonts w:ascii="Arial" w:hAnsi="Arial" w:cs="Arial"/>
          <w:lang w:eastAsia="en-US"/>
        </w:rPr>
        <w:t xml:space="preserve">: </w:t>
      </w:r>
    </w:p>
    <w:p w14:paraId="47B018B1" w14:textId="22EC7F39" w:rsidR="00CE53FE" w:rsidRPr="00B61725" w:rsidRDefault="00CE53FE" w:rsidP="00B61725">
      <w:pPr>
        <w:pStyle w:val="xxmsolistparagraph"/>
        <w:numPr>
          <w:ilvl w:val="1"/>
          <w:numId w:val="38"/>
        </w:numPr>
        <w:spacing w:before="60" w:after="60" w:line="320" w:lineRule="exact"/>
        <w:ind w:left="1434" w:hanging="357"/>
        <w:contextualSpacing/>
        <w:rPr>
          <w:rFonts w:ascii="Arial" w:hAnsi="Arial" w:cs="Arial"/>
          <w:lang w:eastAsia="en-US"/>
        </w:rPr>
      </w:pPr>
      <w:r w:rsidRPr="00B61725">
        <w:rPr>
          <w:rFonts w:ascii="Arial" w:hAnsi="Arial" w:cs="Arial"/>
          <w:lang w:eastAsia="en-US"/>
        </w:rPr>
        <w:t xml:space="preserve">For small and medium withholders prior to lodging their </w:t>
      </w:r>
      <w:r w:rsidR="008A2007">
        <w:rPr>
          <w:rFonts w:ascii="Arial" w:hAnsi="Arial" w:cs="Arial"/>
          <w:lang w:eastAsia="en-US"/>
        </w:rPr>
        <w:t>Business Activity Statement (</w:t>
      </w:r>
      <w:r w:rsidRPr="00B61725">
        <w:rPr>
          <w:rFonts w:ascii="Arial" w:hAnsi="Arial" w:cs="Arial"/>
          <w:lang w:eastAsia="en-US"/>
        </w:rPr>
        <w:t>BAS</w:t>
      </w:r>
      <w:r w:rsidR="008A2007">
        <w:rPr>
          <w:rFonts w:ascii="Arial" w:hAnsi="Arial" w:cs="Arial"/>
          <w:lang w:eastAsia="en-US"/>
        </w:rPr>
        <w:t>)</w:t>
      </w:r>
    </w:p>
    <w:p w14:paraId="49B022DB" w14:textId="4B8575A0" w:rsidR="00CE53FE" w:rsidRPr="00B61725" w:rsidRDefault="00CE53FE" w:rsidP="00B61725">
      <w:pPr>
        <w:pStyle w:val="xxmsolistparagraph"/>
        <w:numPr>
          <w:ilvl w:val="1"/>
          <w:numId w:val="38"/>
        </w:numPr>
        <w:spacing w:before="60" w:after="60" w:line="320" w:lineRule="exact"/>
        <w:ind w:left="1434" w:hanging="357"/>
        <w:contextualSpacing/>
        <w:rPr>
          <w:rFonts w:ascii="Arial" w:hAnsi="Arial" w:cs="Arial"/>
          <w:lang w:eastAsia="en-US"/>
        </w:rPr>
      </w:pPr>
      <w:r w:rsidRPr="00B61725">
        <w:rPr>
          <w:rFonts w:ascii="Arial" w:hAnsi="Arial" w:cs="Arial"/>
          <w:lang w:eastAsia="en-US"/>
        </w:rPr>
        <w:t>For large withholders prior to making payment</w:t>
      </w:r>
      <w:r w:rsidR="00B4076C">
        <w:rPr>
          <w:rFonts w:ascii="Arial" w:hAnsi="Arial" w:cs="Arial"/>
          <w:lang w:eastAsia="en-US"/>
        </w:rPr>
        <w:t>.</w:t>
      </w:r>
    </w:p>
    <w:p w14:paraId="0535FC43" w14:textId="2F1D51E1" w:rsidR="00CE53FE" w:rsidRPr="00B61725" w:rsidRDefault="00CE53FE" w:rsidP="00B61725">
      <w:pPr>
        <w:pStyle w:val="xxmsolistparagraph"/>
        <w:numPr>
          <w:ilvl w:val="0"/>
          <w:numId w:val="38"/>
        </w:numPr>
        <w:spacing w:before="120" w:after="120" w:line="320" w:lineRule="exact"/>
        <w:ind w:left="425" w:hanging="425"/>
        <w:rPr>
          <w:rFonts w:ascii="Arial" w:hAnsi="Arial" w:cs="Arial"/>
          <w:lang w:eastAsia="en-US"/>
        </w:rPr>
      </w:pPr>
      <w:r w:rsidRPr="00B61725">
        <w:rPr>
          <w:rFonts w:ascii="Arial" w:hAnsi="Arial" w:cs="Arial"/>
          <w:lang w:eastAsia="en-US"/>
        </w:rPr>
        <w:t>To provide payers with a summary view of the STP pay</w:t>
      </w:r>
      <w:r w:rsidR="00FB306D" w:rsidRPr="00D973B0">
        <w:rPr>
          <w:rFonts w:ascii="Arial" w:hAnsi="Arial" w:cs="Arial"/>
          <w:lang w:eastAsia="en-US"/>
        </w:rPr>
        <w:t xml:space="preserve"> </w:t>
      </w:r>
      <w:r w:rsidRPr="00B61725">
        <w:rPr>
          <w:rFonts w:ascii="Arial" w:hAnsi="Arial" w:cs="Arial"/>
          <w:lang w:eastAsia="en-US"/>
        </w:rPr>
        <w:t xml:space="preserve">events and their related payer totals that the ATO has on record, from within their product.  </w:t>
      </w:r>
    </w:p>
    <w:p w14:paraId="727F226E" w14:textId="252C7738" w:rsidR="00A46E91" w:rsidRDefault="00CE53FE" w:rsidP="00B61725">
      <w:pPr>
        <w:pStyle w:val="xxmsolistparagraph"/>
        <w:numPr>
          <w:ilvl w:val="0"/>
          <w:numId w:val="38"/>
        </w:numPr>
        <w:spacing w:before="120" w:after="120" w:line="320" w:lineRule="exact"/>
        <w:ind w:left="426" w:hanging="426"/>
        <w:rPr>
          <w:rFonts w:ascii="Arial" w:hAnsi="Arial" w:cs="Arial"/>
          <w:lang w:eastAsia="en-US"/>
        </w:rPr>
      </w:pPr>
      <w:r w:rsidRPr="00B61725">
        <w:rPr>
          <w:rFonts w:ascii="Arial" w:hAnsi="Arial" w:cs="Arial"/>
          <w:lang w:eastAsia="en-US"/>
        </w:rPr>
        <w:t xml:space="preserve">To provide </w:t>
      </w:r>
      <w:r w:rsidR="00FB306D">
        <w:rPr>
          <w:rFonts w:ascii="Arial" w:hAnsi="Arial" w:cs="Arial"/>
          <w:lang w:eastAsia="en-US"/>
        </w:rPr>
        <w:t>s</w:t>
      </w:r>
      <w:r w:rsidRPr="00B61725">
        <w:rPr>
          <w:rFonts w:ascii="Arial" w:hAnsi="Arial" w:cs="Arial"/>
          <w:lang w:eastAsia="en-US"/>
        </w:rPr>
        <w:t xml:space="preserve">mall and medium </w:t>
      </w:r>
      <w:proofErr w:type="spellStart"/>
      <w:r w:rsidRPr="00B61725">
        <w:rPr>
          <w:rFonts w:ascii="Arial" w:hAnsi="Arial" w:cs="Arial"/>
          <w:lang w:eastAsia="en-US"/>
        </w:rPr>
        <w:t>withholders</w:t>
      </w:r>
      <w:proofErr w:type="spellEnd"/>
      <w:r w:rsidRPr="00B61725">
        <w:rPr>
          <w:rFonts w:ascii="Arial" w:hAnsi="Arial" w:cs="Arial"/>
          <w:lang w:eastAsia="en-US"/>
        </w:rPr>
        <w:t xml:space="preserve"> with a view of the STP pay</w:t>
      </w:r>
      <w:r w:rsidR="00FB306D">
        <w:rPr>
          <w:rFonts w:ascii="Arial" w:hAnsi="Arial" w:cs="Arial"/>
          <w:lang w:eastAsia="en-US"/>
        </w:rPr>
        <w:t xml:space="preserve"> </w:t>
      </w:r>
      <w:r w:rsidRPr="00B61725">
        <w:rPr>
          <w:rFonts w:ascii="Arial" w:hAnsi="Arial" w:cs="Arial"/>
          <w:lang w:eastAsia="en-US"/>
        </w:rPr>
        <w:t xml:space="preserve">events that make up their ATO </w:t>
      </w:r>
      <w:r w:rsidR="008A2007">
        <w:rPr>
          <w:rFonts w:ascii="Arial" w:hAnsi="Arial" w:cs="Arial"/>
          <w:lang w:eastAsia="en-US"/>
        </w:rPr>
        <w:t xml:space="preserve">Pay </w:t>
      </w:r>
      <w:proofErr w:type="gramStart"/>
      <w:r w:rsidR="00B706C7">
        <w:rPr>
          <w:rFonts w:ascii="Arial" w:hAnsi="Arial" w:cs="Arial"/>
          <w:lang w:eastAsia="en-US"/>
        </w:rPr>
        <w:t>A</w:t>
      </w:r>
      <w:r w:rsidR="008A2007">
        <w:rPr>
          <w:rFonts w:ascii="Arial" w:hAnsi="Arial" w:cs="Arial"/>
          <w:lang w:eastAsia="en-US"/>
        </w:rPr>
        <w:t>s</w:t>
      </w:r>
      <w:proofErr w:type="gramEnd"/>
      <w:r w:rsidR="008A2007">
        <w:rPr>
          <w:rFonts w:ascii="Arial" w:hAnsi="Arial" w:cs="Arial"/>
          <w:lang w:eastAsia="en-US"/>
        </w:rPr>
        <w:t xml:space="preserve"> </w:t>
      </w:r>
      <w:r w:rsidR="00B706C7">
        <w:rPr>
          <w:rFonts w:ascii="Arial" w:hAnsi="Arial" w:cs="Arial"/>
          <w:lang w:eastAsia="en-US"/>
        </w:rPr>
        <w:t>Y</w:t>
      </w:r>
      <w:r w:rsidR="008A2007">
        <w:rPr>
          <w:rFonts w:ascii="Arial" w:hAnsi="Arial" w:cs="Arial"/>
          <w:lang w:eastAsia="en-US"/>
        </w:rPr>
        <w:t xml:space="preserve">ou </w:t>
      </w:r>
      <w:r w:rsidR="00B706C7">
        <w:rPr>
          <w:rFonts w:ascii="Arial" w:hAnsi="Arial" w:cs="Arial"/>
          <w:lang w:eastAsia="en-US"/>
        </w:rPr>
        <w:t>G</w:t>
      </w:r>
      <w:r w:rsidR="008A2007">
        <w:rPr>
          <w:rFonts w:ascii="Arial" w:hAnsi="Arial" w:cs="Arial"/>
          <w:lang w:eastAsia="en-US"/>
        </w:rPr>
        <w:t xml:space="preserve">o </w:t>
      </w:r>
      <w:r w:rsidR="00B706C7">
        <w:rPr>
          <w:rFonts w:ascii="Arial" w:hAnsi="Arial" w:cs="Arial"/>
          <w:lang w:eastAsia="en-US"/>
        </w:rPr>
        <w:t>W</w:t>
      </w:r>
      <w:r w:rsidR="008A2007">
        <w:rPr>
          <w:rFonts w:ascii="Arial" w:hAnsi="Arial" w:cs="Arial"/>
          <w:lang w:eastAsia="en-US"/>
        </w:rPr>
        <w:t>ithholding (</w:t>
      </w:r>
      <w:r w:rsidRPr="00B61725">
        <w:rPr>
          <w:rFonts w:ascii="Arial" w:hAnsi="Arial" w:cs="Arial"/>
          <w:lang w:eastAsia="en-US"/>
        </w:rPr>
        <w:t>PAYGW</w:t>
      </w:r>
      <w:r w:rsidR="008A2007">
        <w:rPr>
          <w:rFonts w:ascii="Arial" w:hAnsi="Arial" w:cs="Arial"/>
          <w:lang w:eastAsia="en-US"/>
        </w:rPr>
        <w:t>)</w:t>
      </w:r>
      <w:r w:rsidRPr="00B61725">
        <w:rPr>
          <w:rFonts w:ascii="Arial" w:hAnsi="Arial" w:cs="Arial"/>
          <w:lang w:eastAsia="en-US"/>
        </w:rPr>
        <w:t xml:space="preserve"> </w:t>
      </w:r>
      <w:r w:rsidR="00B4076C">
        <w:rPr>
          <w:rFonts w:ascii="Arial" w:hAnsi="Arial" w:cs="Arial"/>
          <w:lang w:eastAsia="en-US"/>
        </w:rPr>
        <w:t>p</w:t>
      </w:r>
      <w:r w:rsidRPr="00B61725">
        <w:rPr>
          <w:rFonts w:ascii="Arial" w:hAnsi="Arial" w:cs="Arial"/>
          <w:lang w:eastAsia="en-US"/>
        </w:rPr>
        <w:t>re-fill for a specific month or quarter. The ATO provides this view to payers when they prepare their activity statement in ATO Online</w:t>
      </w:r>
      <w:r w:rsidR="008A2007">
        <w:rPr>
          <w:rStyle w:val="FootnoteReference"/>
          <w:rFonts w:ascii="Arial" w:hAnsi="Arial" w:cs="Arial"/>
          <w:lang w:eastAsia="en-US"/>
        </w:rPr>
        <w:footnoteReference w:id="1"/>
      </w:r>
      <w:r w:rsidRPr="00B61725">
        <w:rPr>
          <w:rFonts w:ascii="Arial" w:hAnsi="Arial" w:cs="Arial"/>
          <w:lang w:eastAsia="en-US"/>
        </w:rPr>
        <w:t xml:space="preserve">, </w:t>
      </w:r>
      <w:r w:rsidR="008A2007">
        <w:rPr>
          <w:rFonts w:ascii="Arial" w:hAnsi="Arial" w:cs="Arial"/>
          <w:lang w:eastAsia="en-US"/>
        </w:rPr>
        <w:t xml:space="preserve"> </w:t>
      </w:r>
      <w:r w:rsidRPr="00B61725">
        <w:rPr>
          <w:rFonts w:ascii="Arial" w:hAnsi="Arial" w:cs="Arial"/>
          <w:lang w:eastAsia="en-US"/>
        </w:rPr>
        <w:t>provided they have reported pay</w:t>
      </w:r>
      <w:r w:rsidR="00FB306D">
        <w:rPr>
          <w:rFonts w:ascii="Arial" w:hAnsi="Arial" w:cs="Arial"/>
          <w:lang w:eastAsia="en-US"/>
        </w:rPr>
        <w:t xml:space="preserve"> </w:t>
      </w:r>
      <w:r w:rsidRPr="00B61725">
        <w:rPr>
          <w:rFonts w:ascii="Arial" w:hAnsi="Arial" w:cs="Arial"/>
          <w:lang w:eastAsia="en-US"/>
        </w:rPr>
        <w:t xml:space="preserve">events for the period.  </w:t>
      </w:r>
    </w:p>
    <w:p w14:paraId="031B3B82" w14:textId="04D21D9B" w:rsidR="00CE53FE" w:rsidRPr="00B61725" w:rsidRDefault="00CE53FE" w:rsidP="003E1826">
      <w:pPr>
        <w:pStyle w:val="xxmsolistparagraph"/>
        <w:spacing w:before="120" w:after="120" w:line="320" w:lineRule="exact"/>
        <w:ind w:left="0"/>
        <w:rPr>
          <w:rFonts w:ascii="Arial" w:hAnsi="Arial" w:cs="Arial"/>
          <w:lang w:eastAsia="en-US"/>
        </w:rPr>
      </w:pPr>
      <w:r w:rsidRPr="003E1826">
        <w:rPr>
          <w:rFonts w:ascii="Arial" w:hAnsi="Arial" w:cs="Arial"/>
          <w:b/>
          <w:bCs/>
          <w:lang w:eastAsia="en-US"/>
        </w:rPr>
        <w:t>Note:</w:t>
      </w:r>
      <w:r w:rsidRPr="00B61725">
        <w:rPr>
          <w:rFonts w:ascii="Arial" w:hAnsi="Arial" w:cs="Arial"/>
          <w:lang w:eastAsia="en-US"/>
        </w:rPr>
        <w:t xml:space="preserve"> The service should not be used to establish pre-fill amounts for activity statement pre-fill purposes</w:t>
      </w:r>
      <w:r w:rsidR="00FB306D">
        <w:rPr>
          <w:rFonts w:ascii="Arial" w:hAnsi="Arial" w:cs="Arial"/>
          <w:lang w:eastAsia="en-US"/>
        </w:rPr>
        <w:t>.</w:t>
      </w:r>
      <w:r w:rsidRPr="00B61725">
        <w:rPr>
          <w:rFonts w:ascii="Arial" w:hAnsi="Arial" w:cs="Arial"/>
          <w:lang w:eastAsia="en-US"/>
        </w:rPr>
        <w:t xml:space="preserve"> DSPs wishing to offer pre</w:t>
      </w:r>
      <w:r w:rsidR="00B65882">
        <w:rPr>
          <w:rFonts w:ascii="Arial" w:hAnsi="Arial" w:cs="Arial"/>
          <w:lang w:eastAsia="en-US"/>
        </w:rPr>
        <w:t>-</w:t>
      </w:r>
      <w:r w:rsidRPr="00B61725">
        <w:rPr>
          <w:rFonts w:ascii="Arial" w:hAnsi="Arial" w:cs="Arial"/>
          <w:lang w:eastAsia="en-US"/>
        </w:rPr>
        <w:t>fill should refer to the Activity Statement Service 2023.</w:t>
      </w:r>
    </w:p>
    <w:p w14:paraId="3DC205ED" w14:textId="519AE1F4" w:rsidR="00054BB7" w:rsidRDefault="00054BB7">
      <w:pPr>
        <w:spacing w:before="0" w:after="160" w:line="259" w:lineRule="auto"/>
      </w:pPr>
      <w:r>
        <w:br w:type="page"/>
      </w:r>
    </w:p>
    <w:p w14:paraId="2AEB74B2" w14:textId="73AA3967" w:rsidR="006B5138" w:rsidRDefault="006B5138" w:rsidP="00944D9B">
      <w:pPr>
        <w:pStyle w:val="Heading1"/>
      </w:pPr>
      <w:bookmarkStart w:id="39" w:name="_Toc163561817"/>
      <w:bookmarkStart w:id="40" w:name="_Toc164157527"/>
      <w:bookmarkStart w:id="41" w:name="_Toc163561818"/>
      <w:bookmarkStart w:id="42" w:name="_Toc164157528"/>
      <w:bookmarkStart w:id="43" w:name="_Toc145506256"/>
      <w:bookmarkStart w:id="44" w:name="_Toc145506316"/>
      <w:bookmarkStart w:id="45" w:name="_Toc145506257"/>
      <w:bookmarkStart w:id="46" w:name="_Toc145506317"/>
      <w:bookmarkStart w:id="47" w:name="_Toc145506258"/>
      <w:bookmarkStart w:id="48" w:name="_Toc145506318"/>
      <w:bookmarkStart w:id="49" w:name="_Toc145506259"/>
      <w:bookmarkStart w:id="50" w:name="_Toc145506319"/>
      <w:bookmarkStart w:id="51" w:name="_Toc145506260"/>
      <w:bookmarkStart w:id="52" w:name="_Toc145506320"/>
      <w:bookmarkStart w:id="53" w:name="_Toc164157529"/>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Interactions and Channels</w:t>
      </w:r>
      <w:bookmarkEnd w:id="53"/>
    </w:p>
    <w:p w14:paraId="28CEFC83" w14:textId="1E81C902" w:rsidR="00BB7F28" w:rsidRDefault="00BB7F28" w:rsidP="00283171">
      <w:pPr>
        <w:pStyle w:val="Heading2"/>
      </w:pPr>
      <w:bookmarkStart w:id="54" w:name="_Toc164157530"/>
      <w:r>
        <w:t>Interactions</w:t>
      </w:r>
      <w:bookmarkEnd w:id="54"/>
    </w:p>
    <w:p w14:paraId="52CC9A05" w14:textId="70B44585" w:rsidR="00F23248" w:rsidRDefault="00F23248" w:rsidP="00F23248">
      <w:r>
        <w:t xml:space="preserve">The </w:t>
      </w:r>
      <w:proofErr w:type="spellStart"/>
      <w:r w:rsidR="00A574C9">
        <w:t>PayEvent</w:t>
      </w:r>
      <w:proofErr w:type="spellEnd"/>
      <w:r w:rsidR="00A574C9">
        <w:t xml:space="preserve"> Lis</w:t>
      </w:r>
      <w:r w:rsidR="00F020F4">
        <w:t>t</w:t>
      </w:r>
      <w:r>
        <w:t xml:space="preserve"> </w:t>
      </w:r>
      <w:r w:rsidR="00EC535D">
        <w:t>service</w:t>
      </w:r>
      <w:r>
        <w:t xml:space="preserve"> consist</w:t>
      </w:r>
      <w:r w:rsidR="008B27B1">
        <w:t>s</w:t>
      </w:r>
      <w:r>
        <w:t xml:space="preserve"> of the following interactions:</w:t>
      </w:r>
    </w:p>
    <w:p w14:paraId="4EDBEE23" w14:textId="6C99ABE4" w:rsidR="00922E36" w:rsidRPr="00922E36" w:rsidRDefault="00922E36" w:rsidP="00F23248">
      <w:pPr>
        <w:rPr>
          <w:b/>
          <w:bCs/>
        </w:rPr>
      </w:pPr>
      <w:bookmarkStart w:id="55" w:name="_Toc135315761"/>
      <w:r w:rsidRPr="00922E36">
        <w:rPr>
          <w:b/>
          <w:bCs/>
        </w:rPr>
        <w:t xml:space="preserve">Table 1: Interactions available in the </w:t>
      </w:r>
      <w:proofErr w:type="spellStart"/>
      <w:r w:rsidRPr="00922E36">
        <w:rPr>
          <w:b/>
          <w:bCs/>
        </w:rPr>
        <w:t>PayEvent</w:t>
      </w:r>
      <w:proofErr w:type="spellEnd"/>
      <w:r w:rsidRPr="00922E36">
        <w:rPr>
          <w:b/>
          <w:bCs/>
        </w:rPr>
        <w:t xml:space="preserve"> List </w:t>
      </w:r>
      <w:bookmarkEnd w:id="55"/>
      <w:r w:rsidRPr="00922E36">
        <w:rPr>
          <w:b/>
          <w:bCs/>
        </w:rPr>
        <w:t>service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2693"/>
        <w:gridCol w:w="1134"/>
        <w:gridCol w:w="1134"/>
      </w:tblGrid>
      <w:tr w:rsidR="0071595E" w:rsidRPr="008C5E18" w14:paraId="2C2E43BA" w14:textId="7F90A350" w:rsidTr="0071595E">
        <w:tc>
          <w:tcPr>
            <w:tcW w:w="1129" w:type="dxa"/>
            <w:shd w:val="clear" w:color="auto" w:fill="D9E2F3" w:themeFill="accent1" w:themeFillTint="33"/>
          </w:tcPr>
          <w:p w14:paraId="2B02F0FC" w14:textId="7DD85EA8" w:rsidR="0071595E" w:rsidRPr="007335C1" w:rsidRDefault="0071595E" w:rsidP="0082300C">
            <w:pPr>
              <w:pStyle w:val="Tabletext"/>
              <w:rPr>
                <w:b/>
                <w:bCs/>
              </w:rPr>
            </w:pPr>
            <w:r>
              <w:rPr>
                <w:b/>
                <w:bCs/>
              </w:rPr>
              <w:t>Service</w:t>
            </w:r>
          </w:p>
        </w:tc>
        <w:tc>
          <w:tcPr>
            <w:tcW w:w="2127" w:type="dxa"/>
            <w:shd w:val="clear" w:color="auto" w:fill="D9E2F3" w:themeFill="accent1" w:themeFillTint="33"/>
          </w:tcPr>
          <w:p w14:paraId="2AE3C465" w14:textId="6DE68ADF" w:rsidR="0071595E" w:rsidRPr="007335C1" w:rsidRDefault="0071595E" w:rsidP="0082300C">
            <w:pPr>
              <w:pStyle w:val="Tabletext"/>
              <w:rPr>
                <w:b/>
                <w:bCs/>
              </w:rPr>
            </w:pPr>
            <w:r>
              <w:rPr>
                <w:b/>
                <w:bCs/>
              </w:rPr>
              <w:t>Interaction</w:t>
            </w:r>
          </w:p>
        </w:tc>
        <w:tc>
          <w:tcPr>
            <w:tcW w:w="2693" w:type="dxa"/>
            <w:shd w:val="clear" w:color="auto" w:fill="D9E2F3" w:themeFill="accent1" w:themeFillTint="33"/>
          </w:tcPr>
          <w:p w14:paraId="7EF23027" w14:textId="708122E2" w:rsidR="0071595E" w:rsidRPr="007335C1" w:rsidRDefault="0071595E" w:rsidP="0082300C">
            <w:pPr>
              <w:pStyle w:val="Tabletext"/>
              <w:rPr>
                <w:b/>
                <w:bCs/>
              </w:rPr>
            </w:pPr>
            <w:r>
              <w:rPr>
                <w:b/>
                <w:bCs/>
              </w:rPr>
              <w:t>Detail</w:t>
            </w:r>
          </w:p>
        </w:tc>
        <w:tc>
          <w:tcPr>
            <w:tcW w:w="1134" w:type="dxa"/>
            <w:shd w:val="clear" w:color="auto" w:fill="D9E2F3" w:themeFill="accent1" w:themeFillTint="33"/>
          </w:tcPr>
          <w:p w14:paraId="41C18817" w14:textId="186D943B" w:rsidR="0071595E" w:rsidRDefault="0071595E" w:rsidP="0082300C">
            <w:pPr>
              <w:pStyle w:val="Tabletext"/>
              <w:rPr>
                <w:b/>
                <w:bCs/>
              </w:rPr>
            </w:pPr>
            <w:r>
              <w:rPr>
                <w:b/>
                <w:bCs/>
              </w:rPr>
              <w:t>Single</w:t>
            </w:r>
          </w:p>
        </w:tc>
        <w:tc>
          <w:tcPr>
            <w:tcW w:w="1134" w:type="dxa"/>
            <w:shd w:val="clear" w:color="auto" w:fill="D9E2F3" w:themeFill="accent1" w:themeFillTint="33"/>
          </w:tcPr>
          <w:p w14:paraId="6AD622A8" w14:textId="34732E3C" w:rsidR="0071595E" w:rsidRDefault="0071595E" w:rsidP="0082300C">
            <w:pPr>
              <w:pStyle w:val="Tabletext"/>
              <w:rPr>
                <w:b/>
                <w:bCs/>
              </w:rPr>
            </w:pPr>
            <w:r>
              <w:rPr>
                <w:b/>
                <w:bCs/>
              </w:rPr>
              <w:t>Batch</w:t>
            </w:r>
          </w:p>
        </w:tc>
      </w:tr>
      <w:tr w:rsidR="0071595E" w:rsidRPr="008C5E18" w14:paraId="5CF3C494" w14:textId="33FC64C5" w:rsidTr="0071595E">
        <w:tc>
          <w:tcPr>
            <w:tcW w:w="1129" w:type="dxa"/>
          </w:tcPr>
          <w:p w14:paraId="05E8FE48" w14:textId="49F7909A" w:rsidR="0071595E" w:rsidRPr="007335C1" w:rsidRDefault="0071595E" w:rsidP="0082300C">
            <w:pPr>
              <w:pStyle w:val="Tabletext"/>
              <w:rPr>
                <w:bCs/>
                <w:i/>
                <w:color w:val="000000"/>
              </w:rPr>
            </w:pPr>
            <w:r>
              <w:t>List</w:t>
            </w:r>
          </w:p>
        </w:tc>
        <w:tc>
          <w:tcPr>
            <w:tcW w:w="2127" w:type="dxa"/>
          </w:tcPr>
          <w:p w14:paraId="566FBD1D" w14:textId="4F4BBB0C" w:rsidR="0071595E" w:rsidRPr="007335C1" w:rsidRDefault="0071595E" w:rsidP="0082300C">
            <w:pPr>
              <w:pStyle w:val="Tabletext"/>
              <w:rPr>
                <w:color w:val="000000"/>
              </w:rPr>
            </w:pPr>
            <w:proofErr w:type="spellStart"/>
            <w:proofErr w:type="gramStart"/>
            <w:r w:rsidRPr="007335C1">
              <w:t>payevntrecon.list</w:t>
            </w:r>
            <w:proofErr w:type="spellEnd"/>
            <w:proofErr w:type="gramEnd"/>
          </w:p>
        </w:tc>
        <w:tc>
          <w:tcPr>
            <w:tcW w:w="2693" w:type="dxa"/>
          </w:tcPr>
          <w:p w14:paraId="17B6DAC7" w14:textId="4B0B3384" w:rsidR="0071595E" w:rsidRPr="007335C1" w:rsidRDefault="0071595E" w:rsidP="0082300C">
            <w:pPr>
              <w:pStyle w:val="Tabletext"/>
              <w:rPr>
                <w:color w:val="000000"/>
              </w:rPr>
            </w:pPr>
            <w:r>
              <w:rPr>
                <w:color w:val="000000"/>
              </w:rPr>
              <w:t xml:space="preserve">Request a list of successfully processed STP Submit action, </w:t>
            </w:r>
            <w:r w:rsidR="00F77DF4">
              <w:rPr>
                <w:color w:val="000000"/>
              </w:rPr>
              <w:t>U</w:t>
            </w:r>
            <w:r>
              <w:rPr>
                <w:color w:val="000000"/>
              </w:rPr>
              <w:t xml:space="preserve">pdate and Adjust action for a specified period </w:t>
            </w:r>
          </w:p>
        </w:tc>
        <w:tc>
          <w:tcPr>
            <w:tcW w:w="1134" w:type="dxa"/>
          </w:tcPr>
          <w:p w14:paraId="57A07CF2" w14:textId="178177FB" w:rsidR="0071595E" w:rsidRPr="007335C1" w:rsidRDefault="0071595E" w:rsidP="0082300C">
            <w:pPr>
              <w:pStyle w:val="Tabletext"/>
              <w:rPr>
                <w:color w:val="000000"/>
              </w:rPr>
            </w:pPr>
            <w:r>
              <w:rPr>
                <w:color w:val="000000"/>
              </w:rPr>
              <w:t>Y</w:t>
            </w:r>
          </w:p>
        </w:tc>
        <w:tc>
          <w:tcPr>
            <w:tcW w:w="1134" w:type="dxa"/>
          </w:tcPr>
          <w:p w14:paraId="74B29608" w14:textId="388EC175" w:rsidR="0071595E" w:rsidRPr="007335C1" w:rsidRDefault="0071595E" w:rsidP="0082300C">
            <w:pPr>
              <w:pStyle w:val="Tabletext"/>
              <w:rPr>
                <w:color w:val="000000"/>
              </w:rPr>
            </w:pPr>
            <w:r w:rsidRPr="007335C1">
              <w:rPr>
                <w:color w:val="000000"/>
              </w:rPr>
              <w:t>Y</w:t>
            </w:r>
          </w:p>
        </w:tc>
      </w:tr>
    </w:tbl>
    <w:p w14:paraId="5229A06E" w14:textId="5AC926E8" w:rsidR="00F23248" w:rsidRDefault="0088383C" w:rsidP="00283171">
      <w:pPr>
        <w:pStyle w:val="Heading2"/>
      </w:pPr>
      <w:bookmarkStart w:id="56" w:name="_Toc164157531"/>
      <w:r>
        <w:t>Channels</w:t>
      </w:r>
      <w:bookmarkEnd w:id="56"/>
    </w:p>
    <w:p w14:paraId="7D2661AA" w14:textId="77777777" w:rsidR="00682EF5" w:rsidRPr="00C754C5" w:rsidRDefault="00682EF5" w:rsidP="00682EF5">
      <w:pPr>
        <w:pStyle w:val="Caption"/>
      </w:pPr>
      <w:bookmarkStart w:id="57" w:name="_Toc135315762"/>
      <w:r>
        <w:t xml:space="preserve">Table 2: </w:t>
      </w:r>
      <w:r w:rsidRPr="00E34982">
        <w:t xml:space="preserve">Interactions available in the channel for </w:t>
      </w:r>
      <w:proofErr w:type="spellStart"/>
      <w:r>
        <w:t>PayEvent</w:t>
      </w:r>
      <w:proofErr w:type="spellEnd"/>
      <w:r>
        <w:t xml:space="preserve"> List</w:t>
      </w:r>
      <w:r w:rsidRPr="00E34982">
        <w:t xml:space="preserve"> </w:t>
      </w:r>
      <w:r>
        <w:t>service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835"/>
        <w:gridCol w:w="2693"/>
      </w:tblGrid>
      <w:tr w:rsidR="00682EF5" w:rsidRPr="008C5E18" w14:paraId="070AEEC0" w14:textId="77777777" w:rsidTr="003E1826">
        <w:tc>
          <w:tcPr>
            <w:tcW w:w="2689" w:type="dxa"/>
            <w:shd w:val="clear" w:color="auto" w:fill="D9E2F3" w:themeFill="accent1" w:themeFillTint="33"/>
          </w:tcPr>
          <w:p w14:paraId="447DAD85" w14:textId="77777777" w:rsidR="00682EF5" w:rsidRPr="007335C1" w:rsidRDefault="00682EF5" w:rsidP="00A30507">
            <w:pPr>
              <w:pStyle w:val="Tabletext"/>
              <w:rPr>
                <w:b/>
                <w:bCs/>
              </w:rPr>
            </w:pPr>
            <w:r w:rsidRPr="007335C1">
              <w:rPr>
                <w:b/>
                <w:bCs/>
              </w:rPr>
              <w:t>Interaction</w:t>
            </w:r>
          </w:p>
        </w:tc>
        <w:tc>
          <w:tcPr>
            <w:tcW w:w="2835" w:type="dxa"/>
            <w:shd w:val="clear" w:color="auto" w:fill="D9E2F3" w:themeFill="accent1" w:themeFillTint="33"/>
          </w:tcPr>
          <w:p w14:paraId="24769D69" w14:textId="77777777" w:rsidR="00682EF5" w:rsidRPr="007335C1" w:rsidRDefault="00682EF5" w:rsidP="00A30507">
            <w:pPr>
              <w:pStyle w:val="Tabletext"/>
              <w:rPr>
                <w:b/>
                <w:bCs/>
              </w:rPr>
            </w:pPr>
            <w:r w:rsidRPr="007335C1">
              <w:rPr>
                <w:b/>
                <w:bCs/>
              </w:rPr>
              <w:t>SBR Core Services</w:t>
            </w:r>
          </w:p>
        </w:tc>
        <w:tc>
          <w:tcPr>
            <w:tcW w:w="2693" w:type="dxa"/>
            <w:shd w:val="clear" w:color="auto" w:fill="D9E2F3" w:themeFill="accent1" w:themeFillTint="33"/>
          </w:tcPr>
          <w:p w14:paraId="758193AB" w14:textId="77777777" w:rsidR="00682EF5" w:rsidRPr="007335C1" w:rsidRDefault="00682EF5" w:rsidP="00A30507">
            <w:pPr>
              <w:pStyle w:val="Tabletext"/>
              <w:rPr>
                <w:b/>
                <w:bCs/>
              </w:rPr>
            </w:pPr>
            <w:r w:rsidRPr="007335C1">
              <w:rPr>
                <w:b/>
                <w:bCs/>
              </w:rPr>
              <w:t>SBR ebMS3.0</w:t>
            </w:r>
          </w:p>
        </w:tc>
      </w:tr>
      <w:tr w:rsidR="00682EF5" w:rsidRPr="008C5E18" w14:paraId="31600DA2" w14:textId="77777777" w:rsidTr="005B0149">
        <w:tc>
          <w:tcPr>
            <w:tcW w:w="2689" w:type="dxa"/>
          </w:tcPr>
          <w:p w14:paraId="4975F751" w14:textId="77777777" w:rsidR="00682EF5" w:rsidRPr="007335C1" w:rsidRDefault="00682EF5" w:rsidP="00A30507">
            <w:pPr>
              <w:pStyle w:val="Tabletext"/>
              <w:rPr>
                <w:bCs/>
                <w:i/>
                <w:color w:val="000000"/>
              </w:rPr>
            </w:pPr>
            <w:proofErr w:type="spellStart"/>
            <w:proofErr w:type="gramStart"/>
            <w:r w:rsidRPr="007335C1">
              <w:t>payevntrecon.list</w:t>
            </w:r>
            <w:proofErr w:type="spellEnd"/>
            <w:proofErr w:type="gramEnd"/>
          </w:p>
        </w:tc>
        <w:tc>
          <w:tcPr>
            <w:tcW w:w="2835" w:type="dxa"/>
          </w:tcPr>
          <w:p w14:paraId="4D9DC7C6" w14:textId="77777777" w:rsidR="00682EF5" w:rsidRPr="007335C1" w:rsidRDefault="00682EF5" w:rsidP="00A30507">
            <w:pPr>
              <w:pStyle w:val="Tabletext"/>
              <w:rPr>
                <w:color w:val="000000"/>
              </w:rPr>
            </w:pPr>
            <w:r w:rsidRPr="007335C1">
              <w:rPr>
                <w:color w:val="000000"/>
              </w:rPr>
              <w:t>Y</w:t>
            </w:r>
          </w:p>
        </w:tc>
        <w:tc>
          <w:tcPr>
            <w:tcW w:w="2693" w:type="dxa"/>
          </w:tcPr>
          <w:p w14:paraId="3905DF9B" w14:textId="77777777" w:rsidR="00682EF5" w:rsidRPr="007335C1" w:rsidRDefault="00682EF5" w:rsidP="00A30507">
            <w:pPr>
              <w:pStyle w:val="Tabletext"/>
              <w:rPr>
                <w:color w:val="000000"/>
              </w:rPr>
            </w:pPr>
            <w:r w:rsidRPr="007335C1">
              <w:rPr>
                <w:color w:val="000000"/>
              </w:rPr>
              <w:t>Y</w:t>
            </w:r>
          </w:p>
        </w:tc>
      </w:tr>
    </w:tbl>
    <w:p w14:paraId="2DFEDB12" w14:textId="2346D262" w:rsidR="00054BB7" w:rsidRDefault="00054BB7">
      <w:pPr>
        <w:spacing w:before="0" w:after="160" w:line="259" w:lineRule="auto"/>
      </w:pPr>
      <w:r>
        <w:br w:type="page"/>
      </w:r>
    </w:p>
    <w:p w14:paraId="6F1B4A52" w14:textId="5026642B" w:rsidR="0088383C" w:rsidRDefault="0088383C" w:rsidP="00944D9B">
      <w:pPr>
        <w:pStyle w:val="Heading1"/>
      </w:pPr>
      <w:bookmarkStart w:id="58" w:name="_Toc163561822"/>
      <w:bookmarkStart w:id="59" w:name="_Toc164157532"/>
      <w:bookmarkStart w:id="60" w:name="_Toc147850852"/>
      <w:bookmarkStart w:id="61" w:name="_Toc147850886"/>
      <w:bookmarkStart w:id="62" w:name="_Toc147850952"/>
      <w:bookmarkStart w:id="63" w:name="_Toc164157533"/>
      <w:bookmarkEnd w:id="58"/>
      <w:bookmarkEnd w:id="59"/>
      <w:bookmarkEnd w:id="57"/>
      <w:bookmarkEnd w:id="60"/>
      <w:bookmarkEnd w:id="61"/>
      <w:bookmarkEnd w:id="62"/>
      <w:r>
        <w:lastRenderedPageBreak/>
        <w:t>Authorisations</w:t>
      </w:r>
      <w:bookmarkEnd w:id="63"/>
    </w:p>
    <w:p w14:paraId="5E7F92FD" w14:textId="71F9C6A7" w:rsidR="005F1A0D" w:rsidRDefault="005F1A0D" w:rsidP="005F1A0D">
      <w:r>
        <w:t>External consumers are authorised through the existing authentication and authorisation models and can be accessible for the following groups:</w:t>
      </w:r>
    </w:p>
    <w:p w14:paraId="5F36CB0D" w14:textId="438BDB47" w:rsidR="005F1A0D" w:rsidRDefault="00342BC8" w:rsidP="00B61725">
      <w:pPr>
        <w:pStyle w:val="Maintext"/>
        <w:numPr>
          <w:ilvl w:val="0"/>
          <w:numId w:val="24"/>
        </w:numPr>
        <w:spacing w:before="60" w:after="60" w:line="320" w:lineRule="exact"/>
        <w:ind w:left="425" w:hanging="425"/>
        <w:contextualSpacing/>
      </w:pPr>
      <w:r>
        <w:t>Payer (</w:t>
      </w:r>
      <w:r w:rsidR="00E84398">
        <w:t>E</w:t>
      </w:r>
      <w:r>
        <w:t>mployer)</w:t>
      </w:r>
    </w:p>
    <w:p w14:paraId="54189514" w14:textId="7680C610" w:rsidR="005F1A0D" w:rsidRDefault="005F1A0D" w:rsidP="00B61725">
      <w:pPr>
        <w:pStyle w:val="Maintext"/>
        <w:numPr>
          <w:ilvl w:val="0"/>
          <w:numId w:val="24"/>
        </w:numPr>
        <w:spacing w:before="60" w:after="60" w:line="320" w:lineRule="exact"/>
        <w:ind w:left="425" w:hanging="425"/>
        <w:contextualSpacing/>
      </w:pPr>
      <w:r>
        <w:t>Business Intermediaries (XEAs Defined in AM)</w:t>
      </w:r>
    </w:p>
    <w:p w14:paraId="4E1BF48F" w14:textId="55BDAC07" w:rsidR="005F1A0D" w:rsidRDefault="00D63E16" w:rsidP="00B61725">
      <w:pPr>
        <w:pStyle w:val="Maintext"/>
        <w:numPr>
          <w:ilvl w:val="0"/>
          <w:numId w:val="24"/>
        </w:numPr>
        <w:spacing w:before="60" w:after="60" w:line="320" w:lineRule="exact"/>
        <w:ind w:left="425" w:hanging="425"/>
        <w:contextualSpacing/>
      </w:pPr>
      <w:r>
        <w:t xml:space="preserve">Registered </w:t>
      </w:r>
      <w:r w:rsidR="005F1A0D">
        <w:t>Agent</w:t>
      </w:r>
      <w:r w:rsidR="00A46E91">
        <w:t>s</w:t>
      </w:r>
      <w:r>
        <w:t xml:space="preserve"> (BAS agents, Tax agents and Payroll only </w:t>
      </w:r>
      <w:r w:rsidR="00F77DF4">
        <w:t>providers</w:t>
      </w:r>
      <w:r>
        <w:t>)</w:t>
      </w:r>
      <w:r w:rsidR="00B23397">
        <w:t>.</w:t>
      </w:r>
    </w:p>
    <w:p w14:paraId="530DE1C9" w14:textId="671696A7" w:rsidR="007B678D" w:rsidRDefault="007B678D" w:rsidP="007B678D">
      <w:pPr>
        <w:rPr>
          <w:rFonts w:cs="Times New Roman"/>
        </w:rPr>
      </w:pPr>
      <w:r>
        <w:t xml:space="preserve">The service </w:t>
      </w:r>
      <w:r w:rsidR="00D63E16">
        <w:t>w</w:t>
      </w:r>
      <w:r w:rsidR="00A87195">
        <w:t>ill</w:t>
      </w:r>
      <w:r w:rsidR="00D63E16">
        <w:t xml:space="preserve"> </w:t>
      </w:r>
      <w:r>
        <w:t>support the following authorisation methods:</w:t>
      </w:r>
    </w:p>
    <w:p w14:paraId="569BB46F" w14:textId="1FCD3C9A" w:rsidR="007B678D" w:rsidRDefault="007B678D" w:rsidP="00B61725">
      <w:pPr>
        <w:pStyle w:val="ListParagraph"/>
        <w:numPr>
          <w:ilvl w:val="0"/>
          <w:numId w:val="37"/>
        </w:numPr>
        <w:spacing w:before="60" w:after="60"/>
        <w:ind w:left="425" w:hanging="425"/>
      </w:pPr>
      <w:r>
        <w:t>Payer (</w:t>
      </w:r>
      <w:r w:rsidR="00E84398">
        <w:t>E</w:t>
      </w:r>
      <w:r>
        <w:t>mployer)</w:t>
      </w:r>
    </w:p>
    <w:p w14:paraId="2E65ED0D" w14:textId="49ED92B7" w:rsidR="007B678D" w:rsidRDefault="007B678D" w:rsidP="00B61725">
      <w:pPr>
        <w:pStyle w:val="ListParagraph"/>
        <w:numPr>
          <w:ilvl w:val="0"/>
          <w:numId w:val="36"/>
        </w:numPr>
        <w:spacing w:before="60" w:after="60"/>
        <w:ind w:left="425" w:hanging="425"/>
      </w:pPr>
      <w:r>
        <w:t>Intermediary (</w:t>
      </w:r>
      <w:r w:rsidR="00CA0603">
        <w:t xml:space="preserve">Business Intermediary, </w:t>
      </w:r>
      <w:r>
        <w:t xml:space="preserve">Tax </w:t>
      </w:r>
      <w:r w:rsidR="00CA0603">
        <w:t>Agent</w:t>
      </w:r>
      <w:r w:rsidR="00F77DF4">
        <w:t>,</w:t>
      </w:r>
      <w:r w:rsidR="00CA0603">
        <w:t xml:space="preserve"> </w:t>
      </w:r>
      <w:r>
        <w:t xml:space="preserve">BAS </w:t>
      </w:r>
      <w:proofErr w:type="gramStart"/>
      <w:r w:rsidR="00CA0603">
        <w:t>Agent</w:t>
      </w:r>
      <w:proofErr w:type="gramEnd"/>
      <w:r w:rsidR="00CA0603">
        <w:t xml:space="preserve"> </w:t>
      </w:r>
      <w:r w:rsidR="00F77DF4">
        <w:t xml:space="preserve">or Payroll </w:t>
      </w:r>
      <w:r w:rsidR="00CA0603">
        <w:t>O</w:t>
      </w:r>
      <w:r w:rsidR="00F77DF4">
        <w:t xml:space="preserve">nly </w:t>
      </w:r>
      <w:r w:rsidR="00CA0603">
        <w:t>P</w:t>
      </w:r>
      <w:r w:rsidR="00F77DF4">
        <w:t>roviders</w:t>
      </w:r>
      <w:r>
        <w:t>)</w:t>
      </w:r>
    </w:p>
    <w:p w14:paraId="1743E6B0" w14:textId="2BC735B7" w:rsidR="007B678D" w:rsidRDefault="007B678D" w:rsidP="00B61725">
      <w:pPr>
        <w:pStyle w:val="ListParagraph"/>
        <w:numPr>
          <w:ilvl w:val="0"/>
          <w:numId w:val="36"/>
        </w:numPr>
        <w:spacing w:before="60" w:after="60"/>
        <w:ind w:left="425" w:hanging="425"/>
      </w:pPr>
      <w:r>
        <w:t>Cloud Authentication (using SSID)</w:t>
      </w:r>
      <w:r w:rsidR="00B23397">
        <w:t>.</w:t>
      </w:r>
    </w:p>
    <w:p w14:paraId="22F5B50C" w14:textId="77777777" w:rsidR="007B678D" w:rsidRDefault="007B678D" w:rsidP="007B678D">
      <w:pPr>
        <w:pStyle w:val="ListParagraph"/>
        <w:ind w:left="947"/>
      </w:pPr>
    </w:p>
    <w:p w14:paraId="472F4F4C" w14:textId="7EE6780D" w:rsidR="007B678D" w:rsidRPr="00E361FD" w:rsidRDefault="008C515F">
      <w:pPr>
        <w:pStyle w:val="BodyText"/>
      </w:pPr>
      <w:r w:rsidRPr="00E361FD">
        <w:t xml:space="preserve">The current authentication model for </w:t>
      </w:r>
      <w:r w:rsidR="00B706C7">
        <w:t>Sending Service Providers (</w:t>
      </w:r>
      <w:r w:rsidRPr="00E361FD">
        <w:t>SSPs</w:t>
      </w:r>
      <w:r w:rsidR="00B706C7">
        <w:t>)</w:t>
      </w:r>
      <w:r w:rsidRPr="00E361FD">
        <w:t xml:space="preserve"> does not require the reporter to authorise the unrelated third party to manage their secure data on their behalf and that authorisation is a critical prerequisite to consume this service. </w:t>
      </w:r>
      <w:r w:rsidR="00BD412A" w:rsidRPr="00E361FD">
        <w:t>The</w:t>
      </w:r>
      <w:r w:rsidR="00342BC8" w:rsidRPr="00E361FD">
        <w:t>refore, this</w:t>
      </w:r>
      <w:r w:rsidR="00BD412A" w:rsidRPr="00E361FD">
        <w:t xml:space="preserve"> service is not available through </w:t>
      </w:r>
      <w:r w:rsidR="002E173B" w:rsidRPr="00E361FD">
        <w:t xml:space="preserve">the </w:t>
      </w:r>
      <w:r w:rsidR="00B706C7">
        <w:t>Sending Service Provider (</w:t>
      </w:r>
      <w:r w:rsidR="00BD412A" w:rsidRPr="00E361FD">
        <w:t>SSP</w:t>
      </w:r>
      <w:r w:rsidR="00B706C7">
        <w:t>)</w:t>
      </w:r>
      <w:r w:rsidR="00BD412A" w:rsidRPr="00E361FD">
        <w:t xml:space="preserve"> authorisation model.</w:t>
      </w:r>
    </w:p>
    <w:p w14:paraId="07865329" w14:textId="11C30F66" w:rsidR="00A87195" w:rsidRDefault="006F5C4A" w:rsidP="00944D9B">
      <w:r>
        <w:t xml:space="preserve">The </w:t>
      </w:r>
      <w:proofErr w:type="spellStart"/>
      <w:r>
        <w:t>PayEvent</w:t>
      </w:r>
      <w:proofErr w:type="spellEnd"/>
      <w:r>
        <w:t xml:space="preserve"> List service will serve both retail and wholesale channels</w:t>
      </w:r>
      <w:r w:rsidR="00CA448E">
        <w:t xml:space="preserve"> (SBR)</w:t>
      </w:r>
      <w:r>
        <w:t xml:space="preserve">. </w:t>
      </w:r>
      <w:r w:rsidR="00CA448E">
        <w:t>For wholesale channels, access authentication will follow existing SBR patter</w:t>
      </w:r>
      <w:r w:rsidR="005061D5">
        <w:t>n</w:t>
      </w:r>
      <w:r w:rsidR="00CA448E">
        <w:t>s</w:t>
      </w:r>
      <w:r w:rsidR="00A87195">
        <w:t>:</w:t>
      </w:r>
      <w:r w:rsidR="00CA448E">
        <w:t xml:space="preserve"> </w:t>
      </w:r>
    </w:p>
    <w:p w14:paraId="76838719" w14:textId="2A704A28" w:rsidR="00A87195" w:rsidRDefault="006F5C4A" w:rsidP="00E655FA">
      <w:pPr>
        <w:pStyle w:val="ListParagraph"/>
        <w:numPr>
          <w:ilvl w:val="0"/>
          <w:numId w:val="36"/>
        </w:numPr>
        <w:ind w:left="426" w:hanging="426"/>
      </w:pPr>
      <w:r>
        <w:t xml:space="preserve">For a </w:t>
      </w:r>
      <w:r w:rsidR="00342BC8">
        <w:t>payer</w:t>
      </w:r>
      <w:r>
        <w:t xml:space="preserve"> that is </w:t>
      </w:r>
      <w:r w:rsidR="00342BC8">
        <w:t>using</w:t>
      </w:r>
      <w:r>
        <w:t xml:space="preserve"> this service, </w:t>
      </w:r>
      <w:r w:rsidR="00CA448E">
        <w:t xml:space="preserve">internal ATO service </w:t>
      </w:r>
      <w:r>
        <w:t xml:space="preserve">will determine </w:t>
      </w:r>
      <w:r w:rsidR="00CA0603">
        <w:t xml:space="preserve">the </w:t>
      </w:r>
      <w:r>
        <w:t xml:space="preserve">accounts the </w:t>
      </w:r>
      <w:r w:rsidR="00213F4D">
        <w:t>p</w:t>
      </w:r>
      <w:r>
        <w:t>ayer has access to</w:t>
      </w:r>
    </w:p>
    <w:p w14:paraId="433D9E16" w14:textId="2BB8A138" w:rsidR="006F5C4A" w:rsidRDefault="006F5C4A" w:rsidP="00E655FA">
      <w:pPr>
        <w:pStyle w:val="ListParagraph"/>
        <w:numPr>
          <w:ilvl w:val="0"/>
          <w:numId w:val="36"/>
        </w:numPr>
        <w:ind w:left="426" w:hanging="426"/>
      </w:pPr>
      <w:r>
        <w:t xml:space="preserve">For intermediary clients acting on behalf of a </w:t>
      </w:r>
      <w:r w:rsidR="00342BC8">
        <w:t>payer</w:t>
      </w:r>
      <w:r>
        <w:t xml:space="preserve">, </w:t>
      </w:r>
      <w:r w:rsidR="00CA448E">
        <w:t>internal ATO service will</w:t>
      </w:r>
      <w:r>
        <w:t xml:space="preserve"> verify the client links in ATO systems to ensure the data can be provided to the calling client.</w:t>
      </w:r>
      <w:r w:rsidR="00A87195">
        <w:t xml:space="preserve"> Where an intermediary has authorisation for a client</w:t>
      </w:r>
      <w:r w:rsidR="00854D04">
        <w:t>,</w:t>
      </w:r>
      <w:r w:rsidR="00A87195">
        <w:t xml:space="preserve"> they can retrieve STP </w:t>
      </w:r>
      <w:r w:rsidR="00C56683">
        <w:t>pay</w:t>
      </w:r>
      <w:r w:rsidR="00453078">
        <w:t xml:space="preserve"> </w:t>
      </w:r>
      <w:r w:rsidR="00C56683">
        <w:t>events</w:t>
      </w:r>
      <w:r w:rsidR="00A87195">
        <w:t xml:space="preserve"> for </w:t>
      </w:r>
      <w:r w:rsidR="00B23397">
        <w:t>all</w:t>
      </w:r>
      <w:r w:rsidR="00A87195">
        <w:t xml:space="preserve"> the client’s branches</w:t>
      </w:r>
      <w:r w:rsidR="00854D04">
        <w:t>.</w:t>
      </w:r>
      <w:r w:rsidR="00A87195">
        <w:t xml:space="preserve"> </w:t>
      </w:r>
      <w:r w:rsidR="00854D04">
        <w:t>W</w:t>
      </w:r>
      <w:r w:rsidR="00A87195">
        <w:t xml:space="preserve">here the intermediary has authorisation to a specific branch, they can only retrieve STP </w:t>
      </w:r>
      <w:r w:rsidR="00C56683">
        <w:t>pay</w:t>
      </w:r>
      <w:r w:rsidR="00453078">
        <w:t xml:space="preserve"> </w:t>
      </w:r>
      <w:r w:rsidR="00C56683">
        <w:t>events</w:t>
      </w:r>
      <w:r w:rsidR="00A87195">
        <w:t xml:space="preserve"> for that branch.</w:t>
      </w:r>
    </w:p>
    <w:p w14:paraId="2E53F6A8" w14:textId="208D5943" w:rsidR="005F1A0D" w:rsidRDefault="00214F45" w:rsidP="00E655FA">
      <w:pPr>
        <w:pStyle w:val="ListBullet"/>
        <w:numPr>
          <w:ilvl w:val="0"/>
          <w:numId w:val="0"/>
        </w:numPr>
        <w:tabs>
          <w:tab w:val="left" w:pos="720"/>
        </w:tabs>
        <w:ind w:left="425" w:hanging="425"/>
      </w:pPr>
      <w:r w:rsidRPr="008019D1">
        <w:t xml:space="preserve">For </w:t>
      </w:r>
      <w:r w:rsidR="005F1A0D">
        <w:t xml:space="preserve">more information </w:t>
      </w:r>
      <w:r>
        <w:t xml:space="preserve">see </w:t>
      </w:r>
      <w:hyperlink r:id="rId14" w:history="1">
        <w:r>
          <w:rPr>
            <w:rStyle w:val="Hyperlink"/>
          </w:rPr>
          <w:t>Client management</w:t>
        </w:r>
      </w:hyperlink>
      <w:r>
        <w:t xml:space="preserve"> on SBR website.</w:t>
      </w:r>
    </w:p>
    <w:p w14:paraId="65C7B738" w14:textId="01FE24D8" w:rsidR="007824B2" w:rsidRDefault="007824B2" w:rsidP="00283171">
      <w:pPr>
        <w:pStyle w:val="Heading2"/>
      </w:pPr>
      <w:bookmarkStart w:id="64" w:name="_Toc164157534"/>
      <w:r>
        <w:t xml:space="preserve">Access and initiating </w:t>
      </w:r>
      <w:proofErr w:type="gramStart"/>
      <w:r>
        <w:t>parties</w:t>
      </w:r>
      <w:bookmarkEnd w:id="64"/>
      <w:proofErr w:type="gramEnd"/>
    </w:p>
    <w:p w14:paraId="14243352" w14:textId="05DE9BA4" w:rsidR="004A64AB" w:rsidRDefault="004A64AB" w:rsidP="007824B2">
      <w:r w:rsidRPr="004A64AB">
        <w:t>This data is currently available in ATO Online services for specific individuals who are granted permission to access it via Access Manager. With this authenticated digital service, this data can now be retrieved into your product.</w:t>
      </w:r>
    </w:p>
    <w:p w14:paraId="3D2287E7" w14:textId="7CE91053" w:rsidR="007824B2" w:rsidRDefault="007824B2" w:rsidP="007824B2">
      <w:r>
        <w:t xml:space="preserve">ATO systems will check that the initiating party is allowed to use the interaction that is received through the SBR channel. </w:t>
      </w:r>
    </w:p>
    <w:p w14:paraId="70C473C5" w14:textId="3C834874" w:rsidR="007824B2" w:rsidRDefault="007824B2" w:rsidP="007824B2">
      <w:r>
        <w:t>See:</w:t>
      </w:r>
    </w:p>
    <w:p w14:paraId="3B9A4F04" w14:textId="69A620C0" w:rsidR="007824B2" w:rsidRPr="00AD1D83" w:rsidRDefault="007824B2" w:rsidP="007824B2">
      <w:pPr>
        <w:pStyle w:val="ListBullet"/>
        <w:rPr>
          <w:i/>
          <w:iCs/>
        </w:rPr>
      </w:pPr>
      <w:r>
        <w:t xml:space="preserve">Section 3 – </w:t>
      </w:r>
      <w:r w:rsidRPr="007006E8">
        <w:t>A</w:t>
      </w:r>
      <w:r w:rsidR="000C77EB" w:rsidRPr="007006E8">
        <w:t>uthorisation</w:t>
      </w:r>
      <w:r w:rsidRPr="00AD1D83">
        <w:rPr>
          <w:i/>
          <w:iCs/>
        </w:rPr>
        <w:t xml:space="preserve"> </w:t>
      </w:r>
      <w:r w:rsidRPr="00B65882">
        <w:t>in the</w:t>
      </w:r>
      <w:r w:rsidRPr="00AD1D83">
        <w:rPr>
          <w:i/>
          <w:iCs/>
        </w:rPr>
        <w:t xml:space="preserve"> </w:t>
      </w:r>
      <w:hyperlink r:id="rId15" w:history="1">
        <w:r w:rsidRPr="007006E8">
          <w:rPr>
            <w:rStyle w:val="Hyperlink"/>
          </w:rPr>
          <w:t>Common Business Implementation and Taxpayer Declaration Guide</w:t>
        </w:r>
      </w:hyperlink>
    </w:p>
    <w:p w14:paraId="3A72C529" w14:textId="2543558C" w:rsidR="002936FB" w:rsidRPr="00E44782" w:rsidRDefault="0029330B" w:rsidP="002936FB">
      <w:pPr>
        <w:pStyle w:val="ListBullet"/>
        <w:spacing w:before="0" w:after="160" w:line="259" w:lineRule="auto"/>
      </w:pPr>
      <w:r>
        <w:t xml:space="preserve">the </w:t>
      </w:r>
      <w:hyperlink r:id="rId16" w:history="1">
        <w:r w:rsidRPr="0029330B">
          <w:rPr>
            <w:rStyle w:val="Hyperlink"/>
          </w:rPr>
          <w:t>ATO website</w:t>
        </w:r>
      </w:hyperlink>
      <w:r>
        <w:t xml:space="preserve"> f</w:t>
      </w:r>
      <w:r w:rsidR="007824B2">
        <w:t xml:space="preserve">or more information </w:t>
      </w:r>
      <w:r w:rsidR="008B27B1">
        <w:t xml:space="preserve">regarding </w:t>
      </w:r>
      <w:r w:rsidRPr="007006E8">
        <w:t>Access Manager</w:t>
      </w:r>
      <w:r w:rsidR="007824B2">
        <w:t>.</w:t>
      </w:r>
    </w:p>
    <w:p w14:paraId="23593ED6" w14:textId="77777777" w:rsidR="00E44782" w:rsidRDefault="00E44782" w:rsidP="00E44782">
      <w:pPr>
        <w:pStyle w:val="ListBullet"/>
        <w:numPr>
          <w:ilvl w:val="0"/>
          <w:numId w:val="0"/>
        </w:numPr>
        <w:spacing w:before="0" w:after="160" w:line="259" w:lineRule="auto"/>
        <w:ind w:left="425"/>
      </w:pPr>
    </w:p>
    <w:p w14:paraId="59F81740" w14:textId="03E13F52" w:rsidR="007824B2" w:rsidRDefault="007824B2" w:rsidP="00944D9B">
      <w:pPr>
        <w:pStyle w:val="Heading1"/>
      </w:pPr>
      <w:bookmarkStart w:id="65" w:name="_Toc164157535"/>
      <w:r>
        <w:lastRenderedPageBreak/>
        <w:t xml:space="preserve">Constraints and known </w:t>
      </w:r>
      <w:proofErr w:type="gramStart"/>
      <w:r>
        <w:t>issues</w:t>
      </w:r>
      <w:bookmarkEnd w:id="65"/>
      <w:proofErr w:type="gramEnd"/>
    </w:p>
    <w:p w14:paraId="07763400" w14:textId="23358FA3" w:rsidR="007824B2" w:rsidRDefault="007824B2" w:rsidP="00283171">
      <w:pPr>
        <w:pStyle w:val="Heading2"/>
      </w:pPr>
      <w:bookmarkStart w:id="66" w:name="_Toc164157536"/>
      <w:bookmarkStart w:id="67" w:name="_Hlk148606585"/>
      <w:r>
        <w:t>Usage restrictions</w:t>
      </w:r>
      <w:bookmarkEnd w:id="66"/>
    </w:p>
    <w:p w14:paraId="66E3C376" w14:textId="1E8B0287" w:rsidR="000C77EB" w:rsidRDefault="00F51DAF" w:rsidP="007006E8">
      <w:bookmarkStart w:id="68" w:name="_Hlk148605172"/>
      <w:bookmarkStart w:id="69" w:name="_Hlk148606196"/>
      <w:bookmarkEnd w:id="67"/>
      <w:r>
        <w:t>Digital Service Providers</w:t>
      </w:r>
      <w:bookmarkEnd w:id="68"/>
      <w:bookmarkEnd w:id="69"/>
      <w:r>
        <w:t xml:space="preserve"> (</w:t>
      </w:r>
      <w:r w:rsidR="000C77EB">
        <w:t>DSPs</w:t>
      </w:r>
      <w:r>
        <w:t>)</w:t>
      </w:r>
      <w:r w:rsidR="000C77EB">
        <w:t xml:space="preserve"> must be aware of the usage restrictions, which are described within the Reasonable Use policy. The ATO actively monitors the use of services and will notify DSPs that contravene this policy. Continued breaches may result in de-whitelisting.</w:t>
      </w:r>
    </w:p>
    <w:p w14:paraId="4ACE7702" w14:textId="590C1995" w:rsidR="000C77EB" w:rsidRDefault="000C77EB" w:rsidP="007006E8">
      <w:r>
        <w:t xml:space="preserve">Find out about </w:t>
      </w:r>
      <w:r w:rsidR="0018277C">
        <w:t>t</w:t>
      </w:r>
      <w:r>
        <w:t>he</w:t>
      </w:r>
      <w:r w:rsidRPr="000C77EB">
        <w:rPr>
          <w:b/>
          <w:bCs/>
        </w:rPr>
        <w:t xml:space="preserve"> </w:t>
      </w:r>
      <w:hyperlink r:id="rId17" w:history="1">
        <w:r w:rsidR="00E31E9F" w:rsidRPr="00E31E9F">
          <w:rPr>
            <w:rStyle w:val="Hyperlink"/>
            <w:b/>
            <w:bCs/>
          </w:rPr>
          <w:t>DSP Conditions of use</w:t>
        </w:r>
      </w:hyperlink>
      <w:r>
        <w:t>.</w:t>
      </w:r>
    </w:p>
    <w:p w14:paraId="206F3001" w14:textId="1CC6E585" w:rsidR="00054BB7" w:rsidRDefault="00054BB7">
      <w:pPr>
        <w:spacing w:before="0" w:after="160" w:line="259" w:lineRule="auto"/>
      </w:pPr>
      <w:r>
        <w:br w:type="page"/>
      </w:r>
    </w:p>
    <w:p w14:paraId="45AEAF64" w14:textId="43174F06" w:rsidR="00AD1D83" w:rsidRDefault="00AD1D83">
      <w:pPr>
        <w:spacing w:before="0" w:after="160" w:line="259" w:lineRule="auto"/>
      </w:pPr>
    </w:p>
    <w:p w14:paraId="2922BF65" w14:textId="762D8834" w:rsidR="00AD1D83" w:rsidRDefault="0021242B" w:rsidP="00944D9B">
      <w:pPr>
        <w:pStyle w:val="Heading1"/>
      </w:pPr>
      <w:bookmarkStart w:id="70" w:name="_Toc164157537"/>
      <w:proofErr w:type="spellStart"/>
      <w:r>
        <w:t>PayEvent</w:t>
      </w:r>
      <w:proofErr w:type="spellEnd"/>
      <w:r>
        <w:t xml:space="preserve"> List </w:t>
      </w:r>
      <w:r w:rsidR="00AD1D83">
        <w:t>guidance</w:t>
      </w:r>
      <w:bookmarkEnd w:id="70"/>
    </w:p>
    <w:p w14:paraId="731E1999" w14:textId="4F76BE1B" w:rsidR="00834CB3" w:rsidRDefault="00834CB3" w:rsidP="00291EEC">
      <w:r>
        <w:t xml:space="preserve">The </w:t>
      </w:r>
      <w:proofErr w:type="spellStart"/>
      <w:r>
        <w:t>PayEvent</w:t>
      </w:r>
      <w:proofErr w:type="spellEnd"/>
      <w:r>
        <w:t xml:space="preserve"> List service retrieves </w:t>
      </w:r>
      <w:r w:rsidR="00C56683">
        <w:t xml:space="preserve">payer </w:t>
      </w:r>
      <w:r w:rsidR="00E044AF">
        <w:t>p</w:t>
      </w:r>
      <w:r>
        <w:t>ay</w:t>
      </w:r>
      <w:r w:rsidR="00E044AF">
        <w:t xml:space="preserve"> e</w:t>
      </w:r>
      <w:r>
        <w:t>vent data</w:t>
      </w:r>
      <w:r w:rsidR="00E14D5E">
        <w:t xml:space="preserve"> the </w:t>
      </w:r>
      <w:r w:rsidR="00E14D5E" w:rsidRPr="006D1BCB">
        <w:rPr>
          <w:lang w:val="en-US"/>
        </w:rPr>
        <w:t xml:space="preserve">ATO has </w:t>
      </w:r>
      <w:r w:rsidR="00131FF0" w:rsidRPr="00B61725">
        <w:rPr>
          <w:lang w:val="en-US"/>
        </w:rPr>
        <w:t>successfully processed</w:t>
      </w:r>
      <w:r>
        <w:t xml:space="preserve"> and presents it to the requesting party in a list. The requesting party can either be a </w:t>
      </w:r>
      <w:r w:rsidR="00342BC8">
        <w:t>payer</w:t>
      </w:r>
      <w:r>
        <w:t xml:space="preserve"> or an intermediary. The retrieval of this information is dependent on the requesting party having the appropriate authorisation on the account.</w:t>
      </w:r>
      <w:r w:rsidR="00E14D5E">
        <w:t xml:space="preserve">  </w:t>
      </w:r>
    </w:p>
    <w:p w14:paraId="0E460D27" w14:textId="0B0D0DF5" w:rsidR="00834CB3" w:rsidRDefault="00834CB3">
      <w:r>
        <w:t>The service accepts a combination of validated conditional (ABN</w:t>
      </w:r>
      <w:r w:rsidR="003875BC">
        <w:t xml:space="preserve"> or </w:t>
      </w:r>
      <w:r w:rsidR="00B706C7">
        <w:t>Withholding Payer Number (</w:t>
      </w:r>
      <w:r w:rsidR="003875BC">
        <w:t>WPN</w:t>
      </w:r>
      <w:r w:rsidR="00B706C7">
        <w:t>)</w:t>
      </w:r>
      <w:r>
        <w:t>), optional (</w:t>
      </w:r>
      <w:r w:rsidR="00CA0603">
        <w:t>for example</w:t>
      </w:r>
      <w:r w:rsidR="00BA0D7C">
        <w:t>,</w:t>
      </w:r>
      <w:r>
        <w:t xml:space="preserve"> </w:t>
      </w:r>
      <w:r w:rsidR="00B706C7">
        <w:t>Business Management S</w:t>
      </w:r>
      <w:r w:rsidR="000B1644">
        <w:t xml:space="preserve">ystem </w:t>
      </w:r>
      <w:r w:rsidR="00B706C7">
        <w:t>(</w:t>
      </w:r>
      <w:r>
        <w:t>BMS</w:t>
      </w:r>
      <w:r w:rsidR="00B706C7">
        <w:t>)</w:t>
      </w:r>
      <w:r>
        <w:t xml:space="preserve"> </w:t>
      </w:r>
      <w:r w:rsidR="00BA0D7C">
        <w:t>Identification Number (</w:t>
      </w:r>
      <w:r>
        <w:t>ID</w:t>
      </w:r>
      <w:r w:rsidR="00BA0D7C">
        <w:t>)</w:t>
      </w:r>
      <w:r>
        <w:t>) and mandatory (</w:t>
      </w:r>
      <w:r w:rsidR="00CA0603">
        <w:t>for example</w:t>
      </w:r>
      <w:r w:rsidR="00BA0D7C">
        <w:t>,</w:t>
      </w:r>
      <w:r>
        <w:t xml:space="preserve"> Date Request Type) </w:t>
      </w:r>
      <w:r w:rsidR="00BC0A54">
        <w:t xml:space="preserve">search </w:t>
      </w:r>
      <w:r>
        <w:t xml:space="preserve">inputs. The service will display the </w:t>
      </w:r>
      <w:r w:rsidR="00287D9B">
        <w:t>p</w:t>
      </w:r>
      <w:r>
        <w:t>ay</w:t>
      </w:r>
      <w:r w:rsidR="00287D9B">
        <w:t xml:space="preserve"> e</w:t>
      </w:r>
      <w:r>
        <w:t>vent forms in a single list. It will display a maximum of 500 of the most recent records and where more than 500 records exist, the service also displays a warning message to the requesting party</w:t>
      </w:r>
      <w:r w:rsidR="00E14D5E">
        <w:t xml:space="preserve"> </w:t>
      </w:r>
      <w:r w:rsidR="00E14D5E" w:rsidRPr="006D1BCB">
        <w:rPr>
          <w:lang w:val="en-US"/>
        </w:rPr>
        <w:t>notifying them there are more records to view</w:t>
      </w:r>
      <w:r>
        <w:t>.</w:t>
      </w:r>
      <w:r w:rsidR="008D58E7">
        <w:t xml:space="preserve"> In a situation where the result exceeds 500 records, the </w:t>
      </w:r>
      <w:r w:rsidR="00C56683">
        <w:t>requesting party</w:t>
      </w:r>
      <w:r w:rsidR="008D58E7">
        <w:t xml:space="preserve"> will need to refine their search to reduce the potential results. For example, </w:t>
      </w:r>
      <w:r w:rsidR="00C56683">
        <w:t>by</w:t>
      </w:r>
      <w:r w:rsidR="008D58E7">
        <w:t xml:space="preserve"> reduc</w:t>
      </w:r>
      <w:r w:rsidR="00C56683">
        <w:t>ing</w:t>
      </w:r>
      <w:r w:rsidR="008D58E7">
        <w:t xml:space="preserve"> the date range</w:t>
      </w:r>
      <w:r w:rsidR="00C56683">
        <w:t xml:space="preserve"> for </w:t>
      </w:r>
      <w:r w:rsidR="00E6568B">
        <w:t>Pay/Update date or Run date/Time stamp</w:t>
      </w:r>
      <w:r w:rsidR="002D619F">
        <w:t xml:space="preserve"> </w:t>
      </w:r>
      <w:r w:rsidR="008071E9">
        <w:t>(</w:t>
      </w:r>
      <w:r w:rsidR="002D619F" w:rsidRPr="00944D9B">
        <w:t>date only</w:t>
      </w:r>
      <w:r w:rsidR="008071E9">
        <w:t>)</w:t>
      </w:r>
      <w:r w:rsidR="008D58E7">
        <w:t xml:space="preserve"> or event type to reduce records retrieved and presented.</w:t>
      </w:r>
    </w:p>
    <w:p w14:paraId="51485DAC" w14:textId="72C68CA7" w:rsidR="00834CB3" w:rsidRDefault="00834CB3">
      <w:r>
        <w:t xml:space="preserve">The service will retrieve </w:t>
      </w:r>
      <w:r w:rsidR="00287D9B">
        <w:t>p</w:t>
      </w:r>
      <w:r>
        <w:t>ay</w:t>
      </w:r>
      <w:r w:rsidR="00287D9B">
        <w:t xml:space="preserve"> e</w:t>
      </w:r>
      <w:r>
        <w:t>vent data for the following event types:</w:t>
      </w:r>
    </w:p>
    <w:p w14:paraId="603E77C8" w14:textId="3045296E" w:rsidR="00834CB3" w:rsidRDefault="00834CB3" w:rsidP="00B61725">
      <w:pPr>
        <w:pStyle w:val="NoSpacing"/>
        <w:numPr>
          <w:ilvl w:val="0"/>
          <w:numId w:val="35"/>
        </w:numPr>
        <w:spacing w:before="60" w:after="60" w:line="320" w:lineRule="exact"/>
        <w:ind w:left="425" w:hanging="425"/>
        <w:contextualSpacing/>
      </w:pPr>
      <w:r>
        <w:t xml:space="preserve">Submit </w:t>
      </w:r>
      <w:proofErr w:type="gramStart"/>
      <w:r>
        <w:t>action</w:t>
      </w:r>
      <w:proofErr w:type="gramEnd"/>
    </w:p>
    <w:p w14:paraId="57862DDD" w14:textId="5A2C315A" w:rsidR="00834CB3" w:rsidRDefault="00834CB3" w:rsidP="00B61725">
      <w:pPr>
        <w:pStyle w:val="NoSpacing"/>
        <w:numPr>
          <w:ilvl w:val="0"/>
          <w:numId w:val="35"/>
        </w:numPr>
        <w:spacing w:before="60" w:after="60" w:line="320" w:lineRule="exact"/>
        <w:ind w:left="425" w:hanging="425"/>
        <w:contextualSpacing/>
      </w:pPr>
      <w:r>
        <w:t>Update action</w:t>
      </w:r>
    </w:p>
    <w:p w14:paraId="519A5AF0" w14:textId="4F81D79D" w:rsidR="00834CB3" w:rsidRDefault="00131FF0" w:rsidP="00B61725">
      <w:pPr>
        <w:pStyle w:val="NoSpacing"/>
        <w:numPr>
          <w:ilvl w:val="0"/>
          <w:numId w:val="35"/>
        </w:numPr>
        <w:spacing w:before="60" w:after="60" w:line="320" w:lineRule="exact"/>
        <w:ind w:left="425" w:hanging="425"/>
        <w:contextualSpacing/>
      </w:pPr>
      <w:r>
        <w:t>Adjust</w:t>
      </w:r>
      <w:r w:rsidR="00834CB3">
        <w:t xml:space="preserve"> action</w:t>
      </w:r>
      <w:r w:rsidR="000D6FC9">
        <w:t>.</w:t>
      </w:r>
    </w:p>
    <w:p w14:paraId="299F995B" w14:textId="77777777" w:rsidR="00834CB3" w:rsidRDefault="00834CB3" w:rsidP="00944D9B">
      <w:pPr>
        <w:pStyle w:val="NoSpacing"/>
      </w:pPr>
    </w:p>
    <w:p w14:paraId="691AEA23" w14:textId="0EDD21FC" w:rsidR="00834CB3" w:rsidRPr="00834CB3" w:rsidRDefault="00834CB3" w:rsidP="00B61725">
      <w:pPr>
        <w:pStyle w:val="NoSpacing"/>
        <w:spacing w:before="120" w:after="120" w:line="320" w:lineRule="exact"/>
      </w:pPr>
      <w:r>
        <w:t xml:space="preserve">The service will be made available through the SBR channel. This service will be available as an interactive service, and a batch service </w:t>
      </w:r>
      <w:r w:rsidR="00CA0603">
        <w:t>that</w:t>
      </w:r>
      <w:r>
        <w:t xml:space="preserve"> can retrieve multiple </w:t>
      </w:r>
      <w:r w:rsidR="00342BC8">
        <w:t>payer</w:t>
      </w:r>
      <w:r>
        <w:t xml:space="preserve"> details.</w:t>
      </w:r>
      <w:r w:rsidR="003D05C7">
        <w:t xml:space="preserve"> This is limited to retrieving payers that have the same ABN and have multiple branches.</w:t>
      </w:r>
    </w:p>
    <w:p w14:paraId="1B90678F" w14:textId="74BA6DF9" w:rsidR="00AD1D83" w:rsidRDefault="007706C3" w:rsidP="00283171">
      <w:pPr>
        <w:pStyle w:val="Heading2"/>
      </w:pPr>
      <w:bookmarkStart w:id="71" w:name="_Toc164157538"/>
      <w:r>
        <w:t>Search Identifiers</w:t>
      </w:r>
      <w:bookmarkEnd w:id="71"/>
    </w:p>
    <w:p w14:paraId="56116878" w14:textId="0F10B1AA" w:rsidR="00834CB3" w:rsidRPr="004D4095" w:rsidRDefault="0006436A" w:rsidP="00944D9B">
      <w:pPr>
        <w:pStyle w:val="NoSpacing"/>
        <w:rPr>
          <w:b/>
          <w:bCs/>
        </w:rPr>
      </w:pPr>
      <w:r>
        <w:rPr>
          <w:b/>
          <w:bCs/>
        </w:rPr>
        <w:t xml:space="preserve">Payer </w:t>
      </w:r>
      <w:r w:rsidR="00834CB3">
        <w:rPr>
          <w:b/>
          <w:bCs/>
        </w:rPr>
        <w:t xml:space="preserve">ABN </w:t>
      </w:r>
      <w:r w:rsidR="003E00BC">
        <w:rPr>
          <w:b/>
          <w:bCs/>
        </w:rPr>
        <w:t>(</w:t>
      </w:r>
      <w:r w:rsidR="003E00BC" w:rsidRPr="003E00BC">
        <w:rPr>
          <w:b/>
          <w:bCs/>
        </w:rPr>
        <w:t>PAYEVNTRECON5</w:t>
      </w:r>
      <w:r w:rsidR="003E00BC">
        <w:rPr>
          <w:b/>
          <w:bCs/>
        </w:rPr>
        <w:t xml:space="preserve">) </w:t>
      </w:r>
      <w:r w:rsidR="00CA0603">
        <w:rPr>
          <w:b/>
          <w:bCs/>
        </w:rPr>
        <w:t>and</w:t>
      </w:r>
      <w:r>
        <w:rPr>
          <w:b/>
          <w:bCs/>
        </w:rPr>
        <w:t xml:space="preserve"> Payer</w:t>
      </w:r>
      <w:r w:rsidR="00834CB3">
        <w:rPr>
          <w:b/>
          <w:bCs/>
        </w:rPr>
        <w:t xml:space="preserve"> WPN</w:t>
      </w:r>
      <w:r w:rsidR="003E00BC">
        <w:rPr>
          <w:b/>
          <w:bCs/>
        </w:rPr>
        <w:t xml:space="preserve"> (</w:t>
      </w:r>
      <w:r w:rsidR="003E00BC" w:rsidRPr="003E00BC">
        <w:rPr>
          <w:b/>
          <w:bCs/>
        </w:rPr>
        <w:t>PAYEVNTRECON6</w:t>
      </w:r>
      <w:r w:rsidR="003E00BC">
        <w:rPr>
          <w:b/>
          <w:bCs/>
        </w:rPr>
        <w:t>)</w:t>
      </w:r>
      <w:r w:rsidR="00834CB3">
        <w:rPr>
          <w:b/>
          <w:bCs/>
        </w:rPr>
        <w:t xml:space="preserve"> </w:t>
      </w:r>
    </w:p>
    <w:p w14:paraId="74E1AC0A" w14:textId="546D79F1" w:rsidR="00834CB3" w:rsidRDefault="00834CB3" w:rsidP="00B61725">
      <w:pPr>
        <w:pStyle w:val="NoSpacing"/>
        <w:spacing w:before="120" w:after="120" w:line="320" w:lineRule="exact"/>
      </w:pPr>
      <w:r>
        <w:t xml:space="preserve">To perform a search for a list of Pay events over a selected period, a valid ABN or WPN must be provided. The number provided must be valid as it will need to pass the algorithm checks. </w:t>
      </w:r>
    </w:p>
    <w:p w14:paraId="4CA7C4C8" w14:textId="06EBF1A3" w:rsidR="00834CB3" w:rsidRDefault="00834CB3" w:rsidP="00B61725">
      <w:pPr>
        <w:pStyle w:val="NoSpacing"/>
        <w:spacing w:before="120" w:after="120" w:line="320" w:lineRule="exact"/>
      </w:pPr>
      <w:r>
        <w:t>If an ABN is used, a WPN cannot be provided. If a WPN is used, an ABN cannot be provided.</w:t>
      </w:r>
    </w:p>
    <w:p w14:paraId="1AF83CF1" w14:textId="2D26917D" w:rsidR="00A53ADB" w:rsidRDefault="00A53ADB" w:rsidP="00B61725">
      <w:pPr>
        <w:pStyle w:val="NoSpacing"/>
        <w:spacing w:before="120" w:after="120" w:line="320" w:lineRule="exact"/>
      </w:pPr>
      <w:r>
        <w:t>Note: WPN results would only be limited to those entities that have lodged either through an intermediary or a SSP.</w:t>
      </w:r>
    </w:p>
    <w:p w14:paraId="1555E328" w14:textId="77777777" w:rsidR="00A53ADB" w:rsidRDefault="00A53ADB" w:rsidP="00944D9B">
      <w:pPr>
        <w:pStyle w:val="NoSpacing"/>
      </w:pPr>
    </w:p>
    <w:p w14:paraId="6BDFCD92" w14:textId="3BA83690" w:rsidR="00834CB3" w:rsidRPr="009F2528" w:rsidRDefault="0006436A" w:rsidP="00944D9B">
      <w:pPr>
        <w:pStyle w:val="NoSpacing"/>
        <w:rPr>
          <w:b/>
          <w:bCs/>
        </w:rPr>
      </w:pPr>
      <w:r>
        <w:rPr>
          <w:b/>
          <w:bCs/>
        </w:rPr>
        <w:t>Registered Agent Number</w:t>
      </w:r>
      <w:r w:rsidR="003E00BC">
        <w:rPr>
          <w:b/>
          <w:bCs/>
        </w:rPr>
        <w:t xml:space="preserve"> (</w:t>
      </w:r>
      <w:r w:rsidR="003E00BC" w:rsidRPr="003E00BC">
        <w:rPr>
          <w:b/>
          <w:bCs/>
        </w:rPr>
        <w:t>PAYEVNTRECON3</w:t>
      </w:r>
      <w:r w:rsidR="003E00BC">
        <w:rPr>
          <w:b/>
          <w:bCs/>
        </w:rPr>
        <w:t>)</w:t>
      </w:r>
      <w:r>
        <w:rPr>
          <w:b/>
          <w:bCs/>
        </w:rPr>
        <w:t xml:space="preserve"> </w:t>
      </w:r>
      <w:r w:rsidR="00CA0603">
        <w:rPr>
          <w:b/>
          <w:bCs/>
        </w:rPr>
        <w:t>and</w:t>
      </w:r>
      <w:r>
        <w:rPr>
          <w:b/>
          <w:bCs/>
        </w:rPr>
        <w:t xml:space="preserve"> Intermediary</w:t>
      </w:r>
      <w:r w:rsidR="00F51973">
        <w:rPr>
          <w:b/>
          <w:bCs/>
        </w:rPr>
        <w:t xml:space="preserve"> ABN</w:t>
      </w:r>
      <w:r w:rsidR="003E00BC">
        <w:rPr>
          <w:b/>
          <w:bCs/>
        </w:rPr>
        <w:t xml:space="preserve"> (</w:t>
      </w:r>
      <w:r w:rsidR="003E00BC" w:rsidRPr="003E00BC">
        <w:rPr>
          <w:b/>
          <w:bCs/>
        </w:rPr>
        <w:t>PAYEVNTRECON2</w:t>
      </w:r>
      <w:r w:rsidR="003E00BC">
        <w:rPr>
          <w:b/>
          <w:bCs/>
        </w:rPr>
        <w:t>)</w:t>
      </w:r>
      <w:r w:rsidR="00834CB3">
        <w:rPr>
          <w:b/>
          <w:bCs/>
        </w:rPr>
        <w:t xml:space="preserve"> </w:t>
      </w:r>
    </w:p>
    <w:p w14:paraId="03DE536D" w14:textId="24A1C0F3" w:rsidR="00834CB3" w:rsidRDefault="00F51973" w:rsidP="00B61725">
      <w:pPr>
        <w:pStyle w:val="NoSpacing"/>
        <w:spacing w:before="120" w:after="120" w:line="320" w:lineRule="exact"/>
      </w:pPr>
      <w:r>
        <w:t xml:space="preserve">As part of the search, the </w:t>
      </w:r>
      <w:r w:rsidR="005F2C8C">
        <w:t>I</w:t>
      </w:r>
      <w:r>
        <w:t>ntermediar</w:t>
      </w:r>
      <w:r w:rsidR="005F2C8C">
        <w:t>y</w:t>
      </w:r>
      <w:r>
        <w:t xml:space="preserve"> </w:t>
      </w:r>
      <w:r w:rsidR="00FD0797">
        <w:t>ABN,</w:t>
      </w:r>
      <w:r>
        <w:t xml:space="preserve"> or Registered Agent Number (RAN) can be </w:t>
      </w:r>
      <w:r w:rsidR="009A7CF0">
        <w:t>used</w:t>
      </w:r>
      <w:r>
        <w:t xml:space="preserve">.  </w:t>
      </w:r>
      <w:r w:rsidR="00CA04C1">
        <w:t>However, b</w:t>
      </w:r>
      <w:r>
        <w:t>oth fields are only optional</w:t>
      </w:r>
      <w:r w:rsidR="00834CB3">
        <w:t xml:space="preserve">. The number provided must be valid as it will need to pass the algorithm checks. </w:t>
      </w:r>
    </w:p>
    <w:p w14:paraId="7DDDBFF3" w14:textId="7EF8A93E" w:rsidR="007706C3" w:rsidRDefault="007706C3" w:rsidP="00283171">
      <w:pPr>
        <w:pStyle w:val="Heading2"/>
      </w:pPr>
      <w:bookmarkStart w:id="72" w:name="_Toc164157539"/>
      <w:r>
        <w:lastRenderedPageBreak/>
        <w:t>Search Parameters</w:t>
      </w:r>
      <w:bookmarkEnd w:id="72"/>
    </w:p>
    <w:p w14:paraId="424D1F10" w14:textId="36C0E7BF" w:rsidR="00834CB3" w:rsidRDefault="00834CB3" w:rsidP="00B61725">
      <w:pPr>
        <w:pStyle w:val="NoSpacing"/>
        <w:spacing w:before="120" w:after="120" w:line="320" w:lineRule="exact"/>
      </w:pPr>
      <w:r>
        <w:t>To narrow the search results, the requesting party can provide some search parameters. Most of the search parameters are optional</w:t>
      </w:r>
      <w:r w:rsidR="004749AF">
        <w:t>.</w:t>
      </w:r>
      <w:r>
        <w:t xml:space="preserve"> </w:t>
      </w:r>
      <w:r w:rsidR="004749AF">
        <w:t>H</w:t>
      </w:r>
      <w:r>
        <w:t>owever</w:t>
      </w:r>
      <w:r w:rsidR="004749AF">
        <w:t>,</w:t>
      </w:r>
      <w:r>
        <w:t xml:space="preserve"> parameters such as the date range must be provided by providing a Start Date and an End Date</w:t>
      </w:r>
      <w:r w:rsidR="002C212A">
        <w:t xml:space="preserve"> </w:t>
      </w:r>
      <w:r w:rsidR="004749AF">
        <w:t>as well as</w:t>
      </w:r>
      <w:r w:rsidR="002C212A">
        <w:t xml:space="preserve"> the</w:t>
      </w:r>
      <w:r w:rsidR="004749AF">
        <w:t xml:space="preserve"> Date Request Type by choosing either the</w:t>
      </w:r>
      <w:r w:rsidR="002C212A">
        <w:t xml:space="preserve"> ‘</w:t>
      </w:r>
      <w:r w:rsidR="005F2C8C">
        <w:t>P</w:t>
      </w:r>
      <w:r w:rsidR="00C56683">
        <w:t xml:space="preserve">ay/update date’ </w:t>
      </w:r>
      <w:r w:rsidR="002C212A">
        <w:t>or ‘</w:t>
      </w:r>
      <w:r w:rsidR="00C56683">
        <w:t>Run date/time stamp</w:t>
      </w:r>
      <w:r w:rsidR="00EF6A5B">
        <w:t xml:space="preserve"> (</w:t>
      </w:r>
      <w:r w:rsidR="00C56683">
        <w:t>date only</w:t>
      </w:r>
      <w:r w:rsidR="00EF6A5B">
        <w:t>)</w:t>
      </w:r>
      <w:r w:rsidR="00283171">
        <w:t>’</w:t>
      </w:r>
      <w:r w:rsidR="00C56683">
        <w:t>.</w:t>
      </w:r>
      <w:r>
        <w:t xml:space="preserve"> The date range between the provided Start Date and End Date must not be more than 12 months.</w:t>
      </w:r>
    </w:p>
    <w:p w14:paraId="52DEADD0" w14:textId="635348C6" w:rsidR="00834CB3" w:rsidRDefault="00834CB3" w:rsidP="00B61725">
      <w:pPr>
        <w:pStyle w:val="NoSpacing"/>
        <w:spacing w:before="120" w:after="120" w:line="320" w:lineRule="exact"/>
      </w:pPr>
      <w:r w:rsidRPr="0094044B">
        <w:t xml:space="preserve">The search parameters are passed to the Payer </w:t>
      </w:r>
      <w:proofErr w:type="spellStart"/>
      <w:r w:rsidRPr="0094044B">
        <w:t>PayEvent</w:t>
      </w:r>
      <w:proofErr w:type="spellEnd"/>
      <w:r w:rsidRPr="0094044B">
        <w:t xml:space="preserve"> Service</w:t>
      </w:r>
      <w:r>
        <w:t xml:space="preserve"> within the ATO</w:t>
      </w:r>
      <w:r w:rsidRPr="0094044B">
        <w:t xml:space="preserve">, </w:t>
      </w:r>
      <w:r>
        <w:t xml:space="preserve">to be </w:t>
      </w:r>
      <w:r w:rsidRPr="0094044B">
        <w:t xml:space="preserve">validated and </w:t>
      </w:r>
      <w:proofErr w:type="spellStart"/>
      <w:r w:rsidRPr="0094044B">
        <w:t>utilised</w:t>
      </w:r>
      <w:proofErr w:type="spellEnd"/>
      <w:r w:rsidRPr="0094044B">
        <w:t xml:space="preserve"> to define the search. The details </w:t>
      </w:r>
      <w:r w:rsidR="00CA0603">
        <w:t>that</w:t>
      </w:r>
      <w:r w:rsidRPr="0094044B">
        <w:t xml:space="preserve"> can be set are, </w:t>
      </w:r>
      <w:r w:rsidR="0002653F">
        <w:t>Date Request Type</w:t>
      </w:r>
      <w:r w:rsidRPr="0094044B">
        <w:t xml:space="preserve">, Branch ID, BMS ID and </w:t>
      </w:r>
      <w:r w:rsidR="0002653F">
        <w:t xml:space="preserve">Payroll </w:t>
      </w:r>
      <w:r w:rsidRPr="0094044B">
        <w:t>Event Type. If no par</w:t>
      </w:r>
      <w:r>
        <w:t>a</w:t>
      </w:r>
      <w:r w:rsidRPr="0094044B">
        <w:t>meters are passed, the Search All path wi</w:t>
      </w:r>
      <w:r>
        <w:t>l</w:t>
      </w:r>
      <w:r w:rsidRPr="0094044B">
        <w:t xml:space="preserve">l be </w:t>
      </w:r>
      <w:proofErr w:type="spellStart"/>
      <w:r w:rsidRPr="0094044B">
        <w:t>utilised</w:t>
      </w:r>
      <w:proofErr w:type="spellEnd"/>
      <w:r w:rsidRPr="0094044B">
        <w:t xml:space="preserve"> for the current financial yea</w:t>
      </w:r>
      <w:r>
        <w:t>r</w:t>
      </w:r>
      <w:r w:rsidRPr="0094044B">
        <w:t xml:space="preserve"> in </w:t>
      </w:r>
      <w:r w:rsidR="0019362B">
        <w:t>d</w:t>
      </w:r>
      <w:r w:rsidRPr="0094044B">
        <w:t xml:space="preserve">ate </w:t>
      </w:r>
      <w:r w:rsidR="0019362B">
        <w:t>d</w:t>
      </w:r>
      <w:r w:rsidRPr="0094044B">
        <w:t xml:space="preserve">escending order, </w:t>
      </w:r>
      <w:proofErr w:type="spellStart"/>
      <w:r w:rsidR="00E966F6">
        <w:t>utili</w:t>
      </w:r>
      <w:r w:rsidR="00A16890">
        <w:t>s</w:t>
      </w:r>
      <w:r w:rsidR="00E966F6">
        <w:t>ing</w:t>
      </w:r>
      <w:proofErr w:type="spellEnd"/>
      <w:r w:rsidRPr="0094044B">
        <w:t xml:space="preserve"> the </w:t>
      </w:r>
      <w:r w:rsidR="00C56683">
        <w:t>Pay/update date</w:t>
      </w:r>
      <w:r w:rsidR="00C56683" w:rsidRPr="00944D9B">
        <w:t xml:space="preserve"> or ‘</w:t>
      </w:r>
      <w:r w:rsidR="00C56683">
        <w:t>Run date/time stamp</w:t>
      </w:r>
      <w:r w:rsidR="00E966F6">
        <w:t xml:space="preserve"> (</w:t>
      </w:r>
      <w:r w:rsidR="00C56683" w:rsidRPr="00944D9B">
        <w:t>date</w:t>
      </w:r>
      <w:r w:rsidR="00E966F6">
        <w:t xml:space="preserve"> only)</w:t>
      </w:r>
      <w:r w:rsidR="00283171">
        <w:t>’</w:t>
      </w:r>
      <w:r w:rsidRPr="0094044B">
        <w:t>.</w:t>
      </w:r>
    </w:p>
    <w:p w14:paraId="43BEE72B" w14:textId="33E4B3DF" w:rsidR="00834CB3" w:rsidRDefault="00834CB3" w:rsidP="005B0149">
      <w:pPr>
        <w:pStyle w:val="NoSpacing"/>
        <w:spacing w:before="120" w:after="120" w:line="320" w:lineRule="exact"/>
      </w:pPr>
    </w:p>
    <w:p w14:paraId="7CB79CC5" w14:textId="687FDCB3" w:rsidR="003875BC" w:rsidRPr="00A04CB9" w:rsidRDefault="003875BC" w:rsidP="003875BC">
      <w:pPr>
        <w:pStyle w:val="NoSpacing"/>
        <w:rPr>
          <w:b/>
          <w:bCs/>
        </w:rPr>
      </w:pPr>
      <w:r w:rsidRPr="00A04CB9">
        <w:rPr>
          <w:b/>
          <w:bCs/>
        </w:rPr>
        <w:t>Date Request Type</w:t>
      </w:r>
      <w:r w:rsidR="003E00BC">
        <w:rPr>
          <w:b/>
          <w:bCs/>
        </w:rPr>
        <w:t xml:space="preserve"> (</w:t>
      </w:r>
      <w:r w:rsidR="003E00BC" w:rsidRPr="003E00BC">
        <w:rPr>
          <w:b/>
          <w:bCs/>
        </w:rPr>
        <w:t>PAYEVNTRECON12</w:t>
      </w:r>
      <w:r w:rsidR="003E00BC">
        <w:rPr>
          <w:b/>
          <w:bCs/>
        </w:rPr>
        <w:t>)</w:t>
      </w:r>
    </w:p>
    <w:p w14:paraId="2B0627CE" w14:textId="3BE46DE2" w:rsidR="003875BC" w:rsidRPr="00944D9B" w:rsidRDefault="003875BC" w:rsidP="00B61725">
      <w:pPr>
        <w:pStyle w:val="Maintext"/>
        <w:spacing w:before="120" w:after="120" w:line="320" w:lineRule="exact"/>
        <w:rPr>
          <w:rFonts w:eastAsiaTheme="minorHAnsi" w:cs="Arial"/>
          <w:szCs w:val="22"/>
          <w:lang w:eastAsia="en-US"/>
        </w:rPr>
      </w:pPr>
      <w:r w:rsidRPr="00944D9B">
        <w:rPr>
          <w:rFonts w:eastAsiaTheme="minorHAnsi" w:cs="Arial"/>
          <w:szCs w:val="22"/>
          <w:lang w:eastAsia="en-US"/>
        </w:rPr>
        <w:t xml:space="preserve">This determines if the request’s date range </w:t>
      </w:r>
      <w:r w:rsidR="00464170">
        <w:rPr>
          <w:rFonts w:eastAsiaTheme="minorHAnsi" w:cs="Arial"/>
          <w:szCs w:val="22"/>
          <w:lang w:eastAsia="en-US"/>
        </w:rPr>
        <w:t>(</w:t>
      </w:r>
      <w:r w:rsidRPr="00944D9B">
        <w:rPr>
          <w:rFonts w:eastAsiaTheme="minorHAnsi" w:cs="Arial"/>
          <w:szCs w:val="22"/>
          <w:lang w:eastAsia="en-US"/>
        </w:rPr>
        <w:t>as specified by the Start date and End date</w:t>
      </w:r>
      <w:r w:rsidR="00464170">
        <w:rPr>
          <w:rFonts w:eastAsiaTheme="minorHAnsi" w:cs="Arial"/>
          <w:szCs w:val="22"/>
          <w:lang w:eastAsia="en-US"/>
        </w:rPr>
        <w:t>)</w:t>
      </w:r>
      <w:r w:rsidRPr="00944D9B">
        <w:rPr>
          <w:rFonts w:eastAsiaTheme="minorHAnsi" w:cs="Arial"/>
          <w:szCs w:val="22"/>
          <w:lang w:eastAsia="en-US"/>
        </w:rPr>
        <w:t xml:space="preserve"> is for the events’ ‘Effective Date’</w:t>
      </w:r>
      <w:r w:rsidR="00E81F05">
        <w:rPr>
          <w:rFonts w:eastAsiaTheme="minorHAnsi" w:cs="Arial"/>
          <w:szCs w:val="22"/>
          <w:lang w:eastAsia="en-US"/>
        </w:rPr>
        <w:t xml:space="preserve"> (</w:t>
      </w:r>
      <w:r w:rsidR="00690130">
        <w:rPr>
          <w:rFonts w:eastAsiaTheme="minorHAnsi" w:cs="Arial"/>
          <w:szCs w:val="22"/>
          <w:lang w:eastAsia="en-US"/>
        </w:rPr>
        <w:t>P</w:t>
      </w:r>
      <w:r w:rsidR="00E81F05">
        <w:rPr>
          <w:rFonts w:eastAsiaTheme="minorHAnsi" w:cs="Arial"/>
          <w:szCs w:val="22"/>
          <w:lang w:eastAsia="en-US"/>
        </w:rPr>
        <w:t>ay</w:t>
      </w:r>
      <w:r w:rsidR="00690130">
        <w:rPr>
          <w:rFonts w:eastAsiaTheme="minorHAnsi" w:cs="Arial"/>
          <w:szCs w:val="22"/>
          <w:lang w:eastAsia="en-US"/>
        </w:rPr>
        <w:t>/</w:t>
      </w:r>
      <w:r w:rsidR="00E81F05">
        <w:rPr>
          <w:rFonts w:eastAsiaTheme="minorHAnsi" w:cs="Arial"/>
          <w:szCs w:val="22"/>
          <w:lang w:eastAsia="en-US"/>
        </w:rPr>
        <w:t>update</w:t>
      </w:r>
      <w:r w:rsidR="00690130">
        <w:rPr>
          <w:rFonts w:eastAsiaTheme="minorHAnsi" w:cs="Arial"/>
          <w:szCs w:val="22"/>
          <w:lang w:eastAsia="en-US"/>
        </w:rPr>
        <w:t xml:space="preserve"> </w:t>
      </w:r>
      <w:r w:rsidR="00E81F05">
        <w:rPr>
          <w:rFonts w:eastAsiaTheme="minorHAnsi" w:cs="Arial"/>
          <w:szCs w:val="22"/>
          <w:lang w:eastAsia="en-US"/>
        </w:rPr>
        <w:t>date</w:t>
      </w:r>
      <w:r w:rsidR="00CF0C52">
        <w:rPr>
          <w:rFonts w:eastAsiaTheme="minorHAnsi" w:cs="Arial"/>
          <w:szCs w:val="22"/>
          <w:lang w:eastAsia="en-US"/>
        </w:rPr>
        <w:t>)</w:t>
      </w:r>
      <w:r w:rsidRPr="00944D9B">
        <w:rPr>
          <w:rFonts w:eastAsiaTheme="minorHAnsi" w:cs="Arial"/>
          <w:szCs w:val="22"/>
          <w:lang w:eastAsia="en-US"/>
        </w:rPr>
        <w:t xml:space="preserve"> or ‘Reported Date’</w:t>
      </w:r>
      <w:r w:rsidR="00E81F05">
        <w:rPr>
          <w:rFonts w:eastAsiaTheme="minorHAnsi" w:cs="Arial"/>
          <w:szCs w:val="22"/>
          <w:lang w:eastAsia="en-US"/>
        </w:rPr>
        <w:t xml:space="preserve"> (</w:t>
      </w:r>
      <w:r w:rsidR="00690130">
        <w:rPr>
          <w:rFonts w:eastAsiaTheme="minorHAnsi" w:cs="Arial"/>
          <w:szCs w:val="22"/>
          <w:lang w:eastAsia="en-US"/>
        </w:rPr>
        <w:t>R</w:t>
      </w:r>
      <w:r w:rsidR="00E81F05">
        <w:rPr>
          <w:rFonts w:eastAsiaTheme="minorHAnsi" w:cs="Arial"/>
          <w:szCs w:val="22"/>
          <w:lang w:eastAsia="en-US"/>
        </w:rPr>
        <w:t>un date/time stamp</w:t>
      </w:r>
      <w:r w:rsidR="007A6CF8">
        <w:rPr>
          <w:rFonts w:eastAsiaTheme="minorHAnsi" w:cs="Arial"/>
          <w:szCs w:val="22"/>
          <w:lang w:eastAsia="en-US"/>
        </w:rPr>
        <w:t xml:space="preserve"> -</w:t>
      </w:r>
      <w:r w:rsidR="00875B8F">
        <w:t xml:space="preserve"> </w:t>
      </w:r>
      <w:r w:rsidR="00875B8F" w:rsidRPr="00944D9B">
        <w:t>date only)</w:t>
      </w:r>
      <w:r w:rsidRPr="00944D9B">
        <w:rPr>
          <w:rFonts w:eastAsiaTheme="minorHAnsi" w:cs="Arial"/>
          <w:szCs w:val="22"/>
          <w:lang w:eastAsia="en-US"/>
        </w:rPr>
        <w:t>.  One of these options must be selected.</w:t>
      </w:r>
      <w:r w:rsidR="00875B8F">
        <w:rPr>
          <w:rFonts w:eastAsiaTheme="minorHAnsi" w:cs="Arial"/>
          <w:szCs w:val="22"/>
          <w:lang w:eastAsia="en-US"/>
        </w:rPr>
        <w:t xml:space="preserve"> </w:t>
      </w:r>
    </w:p>
    <w:p w14:paraId="0DB737F6" w14:textId="77777777" w:rsidR="00834CB3" w:rsidRDefault="00834CB3" w:rsidP="005B0149">
      <w:pPr>
        <w:pStyle w:val="NoSpacing"/>
        <w:spacing w:before="120" w:after="120" w:line="320" w:lineRule="exact"/>
      </w:pPr>
    </w:p>
    <w:p w14:paraId="48EA9BF4" w14:textId="46726E6E" w:rsidR="00834CB3" w:rsidRPr="0015592B" w:rsidRDefault="00834CB3" w:rsidP="00834CB3">
      <w:pPr>
        <w:pStyle w:val="NoSpacing"/>
        <w:rPr>
          <w:b/>
          <w:bCs/>
        </w:rPr>
      </w:pPr>
      <w:r w:rsidRPr="0015592B">
        <w:rPr>
          <w:b/>
          <w:bCs/>
        </w:rPr>
        <w:t>Start Date</w:t>
      </w:r>
      <w:r w:rsidR="003E00BC">
        <w:rPr>
          <w:b/>
          <w:bCs/>
        </w:rPr>
        <w:t xml:space="preserve"> (</w:t>
      </w:r>
      <w:r w:rsidR="003E00BC" w:rsidRPr="003E00BC">
        <w:rPr>
          <w:b/>
          <w:bCs/>
        </w:rPr>
        <w:t>PAYEVNTRECON10</w:t>
      </w:r>
      <w:r w:rsidR="003E00BC">
        <w:rPr>
          <w:b/>
          <w:bCs/>
        </w:rPr>
        <w:t>)</w:t>
      </w:r>
    </w:p>
    <w:p w14:paraId="723986A3" w14:textId="745A2700" w:rsidR="00464170" w:rsidRDefault="00464170" w:rsidP="00B61725">
      <w:pPr>
        <w:pStyle w:val="NoSpacing"/>
        <w:spacing w:before="120" w:after="120" w:line="320" w:lineRule="exact"/>
      </w:pPr>
      <w:r>
        <w:t>This mandatory field specifies the start date for the search.</w:t>
      </w:r>
      <w:r w:rsidR="0044349F">
        <w:t xml:space="preserve"> The start date relates to the “Date request type”.</w:t>
      </w:r>
    </w:p>
    <w:p w14:paraId="6B6DB355" w14:textId="0C980B56" w:rsidR="00834CB3" w:rsidRDefault="00834CB3" w:rsidP="00B61725">
      <w:pPr>
        <w:pStyle w:val="NoSpacing"/>
        <w:numPr>
          <w:ilvl w:val="0"/>
          <w:numId w:val="28"/>
        </w:numPr>
        <w:spacing w:before="60" w:after="60" w:line="320" w:lineRule="exact"/>
        <w:ind w:left="425" w:hanging="425"/>
        <w:contextualSpacing/>
      </w:pPr>
      <w:r>
        <w:t xml:space="preserve">A </w:t>
      </w:r>
      <w:r w:rsidR="00464170">
        <w:t>s</w:t>
      </w:r>
      <w:r>
        <w:t xml:space="preserve">tart </w:t>
      </w:r>
      <w:r w:rsidR="00464170">
        <w:t>d</w:t>
      </w:r>
      <w:r>
        <w:t xml:space="preserve">ate must be </w:t>
      </w:r>
      <w:proofErr w:type="gramStart"/>
      <w:r>
        <w:t>provided</w:t>
      </w:r>
      <w:proofErr w:type="gramEnd"/>
    </w:p>
    <w:p w14:paraId="6A85BFF5" w14:textId="2ED264D4" w:rsidR="00834CB3" w:rsidRDefault="00E81F05" w:rsidP="00B61725">
      <w:pPr>
        <w:pStyle w:val="NoSpacing"/>
        <w:numPr>
          <w:ilvl w:val="0"/>
          <w:numId w:val="28"/>
        </w:numPr>
        <w:spacing w:before="60" w:after="60" w:line="320" w:lineRule="exact"/>
        <w:ind w:left="425" w:hanging="425"/>
        <w:contextualSpacing/>
      </w:pPr>
      <w:r>
        <w:t>S</w:t>
      </w:r>
      <w:r w:rsidR="00834CB3">
        <w:t xml:space="preserve">tart date must be prior to end </w:t>
      </w:r>
      <w:proofErr w:type="gramStart"/>
      <w:r w:rsidR="00834CB3">
        <w:t>date</w:t>
      </w:r>
      <w:proofErr w:type="gramEnd"/>
    </w:p>
    <w:p w14:paraId="2822126A" w14:textId="1A624C8F" w:rsidR="00834CB3" w:rsidRDefault="00834CB3" w:rsidP="00B61725">
      <w:pPr>
        <w:pStyle w:val="NoSpacing"/>
        <w:numPr>
          <w:ilvl w:val="0"/>
          <w:numId w:val="28"/>
        </w:numPr>
        <w:spacing w:before="60" w:after="60" w:line="320" w:lineRule="exact"/>
        <w:ind w:left="425" w:hanging="425"/>
        <w:contextualSpacing/>
      </w:pPr>
      <w:r>
        <w:t xml:space="preserve">The </w:t>
      </w:r>
      <w:r w:rsidR="00464170">
        <w:t>s</w:t>
      </w:r>
      <w:r>
        <w:t xml:space="preserve">tart </w:t>
      </w:r>
      <w:r w:rsidR="00464170">
        <w:t>d</w:t>
      </w:r>
      <w:r>
        <w:t xml:space="preserve">ate must not be more than 4 years before the current financial </w:t>
      </w:r>
      <w:proofErr w:type="gramStart"/>
      <w:r>
        <w:t>year</w:t>
      </w:r>
      <w:proofErr w:type="gramEnd"/>
    </w:p>
    <w:p w14:paraId="3E294260" w14:textId="043C25D8" w:rsidR="00834CB3" w:rsidRDefault="00834CB3" w:rsidP="00B61725">
      <w:pPr>
        <w:pStyle w:val="NoSpacing"/>
        <w:numPr>
          <w:ilvl w:val="0"/>
          <w:numId w:val="28"/>
        </w:numPr>
        <w:spacing w:before="60" w:after="60" w:line="320" w:lineRule="exact"/>
        <w:ind w:left="425" w:hanging="425"/>
        <w:contextualSpacing/>
      </w:pPr>
      <w:r>
        <w:t xml:space="preserve">The </w:t>
      </w:r>
      <w:r w:rsidR="00464170">
        <w:t>s</w:t>
      </w:r>
      <w:r>
        <w:t xml:space="preserve">tart </w:t>
      </w:r>
      <w:r w:rsidR="00464170">
        <w:t>d</w:t>
      </w:r>
      <w:r>
        <w:t>ate must not be a future date</w:t>
      </w:r>
      <w:r w:rsidR="00CD1B5A">
        <w:t>.</w:t>
      </w:r>
    </w:p>
    <w:p w14:paraId="345954F1" w14:textId="77777777" w:rsidR="007A6CF8" w:rsidRDefault="007A6CF8" w:rsidP="005B0149">
      <w:pPr>
        <w:pStyle w:val="NoSpacing"/>
        <w:spacing w:before="120" w:after="120" w:line="320" w:lineRule="exact"/>
      </w:pPr>
    </w:p>
    <w:p w14:paraId="01FF918D" w14:textId="0BBBF00B" w:rsidR="00834CB3" w:rsidRPr="0015592B" w:rsidRDefault="00834CB3" w:rsidP="00834CB3">
      <w:pPr>
        <w:pStyle w:val="NoSpacing"/>
        <w:rPr>
          <w:b/>
          <w:bCs/>
        </w:rPr>
      </w:pPr>
      <w:r w:rsidRPr="0015592B">
        <w:rPr>
          <w:b/>
          <w:bCs/>
        </w:rPr>
        <w:t>End Date</w:t>
      </w:r>
      <w:r w:rsidR="003E00BC">
        <w:rPr>
          <w:b/>
          <w:bCs/>
        </w:rPr>
        <w:t xml:space="preserve"> (</w:t>
      </w:r>
      <w:r w:rsidR="003E00BC" w:rsidRPr="003E00BC">
        <w:rPr>
          <w:b/>
          <w:bCs/>
        </w:rPr>
        <w:t>PAYEVNTRECON11</w:t>
      </w:r>
      <w:r w:rsidR="003E00BC">
        <w:rPr>
          <w:b/>
          <w:bCs/>
        </w:rPr>
        <w:t>)</w:t>
      </w:r>
    </w:p>
    <w:p w14:paraId="32CEEBF0" w14:textId="0D1BBC9C" w:rsidR="00464170" w:rsidRDefault="00464170" w:rsidP="00B61725">
      <w:pPr>
        <w:pStyle w:val="NoSpacing"/>
        <w:spacing w:before="120" w:after="120" w:line="320" w:lineRule="exact"/>
      </w:pPr>
      <w:r>
        <w:t>This mandatory field specifies the end date for the search.</w:t>
      </w:r>
      <w:r w:rsidR="0044349F">
        <w:t xml:space="preserve"> The end date relates to the “Date request type”.</w:t>
      </w:r>
    </w:p>
    <w:p w14:paraId="447F8898" w14:textId="77AD214A" w:rsidR="00834CB3" w:rsidRDefault="00834CB3" w:rsidP="00B61725">
      <w:pPr>
        <w:pStyle w:val="NoSpacing"/>
        <w:numPr>
          <w:ilvl w:val="0"/>
          <w:numId w:val="29"/>
        </w:numPr>
        <w:spacing w:before="60" w:after="60" w:line="320" w:lineRule="exact"/>
        <w:ind w:left="425" w:hanging="425"/>
        <w:contextualSpacing/>
      </w:pPr>
      <w:r>
        <w:t xml:space="preserve">An </w:t>
      </w:r>
      <w:r w:rsidR="00464170">
        <w:t>e</w:t>
      </w:r>
      <w:r>
        <w:t xml:space="preserve">nd </w:t>
      </w:r>
      <w:r w:rsidR="00464170">
        <w:t>d</w:t>
      </w:r>
      <w:r>
        <w:t xml:space="preserve">ate must be </w:t>
      </w:r>
      <w:proofErr w:type="gramStart"/>
      <w:r>
        <w:t>provided</w:t>
      </w:r>
      <w:proofErr w:type="gramEnd"/>
    </w:p>
    <w:p w14:paraId="39EA092A" w14:textId="6B449BCE" w:rsidR="00E83EB2" w:rsidRDefault="00834CB3" w:rsidP="00B61725">
      <w:pPr>
        <w:pStyle w:val="NoSpacing"/>
        <w:numPr>
          <w:ilvl w:val="0"/>
          <w:numId w:val="29"/>
        </w:numPr>
        <w:spacing w:before="60" w:after="60" w:line="320" w:lineRule="exact"/>
        <w:ind w:left="425" w:hanging="425"/>
        <w:contextualSpacing/>
      </w:pPr>
      <w:r>
        <w:t xml:space="preserve">The </w:t>
      </w:r>
      <w:r w:rsidR="00464170">
        <w:t>e</w:t>
      </w:r>
      <w:r>
        <w:t xml:space="preserve">nd </w:t>
      </w:r>
      <w:r w:rsidR="00464170">
        <w:t>d</w:t>
      </w:r>
      <w:r>
        <w:t xml:space="preserve">ate cannot be more than 6 months after today's </w:t>
      </w:r>
      <w:proofErr w:type="gramStart"/>
      <w:r>
        <w:t>date</w:t>
      </w:r>
      <w:proofErr w:type="gramEnd"/>
    </w:p>
    <w:p w14:paraId="6BA7F5CD" w14:textId="0111AB36" w:rsidR="00834CB3" w:rsidRDefault="00E83EB2" w:rsidP="00B61725">
      <w:pPr>
        <w:pStyle w:val="NoSpacing"/>
        <w:numPr>
          <w:ilvl w:val="0"/>
          <w:numId w:val="29"/>
        </w:numPr>
        <w:spacing w:before="60" w:after="60" w:line="320" w:lineRule="exact"/>
        <w:ind w:left="425" w:hanging="425"/>
        <w:contextualSpacing/>
      </w:pPr>
      <w:r>
        <w:t xml:space="preserve">The </w:t>
      </w:r>
      <w:r w:rsidR="00464170">
        <w:t>e</w:t>
      </w:r>
      <w:r>
        <w:t xml:space="preserve">nd </w:t>
      </w:r>
      <w:r w:rsidR="00464170">
        <w:t>d</w:t>
      </w:r>
      <w:r>
        <w:t>ate cannot be more than 12 months after the Start Date</w:t>
      </w:r>
      <w:r w:rsidR="00834CB3">
        <w:t>.</w:t>
      </w:r>
    </w:p>
    <w:p w14:paraId="58EE3F31" w14:textId="46FB27D2" w:rsidR="00C43F1A" w:rsidRDefault="00C43F1A" w:rsidP="005B0149">
      <w:pPr>
        <w:pStyle w:val="NoSpacing"/>
        <w:spacing w:before="120" w:after="120" w:line="320" w:lineRule="exact"/>
        <w:rPr>
          <w:lang w:val="en-AU"/>
        </w:rPr>
      </w:pPr>
    </w:p>
    <w:p w14:paraId="4FFAB9A6" w14:textId="59CE701E" w:rsidR="00C43F1A" w:rsidRPr="00497557" w:rsidRDefault="003E00BC" w:rsidP="00C43F1A">
      <w:pPr>
        <w:pStyle w:val="NoSpacing"/>
        <w:rPr>
          <w:b/>
          <w:bCs/>
        </w:rPr>
      </w:pPr>
      <w:r>
        <w:rPr>
          <w:b/>
          <w:bCs/>
        </w:rPr>
        <w:t>Payer Branch Code (</w:t>
      </w:r>
      <w:r w:rsidRPr="003E00BC">
        <w:rPr>
          <w:b/>
          <w:bCs/>
        </w:rPr>
        <w:t>PAYEVNTRECON7</w:t>
      </w:r>
      <w:r>
        <w:rPr>
          <w:b/>
          <w:bCs/>
        </w:rPr>
        <w:t>)</w:t>
      </w:r>
    </w:p>
    <w:p w14:paraId="60B0F6B6" w14:textId="7C1F56A1" w:rsidR="00C43F1A" w:rsidRPr="00944D9B" w:rsidRDefault="00C43F1A" w:rsidP="00B61725">
      <w:pPr>
        <w:pStyle w:val="NoSpacing"/>
        <w:spacing w:before="120" w:after="120" w:line="320" w:lineRule="exact"/>
        <w:rPr>
          <w:lang w:val="en-AU"/>
        </w:rPr>
      </w:pPr>
      <w:r w:rsidRPr="00944D9B">
        <w:rPr>
          <w:lang w:val="en-AU"/>
        </w:rPr>
        <w:t xml:space="preserve">This is an optional field. Providing </w:t>
      </w:r>
      <w:r>
        <w:rPr>
          <w:lang w:val="en-AU"/>
        </w:rPr>
        <w:t xml:space="preserve">a </w:t>
      </w:r>
      <w:r w:rsidR="00B706C7">
        <w:rPr>
          <w:lang w:val="en-AU"/>
        </w:rPr>
        <w:t>B</w:t>
      </w:r>
      <w:r>
        <w:rPr>
          <w:lang w:val="en-AU"/>
        </w:rPr>
        <w:t>ranch ID</w:t>
      </w:r>
      <w:r w:rsidRPr="00944D9B">
        <w:rPr>
          <w:lang w:val="en-AU"/>
        </w:rPr>
        <w:t xml:space="preserve"> will limit the records returned to those submitted with th</w:t>
      </w:r>
      <w:r>
        <w:rPr>
          <w:lang w:val="en-AU"/>
        </w:rPr>
        <w:t>e same</w:t>
      </w:r>
      <w:r w:rsidRPr="00944D9B">
        <w:rPr>
          <w:lang w:val="en-AU"/>
        </w:rPr>
        <w:t xml:space="preserve"> </w:t>
      </w:r>
      <w:r w:rsidR="00B706C7">
        <w:rPr>
          <w:lang w:val="en-AU"/>
        </w:rPr>
        <w:t xml:space="preserve">Branch </w:t>
      </w:r>
      <w:r>
        <w:rPr>
          <w:lang w:val="en-AU"/>
        </w:rPr>
        <w:t>ID</w:t>
      </w:r>
      <w:r w:rsidRPr="00944D9B">
        <w:rPr>
          <w:lang w:val="en-AU"/>
        </w:rPr>
        <w:t>.</w:t>
      </w:r>
    </w:p>
    <w:p w14:paraId="2C338825" w14:textId="21B2DBD5" w:rsidR="00C43F1A" w:rsidRDefault="00C43F1A" w:rsidP="00E44782">
      <w:pPr>
        <w:pStyle w:val="NoSpacing"/>
        <w:spacing w:before="120" w:after="120" w:line="320" w:lineRule="exact"/>
      </w:pPr>
    </w:p>
    <w:p w14:paraId="22306F4B" w14:textId="5FB024C2" w:rsidR="00834CB3" w:rsidRPr="00497557" w:rsidRDefault="00834CB3" w:rsidP="00834CB3">
      <w:pPr>
        <w:pStyle w:val="NoSpacing"/>
        <w:rPr>
          <w:b/>
          <w:bCs/>
        </w:rPr>
      </w:pPr>
      <w:r w:rsidRPr="00497557">
        <w:rPr>
          <w:b/>
          <w:bCs/>
        </w:rPr>
        <w:t>BMS I</w:t>
      </w:r>
      <w:r w:rsidR="003E00BC">
        <w:rPr>
          <w:b/>
          <w:bCs/>
        </w:rPr>
        <w:t>dentifier (</w:t>
      </w:r>
      <w:r w:rsidR="003E00BC" w:rsidRPr="003E00BC">
        <w:rPr>
          <w:b/>
          <w:bCs/>
        </w:rPr>
        <w:t>PAYEVNTRECON8</w:t>
      </w:r>
      <w:r w:rsidR="003E00BC">
        <w:rPr>
          <w:b/>
          <w:bCs/>
        </w:rPr>
        <w:t>)</w:t>
      </w:r>
    </w:p>
    <w:p w14:paraId="701DCC35" w14:textId="594B53E6" w:rsidR="00834CB3" w:rsidRPr="00E90EC4" w:rsidRDefault="00834CB3" w:rsidP="00E90EC4">
      <w:pPr>
        <w:pStyle w:val="NoSpacing"/>
        <w:spacing w:before="120" w:after="120" w:line="320" w:lineRule="exact"/>
        <w:rPr>
          <w:lang w:val="en-AU"/>
        </w:rPr>
      </w:pPr>
      <w:r w:rsidRPr="00944D9B">
        <w:rPr>
          <w:lang w:val="en-AU"/>
        </w:rPr>
        <w:t>This is an optional search field. Providing this identifier will limit the records returned to those submitted with this identifier.</w:t>
      </w:r>
      <w:r w:rsidR="007C79EB">
        <w:tab/>
      </w:r>
    </w:p>
    <w:p w14:paraId="422FF6C1" w14:textId="2E6A332B" w:rsidR="00834CB3" w:rsidRPr="00922E36" w:rsidRDefault="00834CB3" w:rsidP="00922E36">
      <w:pPr>
        <w:spacing w:before="0" w:after="160" w:line="259" w:lineRule="auto"/>
        <w:rPr>
          <w:b/>
          <w:bCs/>
          <w:lang w:val="en-US"/>
        </w:rPr>
      </w:pPr>
      <w:r w:rsidRPr="00170D09">
        <w:rPr>
          <w:b/>
          <w:bCs/>
        </w:rPr>
        <w:lastRenderedPageBreak/>
        <w:t>Payroll Event Type</w:t>
      </w:r>
      <w:r w:rsidR="003E00BC">
        <w:rPr>
          <w:b/>
          <w:bCs/>
        </w:rPr>
        <w:t xml:space="preserve"> (</w:t>
      </w:r>
      <w:r w:rsidR="003E00BC" w:rsidRPr="003E00BC">
        <w:rPr>
          <w:b/>
          <w:bCs/>
        </w:rPr>
        <w:t>PAYEVNTRECON9</w:t>
      </w:r>
      <w:r w:rsidR="003E00BC">
        <w:rPr>
          <w:b/>
          <w:bCs/>
        </w:rPr>
        <w:t>)</w:t>
      </w:r>
    </w:p>
    <w:p w14:paraId="451A1A5D" w14:textId="2A60E277" w:rsidR="00834CB3" w:rsidRDefault="00834CB3" w:rsidP="00B61725">
      <w:pPr>
        <w:pStyle w:val="NoSpacing"/>
        <w:spacing w:before="120" w:after="120" w:line="320" w:lineRule="exact"/>
      </w:pPr>
      <w:r>
        <w:t>This is an optional search field. This is used to filter for a particular type of Pay Event. The choices are:</w:t>
      </w:r>
    </w:p>
    <w:p w14:paraId="157229DE" w14:textId="5872EAE9" w:rsidR="00834CB3" w:rsidRDefault="00834CB3" w:rsidP="00B61725">
      <w:pPr>
        <w:pStyle w:val="NoSpacing"/>
        <w:numPr>
          <w:ilvl w:val="0"/>
          <w:numId w:val="27"/>
        </w:numPr>
        <w:spacing w:before="60" w:after="60" w:line="320" w:lineRule="exact"/>
        <w:ind w:left="425" w:hanging="425"/>
        <w:contextualSpacing/>
      </w:pPr>
      <w:r>
        <w:t xml:space="preserve">Submit </w:t>
      </w:r>
      <w:proofErr w:type="gramStart"/>
      <w:r w:rsidR="00131FF0">
        <w:t>action</w:t>
      </w:r>
      <w:r>
        <w:t>s</w:t>
      </w:r>
      <w:proofErr w:type="gramEnd"/>
    </w:p>
    <w:p w14:paraId="57BCF972" w14:textId="4BAADAF0" w:rsidR="00834CB3" w:rsidRDefault="00834CB3" w:rsidP="00B61725">
      <w:pPr>
        <w:pStyle w:val="NoSpacing"/>
        <w:numPr>
          <w:ilvl w:val="0"/>
          <w:numId w:val="27"/>
        </w:numPr>
        <w:spacing w:before="60" w:after="60" w:line="320" w:lineRule="exact"/>
        <w:ind w:left="425" w:hanging="425"/>
        <w:contextualSpacing/>
      </w:pPr>
      <w:r>
        <w:t xml:space="preserve">Update </w:t>
      </w:r>
      <w:r w:rsidR="00131FF0">
        <w:t>action</w:t>
      </w:r>
      <w:r>
        <w:t>s</w:t>
      </w:r>
    </w:p>
    <w:p w14:paraId="07BA756A" w14:textId="2F51B8D1" w:rsidR="00834CB3" w:rsidRDefault="00131FF0" w:rsidP="00B61725">
      <w:pPr>
        <w:pStyle w:val="NoSpacing"/>
        <w:numPr>
          <w:ilvl w:val="0"/>
          <w:numId w:val="27"/>
        </w:numPr>
        <w:spacing w:before="60" w:after="60" w:line="320" w:lineRule="exact"/>
        <w:ind w:left="425" w:hanging="425"/>
        <w:contextualSpacing/>
      </w:pPr>
      <w:r w:rsidRPr="00B61725">
        <w:t>Adjust</w:t>
      </w:r>
      <w:r w:rsidR="00834CB3">
        <w:t xml:space="preserve"> </w:t>
      </w:r>
      <w:r>
        <w:t>action</w:t>
      </w:r>
      <w:r w:rsidR="00834CB3">
        <w:t>s</w:t>
      </w:r>
      <w:r w:rsidR="00CD1B5A">
        <w:t>.</w:t>
      </w:r>
    </w:p>
    <w:p w14:paraId="173725AC" w14:textId="61DCA9BF" w:rsidR="00834CB3" w:rsidRDefault="0044349F" w:rsidP="00B61725">
      <w:pPr>
        <w:pStyle w:val="NoSpacing"/>
        <w:spacing w:before="120" w:after="120" w:line="320" w:lineRule="exact"/>
      </w:pPr>
      <w:r>
        <w:t>Providing the pay</w:t>
      </w:r>
      <w:r w:rsidR="00813794">
        <w:t>roll</w:t>
      </w:r>
      <w:r>
        <w:t xml:space="preserve"> event type will limit the response to only those types of events. </w:t>
      </w:r>
      <w:r w:rsidR="00834CB3">
        <w:t>Not providing an option will return results for all three types of events.</w:t>
      </w:r>
    </w:p>
    <w:p w14:paraId="39ACF9DF" w14:textId="0C2A02C4" w:rsidR="00834CB3" w:rsidRDefault="00834CB3" w:rsidP="00B61725">
      <w:pPr>
        <w:pStyle w:val="NoSpacing"/>
        <w:spacing w:before="120" w:after="120" w:line="320" w:lineRule="exact"/>
      </w:pPr>
      <w:r>
        <w:t xml:space="preserve">(Reference </w:t>
      </w:r>
      <w:hyperlink r:id="rId18" w:history="1">
        <w:r w:rsidR="00B23397" w:rsidRPr="00404185">
          <w:rPr>
            <w:rStyle w:val="Hyperlink"/>
          </w:rPr>
          <w:t>ATO</w:t>
        </w:r>
        <w:r w:rsidR="00AE2D58" w:rsidRPr="00404185">
          <w:rPr>
            <w:rStyle w:val="Hyperlink"/>
          </w:rPr>
          <w:t xml:space="preserve"> P</w:t>
        </w:r>
        <w:r w:rsidR="00B23397" w:rsidRPr="00404185">
          <w:rPr>
            <w:rStyle w:val="Hyperlink"/>
          </w:rPr>
          <w:t>ayevnt.0004 2020 Business Implementation Guide</w:t>
        </w:r>
      </w:hyperlink>
      <w:r>
        <w:t xml:space="preserve"> for definition of terms)</w:t>
      </w:r>
    </w:p>
    <w:p w14:paraId="5074BAB6" w14:textId="6490B12A" w:rsidR="007706C3" w:rsidRDefault="007706C3" w:rsidP="00283171">
      <w:pPr>
        <w:pStyle w:val="Heading2"/>
      </w:pPr>
      <w:bookmarkStart w:id="73" w:name="_Toc147492723"/>
      <w:bookmarkStart w:id="74" w:name="_Toc145506272"/>
      <w:bookmarkStart w:id="75" w:name="_Toc145506332"/>
      <w:bookmarkStart w:id="76" w:name="_Toc147931619"/>
      <w:bookmarkStart w:id="77" w:name="_Toc164157540"/>
      <w:bookmarkEnd w:id="73"/>
      <w:bookmarkEnd w:id="74"/>
      <w:bookmarkEnd w:id="75"/>
      <w:r>
        <w:t>Search Results</w:t>
      </w:r>
      <w:bookmarkEnd w:id="76"/>
      <w:bookmarkEnd w:id="77"/>
    </w:p>
    <w:p w14:paraId="2406AA00" w14:textId="6968FF44" w:rsidR="003C36FF" w:rsidRDefault="003C36FF" w:rsidP="00B61725">
      <w:pPr>
        <w:pStyle w:val="NoSpacing"/>
        <w:spacing w:before="120" w:after="120" w:line="320" w:lineRule="exact"/>
      </w:pPr>
      <w:r>
        <w:t>Once the requesting party has provided a search identifier and search parameters, a search result will be returned and presented in a single list. The following information that matches the search criteria requested, will be presented to the requesting party:</w:t>
      </w:r>
    </w:p>
    <w:p w14:paraId="2EB48849" w14:textId="2A8862E4" w:rsidR="003C36FF" w:rsidRPr="00E3011D" w:rsidRDefault="00D0485F" w:rsidP="00B61725">
      <w:pPr>
        <w:pStyle w:val="Maintext"/>
        <w:numPr>
          <w:ilvl w:val="0"/>
          <w:numId w:val="30"/>
        </w:numPr>
        <w:spacing w:before="60" w:after="60" w:line="320" w:lineRule="exact"/>
        <w:ind w:left="425" w:hanging="425"/>
        <w:contextualSpacing/>
        <w:rPr>
          <w:szCs w:val="22"/>
        </w:rPr>
      </w:pPr>
      <w:r>
        <w:rPr>
          <w:szCs w:val="22"/>
        </w:rPr>
        <w:t xml:space="preserve">Payroll </w:t>
      </w:r>
      <w:r w:rsidR="003C36FF" w:rsidRPr="00E3011D">
        <w:rPr>
          <w:szCs w:val="22"/>
        </w:rPr>
        <w:t xml:space="preserve">Event </w:t>
      </w:r>
      <w:r>
        <w:rPr>
          <w:szCs w:val="22"/>
        </w:rPr>
        <w:t>T</w:t>
      </w:r>
      <w:r w:rsidR="003C36FF" w:rsidRPr="00E3011D">
        <w:rPr>
          <w:szCs w:val="22"/>
        </w:rPr>
        <w:t xml:space="preserve">ype </w:t>
      </w:r>
      <w:r w:rsidR="002616C4" w:rsidRPr="002616C4">
        <w:rPr>
          <w:szCs w:val="22"/>
        </w:rPr>
        <w:t>(PAYEVNTRECON9)</w:t>
      </w:r>
    </w:p>
    <w:p w14:paraId="5EDD1A88" w14:textId="5746404B" w:rsidR="003C36FF" w:rsidRPr="00E3011D" w:rsidRDefault="00D0485F" w:rsidP="00B61725">
      <w:pPr>
        <w:pStyle w:val="Maintext"/>
        <w:numPr>
          <w:ilvl w:val="0"/>
          <w:numId w:val="30"/>
        </w:numPr>
        <w:spacing w:before="60" w:after="60" w:line="320" w:lineRule="exact"/>
        <w:ind w:left="425" w:hanging="425"/>
        <w:contextualSpacing/>
        <w:rPr>
          <w:szCs w:val="22"/>
        </w:rPr>
      </w:pPr>
      <w:r>
        <w:rPr>
          <w:szCs w:val="22"/>
        </w:rPr>
        <w:t>Run Date/Time Stamp</w:t>
      </w:r>
      <w:r w:rsidR="003C36FF" w:rsidRPr="00E3011D">
        <w:rPr>
          <w:szCs w:val="22"/>
        </w:rPr>
        <w:t xml:space="preserve"> </w:t>
      </w:r>
      <w:r w:rsidR="002616C4" w:rsidRPr="002616C4">
        <w:rPr>
          <w:szCs w:val="22"/>
        </w:rPr>
        <w:t>(PAYEVNTRECON14)</w:t>
      </w:r>
    </w:p>
    <w:p w14:paraId="634FAE38" w14:textId="1BCC5BD8" w:rsidR="003C36FF" w:rsidRPr="00E3011D" w:rsidRDefault="00D0485F" w:rsidP="00B61725">
      <w:pPr>
        <w:pStyle w:val="Maintext"/>
        <w:numPr>
          <w:ilvl w:val="0"/>
          <w:numId w:val="30"/>
        </w:numPr>
        <w:spacing w:before="60" w:after="60" w:line="320" w:lineRule="exact"/>
        <w:ind w:left="425" w:hanging="425"/>
        <w:contextualSpacing/>
        <w:rPr>
          <w:szCs w:val="22"/>
        </w:rPr>
      </w:pPr>
      <w:r>
        <w:rPr>
          <w:szCs w:val="22"/>
        </w:rPr>
        <w:t>P</w:t>
      </w:r>
      <w:r w:rsidRPr="00E3011D">
        <w:rPr>
          <w:szCs w:val="22"/>
        </w:rPr>
        <w:t>ay/</w:t>
      </w:r>
      <w:r>
        <w:rPr>
          <w:szCs w:val="22"/>
        </w:rPr>
        <w:t>U</w:t>
      </w:r>
      <w:r w:rsidRPr="00E3011D">
        <w:rPr>
          <w:szCs w:val="22"/>
        </w:rPr>
        <w:t xml:space="preserve">pdate </w:t>
      </w:r>
      <w:r>
        <w:rPr>
          <w:szCs w:val="22"/>
        </w:rPr>
        <w:t>D</w:t>
      </w:r>
      <w:r w:rsidRPr="00E3011D">
        <w:rPr>
          <w:szCs w:val="22"/>
        </w:rPr>
        <w:t>ate</w:t>
      </w:r>
      <w:r w:rsidR="003C36FF" w:rsidRPr="00E3011D">
        <w:rPr>
          <w:szCs w:val="22"/>
        </w:rPr>
        <w:t xml:space="preserve"> </w:t>
      </w:r>
      <w:r w:rsidR="002616C4" w:rsidRPr="002616C4">
        <w:rPr>
          <w:szCs w:val="22"/>
        </w:rPr>
        <w:t>(PAYEVNTRECON13)</w:t>
      </w:r>
    </w:p>
    <w:p w14:paraId="02DB79E2" w14:textId="06671BEC" w:rsidR="003C36FF" w:rsidRPr="00E3011D" w:rsidRDefault="003C36FF" w:rsidP="00B61725">
      <w:pPr>
        <w:pStyle w:val="Maintext"/>
        <w:numPr>
          <w:ilvl w:val="0"/>
          <w:numId w:val="30"/>
        </w:numPr>
        <w:spacing w:before="60" w:after="60" w:line="320" w:lineRule="exact"/>
        <w:ind w:left="425" w:hanging="425"/>
        <w:contextualSpacing/>
        <w:rPr>
          <w:szCs w:val="22"/>
        </w:rPr>
      </w:pPr>
      <w:r w:rsidRPr="00E3011D">
        <w:rPr>
          <w:szCs w:val="22"/>
        </w:rPr>
        <w:t>Submission ID</w:t>
      </w:r>
      <w:r w:rsidR="002616C4">
        <w:rPr>
          <w:szCs w:val="22"/>
        </w:rPr>
        <w:t xml:space="preserve"> </w:t>
      </w:r>
      <w:r w:rsidR="002616C4" w:rsidRPr="002616C4">
        <w:rPr>
          <w:szCs w:val="22"/>
        </w:rPr>
        <w:t>(PAYEVNTRECON15)</w:t>
      </w:r>
    </w:p>
    <w:p w14:paraId="38DF76EB" w14:textId="68814E76" w:rsidR="003C36FF" w:rsidRPr="00E3011D" w:rsidRDefault="002616C4" w:rsidP="00B61725">
      <w:pPr>
        <w:pStyle w:val="Maintext"/>
        <w:numPr>
          <w:ilvl w:val="0"/>
          <w:numId w:val="30"/>
        </w:numPr>
        <w:spacing w:before="60" w:after="60" w:line="320" w:lineRule="exact"/>
        <w:ind w:left="425" w:hanging="425"/>
        <w:contextualSpacing/>
        <w:rPr>
          <w:szCs w:val="22"/>
        </w:rPr>
      </w:pPr>
      <w:r>
        <w:rPr>
          <w:szCs w:val="22"/>
        </w:rPr>
        <w:t xml:space="preserve">Payer </w:t>
      </w:r>
      <w:r w:rsidR="003C36FF" w:rsidRPr="00E3011D">
        <w:rPr>
          <w:szCs w:val="22"/>
        </w:rPr>
        <w:t xml:space="preserve">Branch </w:t>
      </w:r>
      <w:r>
        <w:rPr>
          <w:szCs w:val="22"/>
        </w:rPr>
        <w:t xml:space="preserve">Code </w:t>
      </w:r>
      <w:r w:rsidRPr="002616C4">
        <w:rPr>
          <w:szCs w:val="22"/>
        </w:rPr>
        <w:t>(PAYEVNTRECON7)</w:t>
      </w:r>
    </w:p>
    <w:p w14:paraId="6FE1E877" w14:textId="480EE4CB" w:rsidR="003C36FF" w:rsidRDefault="003C36FF" w:rsidP="00B61725">
      <w:pPr>
        <w:pStyle w:val="Maintext"/>
        <w:numPr>
          <w:ilvl w:val="0"/>
          <w:numId w:val="30"/>
        </w:numPr>
        <w:spacing w:before="60" w:after="60" w:line="320" w:lineRule="exact"/>
        <w:ind w:left="425" w:hanging="425"/>
        <w:contextualSpacing/>
        <w:rPr>
          <w:szCs w:val="22"/>
        </w:rPr>
      </w:pPr>
      <w:r w:rsidRPr="00E3011D">
        <w:rPr>
          <w:szCs w:val="22"/>
        </w:rPr>
        <w:t xml:space="preserve">BMS </w:t>
      </w:r>
      <w:r w:rsidR="002616C4">
        <w:rPr>
          <w:szCs w:val="22"/>
        </w:rPr>
        <w:t>Identifier</w:t>
      </w:r>
      <w:r w:rsidR="00813794">
        <w:rPr>
          <w:szCs w:val="22"/>
        </w:rPr>
        <w:t xml:space="preserve"> </w:t>
      </w:r>
      <w:r w:rsidR="00813794" w:rsidRPr="00813794">
        <w:rPr>
          <w:szCs w:val="22"/>
        </w:rPr>
        <w:t>(PAYEVNTRECON8)</w:t>
      </w:r>
    </w:p>
    <w:p w14:paraId="16AAE3CF" w14:textId="77777777" w:rsidR="00D23B48" w:rsidRPr="00D23B48" w:rsidRDefault="00D23B48" w:rsidP="00D23B48">
      <w:pPr>
        <w:pStyle w:val="Maintext"/>
        <w:numPr>
          <w:ilvl w:val="0"/>
          <w:numId w:val="30"/>
        </w:numPr>
        <w:spacing w:before="60" w:after="60" w:line="320" w:lineRule="exact"/>
        <w:ind w:left="425" w:hanging="425"/>
        <w:contextualSpacing/>
        <w:rPr>
          <w:color w:val="000000" w:themeColor="text1"/>
          <w:szCs w:val="22"/>
        </w:rPr>
      </w:pPr>
      <w:r w:rsidRPr="00D23B48">
        <w:rPr>
          <w:color w:val="000000" w:themeColor="text1"/>
          <w:szCs w:val="22"/>
        </w:rPr>
        <w:t xml:space="preserve">Document Identification Number (PAYEVNTRECON20) – ATO generated transaction </w:t>
      </w:r>
      <w:proofErr w:type="gramStart"/>
      <w:r w:rsidRPr="00D23B48">
        <w:rPr>
          <w:color w:val="000000" w:themeColor="text1"/>
          <w:szCs w:val="22"/>
        </w:rPr>
        <w:t>ID</w:t>
      </w:r>
      <w:proofErr w:type="gramEnd"/>
    </w:p>
    <w:p w14:paraId="48A01EEE" w14:textId="498CA414" w:rsidR="003C36FF" w:rsidRPr="00E3011D" w:rsidRDefault="002616C4" w:rsidP="00B61725">
      <w:pPr>
        <w:pStyle w:val="Maintext"/>
        <w:numPr>
          <w:ilvl w:val="0"/>
          <w:numId w:val="30"/>
        </w:numPr>
        <w:spacing w:before="60" w:after="60" w:line="320" w:lineRule="exact"/>
        <w:ind w:left="425" w:hanging="425"/>
        <w:contextualSpacing/>
        <w:rPr>
          <w:szCs w:val="22"/>
        </w:rPr>
      </w:pPr>
      <w:r>
        <w:rPr>
          <w:szCs w:val="22"/>
        </w:rPr>
        <w:t>P</w:t>
      </w:r>
      <w:r w:rsidR="003C36FF" w:rsidRPr="00E3011D">
        <w:rPr>
          <w:szCs w:val="22"/>
        </w:rPr>
        <w:t>ayer</w:t>
      </w:r>
      <w:r>
        <w:rPr>
          <w:szCs w:val="22"/>
        </w:rPr>
        <w:t xml:space="preserve"> Total</w:t>
      </w:r>
      <w:r w:rsidR="003C36FF" w:rsidRPr="00E3011D">
        <w:rPr>
          <w:szCs w:val="22"/>
        </w:rPr>
        <w:t xml:space="preserve"> Gross </w:t>
      </w:r>
      <w:r>
        <w:rPr>
          <w:szCs w:val="22"/>
        </w:rPr>
        <w:t>P</w:t>
      </w:r>
      <w:r w:rsidR="003C36FF" w:rsidRPr="00E3011D">
        <w:rPr>
          <w:szCs w:val="22"/>
        </w:rPr>
        <w:t xml:space="preserve">ayment </w:t>
      </w:r>
      <w:r>
        <w:rPr>
          <w:szCs w:val="22"/>
        </w:rPr>
        <w:t>A</w:t>
      </w:r>
      <w:r w:rsidR="003C36FF" w:rsidRPr="00E3011D">
        <w:rPr>
          <w:szCs w:val="22"/>
        </w:rPr>
        <w:t>mount</w:t>
      </w:r>
      <w:r w:rsidR="00D1256F">
        <w:rPr>
          <w:szCs w:val="22"/>
        </w:rPr>
        <w:t xml:space="preserve"> (W1)</w:t>
      </w:r>
      <w:r w:rsidR="00813794">
        <w:rPr>
          <w:szCs w:val="22"/>
        </w:rPr>
        <w:t xml:space="preserve"> </w:t>
      </w:r>
      <w:r w:rsidR="00813794" w:rsidRPr="00813794">
        <w:rPr>
          <w:szCs w:val="22"/>
        </w:rPr>
        <w:t>(PAYEVNTRECON17)</w:t>
      </w:r>
      <w:r w:rsidR="003C36FF" w:rsidRPr="00E3011D">
        <w:rPr>
          <w:szCs w:val="22"/>
        </w:rPr>
        <w:t xml:space="preserve"> (if available)</w:t>
      </w:r>
    </w:p>
    <w:p w14:paraId="41CF7A7C" w14:textId="52B79353" w:rsidR="003C36FF" w:rsidRDefault="002616C4" w:rsidP="00895B1A">
      <w:pPr>
        <w:pStyle w:val="Maintext"/>
        <w:numPr>
          <w:ilvl w:val="0"/>
          <w:numId w:val="30"/>
        </w:numPr>
        <w:spacing w:before="60" w:after="60" w:line="320" w:lineRule="exact"/>
        <w:ind w:left="425" w:hanging="425"/>
        <w:contextualSpacing/>
        <w:rPr>
          <w:szCs w:val="22"/>
        </w:rPr>
      </w:pPr>
      <w:r>
        <w:rPr>
          <w:szCs w:val="22"/>
        </w:rPr>
        <w:t>Payer Total</w:t>
      </w:r>
      <w:r w:rsidR="003C36FF" w:rsidRPr="00E3011D">
        <w:rPr>
          <w:szCs w:val="22"/>
        </w:rPr>
        <w:t xml:space="preserve"> PAYGW </w:t>
      </w:r>
      <w:r>
        <w:rPr>
          <w:szCs w:val="22"/>
        </w:rPr>
        <w:t>A</w:t>
      </w:r>
      <w:r w:rsidR="003C36FF" w:rsidRPr="00E3011D">
        <w:rPr>
          <w:szCs w:val="22"/>
        </w:rPr>
        <w:t>mount</w:t>
      </w:r>
      <w:r w:rsidR="00813794">
        <w:rPr>
          <w:szCs w:val="22"/>
        </w:rPr>
        <w:t xml:space="preserve"> </w:t>
      </w:r>
      <w:r w:rsidR="00D1256F">
        <w:rPr>
          <w:szCs w:val="22"/>
        </w:rPr>
        <w:t xml:space="preserve">(W2) </w:t>
      </w:r>
      <w:r w:rsidR="00813794" w:rsidRPr="00813794">
        <w:rPr>
          <w:szCs w:val="22"/>
        </w:rPr>
        <w:t>(PAYEVNTRECON18)</w:t>
      </w:r>
      <w:r w:rsidR="003C36FF" w:rsidRPr="00E3011D">
        <w:rPr>
          <w:szCs w:val="22"/>
        </w:rPr>
        <w:t xml:space="preserve"> (if available)</w:t>
      </w:r>
    </w:p>
    <w:p w14:paraId="4F9AC1B6" w14:textId="36920E6D" w:rsidR="003C36FF" w:rsidRPr="00E3011D" w:rsidRDefault="003C36FF" w:rsidP="00B61725">
      <w:pPr>
        <w:pStyle w:val="Maintext"/>
        <w:numPr>
          <w:ilvl w:val="0"/>
          <w:numId w:val="30"/>
        </w:numPr>
        <w:spacing w:before="60" w:after="60" w:line="320" w:lineRule="exact"/>
        <w:ind w:left="425" w:hanging="425"/>
        <w:contextualSpacing/>
        <w:rPr>
          <w:szCs w:val="22"/>
        </w:rPr>
      </w:pPr>
      <w:r w:rsidRPr="00E3011D">
        <w:rPr>
          <w:szCs w:val="22"/>
        </w:rPr>
        <w:t>Intermediary</w:t>
      </w:r>
      <w:r w:rsidR="00813794">
        <w:rPr>
          <w:szCs w:val="22"/>
        </w:rPr>
        <w:t xml:space="preserve"> Legal</w:t>
      </w:r>
      <w:r w:rsidRPr="00E3011D">
        <w:rPr>
          <w:szCs w:val="22"/>
        </w:rPr>
        <w:t xml:space="preserve"> </w:t>
      </w:r>
      <w:r w:rsidR="00813794">
        <w:rPr>
          <w:szCs w:val="22"/>
        </w:rPr>
        <w:t>N</w:t>
      </w:r>
      <w:r w:rsidRPr="00E3011D">
        <w:rPr>
          <w:szCs w:val="22"/>
        </w:rPr>
        <w:t>ame</w:t>
      </w:r>
      <w:r w:rsidR="00813794">
        <w:rPr>
          <w:szCs w:val="22"/>
        </w:rPr>
        <w:t xml:space="preserve"> </w:t>
      </w:r>
      <w:r w:rsidR="00813794" w:rsidRPr="00813794">
        <w:rPr>
          <w:szCs w:val="22"/>
        </w:rPr>
        <w:t>(PAYEVNTRECON</w:t>
      </w:r>
      <w:r w:rsidR="00813794">
        <w:rPr>
          <w:szCs w:val="22"/>
        </w:rPr>
        <w:t>1</w:t>
      </w:r>
      <w:r w:rsidR="00813794" w:rsidRPr="00813794">
        <w:rPr>
          <w:szCs w:val="22"/>
        </w:rPr>
        <w:t>2)</w:t>
      </w:r>
      <w:r w:rsidRPr="00E3011D">
        <w:rPr>
          <w:szCs w:val="22"/>
        </w:rPr>
        <w:t xml:space="preserve"> (if available)</w:t>
      </w:r>
    </w:p>
    <w:p w14:paraId="7F0634B6" w14:textId="37333BB7" w:rsidR="003C36FF" w:rsidRPr="00E3011D" w:rsidRDefault="003C36FF" w:rsidP="00B61725">
      <w:pPr>
        <w:pStyle w:val="Maintext"/>
        <w:numPr>
          <w:ilvl w:val="0"/>
          <w:numId w:val="30"/>
        </w:numPr>
        <w:spacing w:before="60" w:after="60" w:line="320" w:lineRule="exact"/>
        <w:ind w:left="425" w:hanging="425"/>
        <w:contextualSpacing/>
        <w:rPr>
          <w:szCs w:val="22"/>
        </w:rPr>
      </w:pPr>
      <w:r w:rsidRPr="00E3011D">
        <w:rPr>
          <w:szCs w:val="22"/>
        </w:rPr>
        <w:t>Intermediary ABN</w:t>
      </w:r>
      <w:r w:rsidR="00813794">
        <w:rPr>
          <w:szCs w:val="22"/>
        </w:rPr>
        <w:t xml:space="preserve"> </w:t>
      </w:r>
      <w:r w:rsidR="00813794" w:rsidRPr="00813794">
        <w:rPr>
          <w:szCs w:val="22"/>
        </w:rPr>
        <w:t>(PAYEVNTRECON2)</w:t>
      </w:r>
      <w:r w:rsidRPr="00E3011D">
        <w:rPr>
          <w:szCs w:val="22"/>
        </w:rPr>
        <w:t xml:space="preserve"> (if available)</w:t>
      </w:r>
    </w:p>
    <w:p w14:paraId="2C2122E7" w14:textId="0A50EFB6" w:rsidR="003C36FF" w:rsidRPr="00E3011D" w:rsidRDefault="00813794" w:rsidP="00B61725">
      <w:pPr>
        <w:pStyle w:val="Maintext"/>
        <w:numPr>
          <w:ilvl w:val="0"/>
          <w:numId w:val="30"/>
        </w:numPr>
        <w:spacing w:before="60" w:after="60" w:line="320" w:lineRule="exact"/>
        <w:ind w:left="425" w:hanging="425"/>
        <w:contextualSpacing/>
        <w:rPr>
          <w:szCs w:val="22"/>
        </w:rPr>
      </w:pPr>
      <w:r>
        <w:rPr>
          <w:szCs w:val="22"/>
        </w:rPr>
        <w:t xml:space="preserve">Registered Agent Number </w:t>
      </w:r>
      <w:r w:rsidRPr="00813794">
        <w:rPr>
          <w:szCs w:val="22"/>
        </w:rPr>
        <w:t>(PAYEVNTRECON</w:t>
      </w:r>
      <w:r>
        <w:rPr>
          <w:szCs w:val="22"/>
        </w:rPr>
        <w:t>3</w:t>
      </w:r>
      <w:r w:rsidRPr="00813794">
        <w:rPr>
          <w:szCs w:val="22"/>
        </w:rPr>
        <w:t>)</w:t>
      </w:r>
      <w:r w:rsidR="003C36FF" w:rsidRPr="00E3011D">
        <w:rPr>
          <w:szCs w:val="22"/>
        </w:rPr>
        <w:t xml:space="preserve"> (if available)</w:t>
      </w:r>
      <w:r w:rsidR="00CD1B5A">
        <w:rPr>
          <w:szCs w:val="22"/>
        </w:rPr>
        <w:t>.</w:t>
      </w:r>
    </w:p>
    <w:p w14:paraId="77EF5A0C" w14:textId="1FB06867" w:rsidR="007706C3" w:rsidRDefault="00E34B40" w:rsidP="00944D9B">
      <w:r w:rsidRPr="00E34B40">
        <w:t xml:space="preserve">The </w:t>
      </w:r>
      <w:r w:rsidR="00B706C7">
        <w:t>S</w:t>
      </w:r>
      <w:r w:rsidR="00B706C7" w:rsidRPr="00E34B40">
        <w:t xml:space="preserve">ubmission </w:t>
      </w:r>
      <w:r w:rsidRPr="00E34B40">
        <w:t>ID is a unique identifier for a</w:t>
      </w:r>
      <w:r w:rsidR="00C56683">
        <w:t xml:space="preserve"> pay</w:t>
      </w:r>
      <w:r w:rsidR="00453078">
        <w:t xml:space="preserve"> </w:t>
      </w:r>
      <w:r w:rsidR="00C56683">
        <w:t>event</w:t>
      </w:r>
      <w:r w:rsidRPr="00E34B40">
        <w:t xml:space="preserve"> assigned by the BMS. Where multiple records are returned in the pay event list for the same date</w:t>
      </w:r>
      <w:r w:rsidR="00F26DFB">
        <w:t>,</w:t>
      </w:r>
      <w:r w:rsidRPr="00E34B40">
        <w:t xml:space="preserve"> then the </w:t>
      </w:r>
      <w:r w:rsidR="00B706C7">
        <w:t>S</w:t>
      </w:r>
      <w:r w:rsidR="00B706C7" w:rsidRPr="00E34B40">
        <w:t xml:space="preserve">ubmission </w:t>
      </w:r>
      <w:r w:rsidRPr="00E34B40">
        <w:t>ID can be used to identify the specific records lodged by the BMS.</w:t>
      </w:r>
    </w:p>
    <w:p w14:paraId="3DC1E991" w14:textId="5A666636" w:rsidR="000A7B2D" w:rsidRPr="000A7B2D" w:rsidRDefault="00F40766" w:rsidP="000A7B2D">
      <w:r w:rsidRPr="00B61725">
        <w:rPr>
          <w:lang w:val="en-US"/>
        </w:rPr>
        <w:t xml:space="preserve">If </w:t>
      </w:r>
      <w:r w:rsidR="00803D16" w:rsidRPr="00B61725">
        <w:rPr>
          <w:lang w:val="en-US"/>
        </w:rPr>
        <w:t xml:space="preserve">a record with the same </w:t>
      </w:r>
      <w:r w:rsidR="00B706C7">
        <w:rPr>
          <w:lang w:val="en-US"/>
        </w:rPr>
        <w:t>S</w:t>
      </w:r>
      <w:r w:rsidR="00B706C7" w:rsidRPr="00B61725">
        <w:rPr>
          <w:lang w:val="en-US"/>
        </w:rPr>
        <w:t xml:space="preserve">ubmission </w:t>
      </w:r>
      <w:r w:rsidR="00803D16" w:rsidRPr="00B61725">
        <w:rPr>
          <w:lang w:val="en-US"/>
        </w:rPr>
        <w:t>ID</w:t>
      </w:r>
      <w:r w:rsidR="00397721">
        <w:rPr>
          <w:lang w:val="en-US"/>
        </w:rPr>
        <w:t xml:space="preserve"> is retrieved</w:t>
      </w:r>
      <w:r w:rsidR="00803D16" w:rsidRPr="00B61725">
        <w:rPr>
          <w:lang w:val="en-US"/>
        </w:rPr>
        <w:t xml:space="preserve"> but the amounts have changed</w:t>
      </w:r>
      <w:r w:rsidRPr="00B61725">
        <w:rPr>
          <w:lang w:val="en-US"/>
        </w:rPr>
        <w:t>, yet the requesting party has used the same search parameters</w:t>
      </w:r>
      <w:r w:rsidR="00397721">
        <w:rPr>
          <w:lang w:val="en-US"/>
        </w:rPr>
        <w:t xml:space="preserve"> in a previous search</w:t>
      </w:r>
      <w:r w:rsidRPr="00B61725">
        <w:rPr>
          <w:lang w:val="en-US"/>
        </w:rPr>
        <w:t xml:space="preserve">, then the requesting party may need to consider whether a full file replacement has been submitted since the last search. This is because a full file replacement (with new totals) will replace a previous submit action with the same </w:t>
      </w:r>
      <w:r w:rsidR="00B706C7">
        <w:rPr>
          <w:lang w:val="en-US"/>
        </w:rPr>
        <w:t>S</w:t>
      </w:r>
      <w:r w:rsidR="00B706C7" w:rsidRPr="00B61725">
        <w:rPr>
          <w:lang w:val="en-US"/>
        </w:rPr>
        <w:t xml:space="preserve">ubmission </w:t>
      </w:r>
      <w:r w:rsidRPr="00B61725">
        <w:rPr>
          <w:lang w:val="en-US"/>
        </w:rPr>
        <w:t>ID.</w:t>
      </w:r>
      <w:bookmarkStart w:id="78" w:name="_Toc147492778"/>
      <w:bookmarkEnd w:id="78"/>
    </w:p>
    <w:sectPr w:rsidR="000A7B2D" w:rsidRPr="000A7B2D" w:rsidSect="00E44782">
      <w:headerReference w:type="even" r:id="rId19"/>
      <w:headerReference w:type="default" r:id="rId20"/>
      <w:footerReference w:type="even" r:id="rId21"/>
      <w:footerReference w:type="defaul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4E4D" w14:textId="77777777" w:rsidR="00A820B3" w:rsidRDefault="00A820B3" w:rsidP="000939A5">
      <w:pPr>
        <w:spacing w:before="0" w:after="0" w:line="240" w:lineRule="auto"/>
      </w:pPr>
      <w:r>
        <w:separator/>
      </w:r>
    </w:p>
    <w:p w14:paraId="3A92B23F" w14:textId="77777777" w:rsidR="00A820B3" w:rsidRDefault="00A820B3"/>
  </w:endnote>
  <w:endnote w:type="continuationSeparator" w:id="0">
    <w:p w14:paraId="569F3A3A" w14:textId="77777777" w:rsidR="00A820B3" w:rsidRDefault="00A820B3" w:rsidP="000939A5">
      <w:pPr>
        <w:spacing w:before="0" w:after="0" w:line="240" w:lineRule="auto"/>
      </w:pPr>
      <w:r>
        <w:continuationSeparator/>
      </w:r>
    </w:p>
    <w:p w14:paraId="3589B82F" w14:textId="77777777" w:rsidR="00A820B3" w:rsidRDefault="00A82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1077" w14:textId="77777777" w:rsidR="000939A5" w:rsidRDefault="000939A5">
    <w:pPr>
      <w:pStyle w:val="Footer"/>
    </w:pPr>
  </w:p>
  <w:p w14:paraId="36F6B5E7" w14:textId="77777777" w:rsidR="00785090" w:rsidRDefault="007850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035B2096" w:rsidR="000939A5" w:rsidRDefault="000939A5" w:rsidP="000939A5">
    <w:pPr>
      <w:pStyle w:val="Footer"/>
      <w:pBdr>
        <w:top w:val="single" w:sz="4" w:space="1" w:color="0E8387"/>
      </w:pBdr>
    </w:pPr>
    <w:r w:rsidRPr="009E2CEE">
      <w:rPr>
        <w:sz w:val="18"/>
        <w:szCs w:val="18"/>
      </w:rPr>
      <w:t xml:space="preserve">Version </w:t>
    </w:r>
    <w:r w:rsidR="00056BDD">
      <w:rPr>
        <w:sz w:val="18"/>
        <w:szCs w:val="18"/>
      </w:rPr>
      <w:t>1</w:t>
    </w:r>
    <w:r w:rsidR="0029330B">
      <w:rPr>
        <w:sz w:val="18"/>
        <w:szCs w:val="18"/>
      </w:rPr>
      <w:t>.</w:t>
    </w:r>
    <w:r w:rsidR="0029781F">
      <w:rPr>
        <w:sz w:val="18"/>
        <w:szCs w:val="18"/>
      </w:rPr>
      <w:t>1</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FC08" w14:textId="77777777" w:rsidR="00A820B3" w:rsidRDefault="00A820B3" w:rsidP="000939A5">
      <w:pPr>
        <w:spacing w:before="0" w:after="0" w:line="240" w:lineRule="auto"/>
      </w:pPr>
      <w:r>
        <w:separator/>
      </w:r>
    </w:p>
    <w:p w14:paraId="055B8126" w14:textId="77777777" w:rsidR="00A820B3" w:rsidRDefault="00A820B3"/>
  </w:footnote>
  <w:footnote w:type="continuationSeparator" w:id="0">
    <w:p w14:paraId="2B613248" w14:textId="77777777" w:rsidR="00A820B3" w:rsidRDefault="00A820B3" w:rsidP="000939A5">
      <w:pPr>
        <w:spacing w:before="0" w:after="0" w:line="240" w:lineRule="auto"/>
      </w:pPr>
      <w:r>
        <w:continuationSeparator/>
      </w:r>
    </w:p>
    <w:p w14:paraId="4AD2BF75" w14:textId="77777777" w:rsidR="00A820B3" w:rsidRDefault="00A820B3"/>
  </w:footnote>
  <w:footnote w:id="1">
    <w:p w14:paraId="35FDE9CD" w14:textId="28C72129" w:rsidR="008A2007" w:rsidRPr="003E1826" w:rsidRDefault="008A2007">
      <w:pPr>
        <w:pStyle w:val="FootnoteText"/>
        <w:rPr>
          <w:sz w:val="18"/>
          <w:szCs w:val="18"/>
        </w:rPr>
      </w:pPr>
      <w:r w:rsidRPr="003E1826">
        <w:rPr>
          <w:rStyle w:val="FootnoteReference"/>
          <w:sz w:val="18"/>
          <w:szCs w:val="18"/>
        </w:rPr>
        <w:footnoteRef/>
      </w:r>
      <w:r w:rsidRPr="003E1826">
        <w:rPr>
          <w:sz w:val="18"/>
          <w:szCs w:val="18"/>
        </w:rPr>
        <w:t xml:space="preserve"> Tax agents acting on behalf of a </w:t>
      </w:r>
      <w:r>
        <w:rPr>
          <w:sz w:val="18"/>
          <w:szCs w:val="18"/>
        </w:rPr>
        <w:t>payer</w:t>
      </w:r>
      <w:r w:rsidRPr="003E1826">
        <w:rPr>
          <w:sz w:val="18"/>
          <w:szCs w:val="18"/>
        </w:rPr>
        <w:t xml:space="preserve"> can access this information via Online Services for Agents</w:t>
      </w:r>
      <w:r>
        <w:rPr>
          <w:sz w:val="18"/>
          <w:szCs w:val="18"/>
        </w:rPr>
        <w:t xml:space="preserve"> as well</w:t>
      </w:r>
      <w:r w:rsidRPr="003E182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423A" w14:textId="77777777" w:rsidR="000939A5" w:rsidRDefault="000939A5">
    <w:pPr>
      <w:pStyle w:val="Header"/>
    </w:pPr>
  </w:p>
  <w:p w14:paraId="4A6AE665" w14:textId="77777777" w:rsidR="00785090" w:rsidRDefault="007850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31396EC4" w:rsidR="000939A5" w:rsidRPr="00934139" w:rsidRDefault="000939A5" w:rsidP="008019D1">
    <w:pPr>
      <w:pStyle w:val="Header"/>
      <w:pBdr>
        <w:bottom w:val="single" w:sz="4" w:space="1" w:color="04545D"/>
      </w:pBdr>
      <w:tabs>
        <w:tab w:val="clear" w:pos="4513"/>
        <w:tab w:val="left" w:pos="0"/>
        <w:tab w:val="right" w:pos="9299"/>
      </w:tabs>
      <w:rPr>
        <w:sz w:val="18"/>
        <w:szCs w:val="18"/>
      </w:rPr>
    </w:pPr>
    <w:r w:rsidRPr="00934139">
      <w:rPr>
        <w:sz w:val="18"/>
        <w:szCs w:val="18"/>
      </w:rPr>
      <w:t xml:space="preserve">Standard </w:t>
    </w:r>
    <w:r w:rsidR="0029330B" w:rsidRPr="00934139">
      <w:rPr>
        <w:sz w:val="18"/>
        <w:szCs w:val="18"/>
      </w:rPr>
      <w:t>B</w:t>
    </w:r>
    <w:r w:rsidRPr="00934139">
      <w:rPr>
        <w:sz w:val="18"/>
        <w:szCs w:val="18"/>
      </w:rPr>
      <w:t xml:space="preserve">usiness </w:t>
    </w:r>
    <w:r w:rsidR="0029330B" w:rsidRPr="00934139">
      <w:rPr>
        <w:sz w:val="18"/>
        <w:szCs w:val="18"/>
      </w:rPr>
      <w:t>R</w:t>
    </w:r>
    <w:r w:rsidRPr="00934139">
      <w:rPr>
        <w:sz w:val="18"/>
        <w:szCs w:val="18"/>
      </w:rPr>
      <w:t>eporting</w:t>
    </w:r>
    <w:r w:rsidR="00054BB7">
      <w:rPr>
        <w:sz w:val="18"/>
        <w:szCs w:val="18"/>
      </w:rPr>
      <w:tab/>
    </w:r>
    <w:r w:rsidRPr="00934139">
      <w:rPr>
        <w:sz w:val="18"/>
        <w:szCs w:val="18"/>
      </w:rPr>
      <w:t xml:space="preserve">ATO </w:t>
    </w:r>
    <w:r w:rsidR="00F70047">
      <w:rPr>
        <w:sz w:val="18"/>
        <w:szCs w:val="18"/>
      </w:rPr>
      <w:t>PAYEVNTRECON.0001</w:t>
    </w:r>
    <w:r w:rsidR="007824B2">
      <w:rPr>
        <w:sz w:val="18"/>
        <w:szCs w:val="18"/>
      </w:rPr>
      <w:t xml:space="preserve"> 202</w:t>
    </w:r>
    <w:r w:rsidR="001A1A9E">
      <w:rPr>
        <w:sz w:val="18"/>
        <w:szCs w:val="18"/>
      </w:rPr>
      <w:t>3</w:t>
    </w:r>
    <w:r w:rsidRPr="00934139">
      <w:rPr>
        <w:sz w:val="18"/>
        <w:szCs w:val="18"/>
      </w:rPr>
      <w:t xml:space="preserve"> 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7A66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280D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869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26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0D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A9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9E0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8CF066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528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90868"/>
    <w:multiLevelType w:val="hybridMultilevel"/>
    <w:tmpl w:val="3CE6A17E"/>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07307E25"/>
    <w:multiLevelType w:val="multilevel"/>
    <w:tmpl w:val="FEB27DCA"/>
    <w:lvl w:ilvl="0">
      <w:start w:val="1"/>
      <w:numFmt w:val="decimal"/>
      <w:pStyle w:val="Heading1"/>
      <w:lvlText w:val="%1"/>
      <w:lvlJc w:val="left"/>
      <w:pPr>
        <w:ind w:left="432" w:hanging="432"/>
      </w:pPr>
      <w:rPr>
        <w:rFonts w:hint="default"/>
        <w:color w:val="004C4A"/>
        <w:sz w:val="56"/>
        <w:szCs w:val="56"/>
      </w:rPr>
    </w:lvl>
    <w:lvl w:ilvl="1">
      <w:start w:val="1"/>
      <w:numFmt w:val="decimal"/>
      <w:pStyle w:val="Heading2"/>
      <w:lvlText w:val="%1.%2"/>
      <w:lvlJc w:val="left"/>
      <w:pPr>
        <w:ind w:left="576" w:hanging="576"/>
      </w:pPr>
      <w:rPr>
        <w:rFonts w:hint="default"/>
        <w:b w:val="0"/>
        <w:bCs/>
        <w:sz w:val="42"/>
        <w:szCs w:val="4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E337A1C"/>
    <w:multiLevelType w:val="singleLevel"/>
    <w:tmpl w:val="92FC47AE"/>
    <w:lvl w:ilvl="0">
      <w:numFmt w:val="bullet"/>
      <w:lvlText w:val=""/>
      <w:lvlJc w:val="left"/>
      <w:pPr>
        <w:tabs>
          <w:tab w:val="num" w:pos="360"/>
        </w:tabs>
        <w:ind w:left="357" w:hanging="357"/>
      </w:pPr>
      <w:rPr>
        <w:rFonts w:ascii="Symbol" w:hAnsi="Symbol" w:hint="default"/>
        <w:color w:val="000000"/>
        <w:sz w:val="20"/>
      </w:rPr>
    </w:lvl>
  </w:abstractNum>
  <w:abstractNum w:abstractNumId="13" w15:restartNumberingAfterBreak="0">
    <w:nsid w:val="137C3E26"/>
    <w:multiLevelType w:val="hybridMultilevel"/>
    <w:tmpl w:val="91EED824"/>
    <w:lvl w:ilvl="0" w:tplc="9702CAD6">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B72F35"/>
    <w:multiLevelType w:val="hybridMultilevel"/>
    <w:tmpl w:val="49DE16FE"/>
    <w:lvl w:ilvl="0" w:tplc="947CF60C">
      <w:start w:val="1"/>
      <w:numFmt w:val="bullet"/>
      <w:lvlText w:val=""/>
      <w:lvlJc w:val="left"/>
      <w:pPr>
        <w:ind w:left="773" w:hanging="360"/>
      </w:pPr>
      <w:rPr>
        <w:rFonts w:ascii="Wingdings" w:hAnsi="Wingdings" w:hint="default"/>
        <w:color w:val="323E4F"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D2756"/>
    <w:multiLevelType w:val="multilevel"/>
    <w:tmpl w:val="A25E6742"/>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4637EF"/>
    <w:multiLevelType w:val="hybridMultilevel"/>
    <w:tmpl w:val="F88A6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DF255E"/>
    <w:multiLevelType w:val="multilevel"/>
    <w:tmpl w:val="EB2A718C"/>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8" w15:restartNumberingAfterBreak="0">
    <w:nsid w:val="2EC334A7"/>
    <w:multiLevelType w:val="hybridMultilevel"/>
    <w:tmpl w:val="56684BA6"/>
    <w:lvl w:ilvl="0" w:tplc="824ACDE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454B16"/>
    <w:multiLevelType w:val="multilevel"/>
    <w:tmpl w:val="7B1C6AC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3814C1"/>
    <w:multiLevelType w:val="hybridMultilevel"/>
    <w:tmpl w:val="98F69934"/>
    <w:lvl w:ilvl="0" w:tplc="B3C8B63A">
      <w:start w:val="1"/>
      <w:numFmt w:val="bullet"/>
      <w:lvlText w:val=""/>
      <w:lvlJc w:val="left"/>
      <w:pPr>
        <w:ind w:left="720" w:hanging="360"/>
      </w:pPr>
      <w:rPr>
        <w:rFonts w:ascii="Wingdings" w:hAnsi="Wingdings" w:hint="default"/>
        <w:color w:val="222A35"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BE0E23"/>
    <w:multiLevelType w:val="hybridMultilevel"/>
    <w:tmpl w:val="0A66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BB1A31"/>
    <w:multiLevelType w:val="hybridMultilevel"/>
    <w:tmpl w:val="DBD4D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B870F3"/>
    <w:multiLevelType w:val="hybridMultilevel"/>
    <w:tmpl w:val="F8A8027E"/>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start w:val="1"/>
      <w:numFmt w:val="bullet"/>
      <w:lvlText w:val=""/>
      <w:lvlJc w:val="left"/>
      <w:pPr>
        <w:ind w:left="2387" w:hanging="360"/>
      </w:pPr>
      <w:rPr>
        <w:rFonts w:ascii="Wingdings" w:hAnsi="Wingdings" w:hint="default"/>
      </w:rPr>
    </w:lvl>
    <w:lvl w:ilvl="3" w:tplc="0C090001">
      <w:start w:val="1"/>
      <w:numFmt w:val="bullet"/>
      <w:lvlText w:val=""/>
      <w:lvlJc w:val="left"/>
      <w:pPr>
        <w:ind w:left="3107" w:hanging="360"/>
      </w:pPr>
      <w:rPr>
        <w:rFonts w:ascii="Symbol" w:hAnsi="Symbol" w:hint="default"/>
      </w:rPr>
    </w:lvl>
    <w:lvl w:ilvl="4" w:tplc="0C090003">
      <w:start w:val="1"/>
      <w:numFmt w:val="bullet"/>
      <w:lvlText w:val="o"/>
      <w:lvlJc w:val="left"/>
      <w:pPr>
        <w:ind w:left="3827" w:hanging="360"/>
      </w:pPr>
      <w:rPr>
        <w:rFonts w:ascii="Courier New" w:hAnsi="Courier New" w:cs="Courier New" w:hint="default"/>
      </w:rPr>
    </w:lvl>
    <w:lvl w:ilvl="5" w:tplc="0C090005">
      <w:start w:val="1"/>
      <w:numFmt w:val="bullet"/>
      <w:lvlText w:val=""/>
      <w:lvlJc w:val="left"/>
      <w:pPr>
        <w:ind w:left="4547" w:hanging="360"/>
      </w:pPr>
      <w:rPr>
        <w:rFonts w:ascii="Wingdings" w:hAnsi="Wingdings" w:hint="default"/>
      </w:rPr>
    </w:lvl>
    <w:lvl w:ilvl="6" w:tplc="0C090001">
      <w:start w:val="1"/>
      <w:numFmt w:val="bullet"/>
      <w:lvlText w:val=""/>
      <w:lvlJc w:val="left"/>
      <w:pPr>
        <w:ind w:left="5267" w:hanging="360"/>
      </w:pPr>
      <w:rPr>
        <w:rFonts w:ascii="Symbol" w:hAnsi="Symbol" w:hint="default"/>
      </w:rPr>
    </w:lvl>
    <w:lvl w:ilvl="7" w:tplc="0C090003">
      <w:start w:val="1"/>
      <w:numFmt w:val="bullet"/>
      <w:lvlText w:val="o"/>
      <w:lvlJc w:val="left"/>
      <w:pPr>
        <w:ind w:left="5987" w:hanging="360"/>
      </w:pPr>
      <w:rPr>
        <w:rFonts w:ascii="Courier New" w:hAnsi="Courier New" w:cs="Courier New" w:hint="default"/>
      </w:rPr>
    </w:lvl>
    <w:lvl w:ilvl="8" w:tplc="0C090005">
      <w:start w:val="1"/>
      <w:numFmt w:val="bullet"/>
      <w:lvlText w:val=""/>
      <w:lvlJc w:val="left"/>
      <w:pPr>
        <w:ind w:left="6707" w:hanging="360"/>
      </w:pPr>
      <w:rPr>
        <w:rFonts w:ascii="Wingdings" w:hAnsi="Wingdings" w:hint="default"/>
      </w:rPr>
    </w:lvl>
  </w:abstractNum>
  <w:abstractNum w:abstractNumId="24" w15:restartNumberingAfterBreak="0">
    <w:nsid w:val="471F24DA"/>
    <w:multiLevelType w:val="hybridMultilevel"/>
    <w:tmpl w:val="FFA2A5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5" w15:restartNumberingAfterBreak="0">
    <w:nsid w:val="4B275845"/>
    <w:multiLevelType w:val="hybridMultilevel"/>
    <w:tmpl w:val="13CCE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74195A"/>
    <w:multiLevelType w:val="hybridMultilevel"/>
    <w:tmpl w:val="93DE5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B28B3"/>
    <w:multiLevelType w:val="hybridMultilevel"/>
    <w:tmpl w:val="120EF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0642E7"/>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CF1480A"/>
    <w:multiLevelType w:val="multilevel"/>
    <w:tmpl w:val="BFBAFABC"/>
    <w:lvl w:ilvl="0">
      <w:start w:val="1"/>
      <w:numFmt w:val="bullet"/>
      <w:lvlText w:val=""/>
      <w:lvlJc w:val="left"/>
      <w:pPr>
        <w:ind w:left="432" w:hanging="432"/>
      </w:pPr>
      <w:rPr>
        <w:rFonts w:ascii="Symbol" w:hAnsi="Symbol" w:hint="default"/>
        <w:color w:val="222A35" w:themeColor="text2" w:themeShade="80"/>
        <w:sz w:val="56"/>
        <w:szCs w:val="56"/>
      </w:rPr>
    </w:lvl>
    <w:lvl w:ilvl="1">
      <w:start w:val="1"/>
      <w:numFmt w:val="decimal"/>
      <w:lvlText w:val="%1.%2"/>
      <w:lvlJc w:val="left"/>
      <w:pPr>
        <w:ind w:left="576" w:hanging="576"/>
      </w:pPr>
      <w:rPr>
        <w:rFonts w:hint="default"/>
        <w:b w:val="0"/>
        <w:bCs/>
        <w:sz w:val="42"/>
        <w:szCs w:val="4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14431FE"/>
    <w:multiLevelType w:val="hybridMultilevel"/>
    <w:tmpl w:val="1D3E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ED12B0"/>
    <w:multiLevelType w:val="hybridMultilevel"/>
    <w:tmpl w:val="45F2A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9D723A"/>
    <w:multiLevelType w:val="hybridMultilevel"/>
    <w:tmpl w:val="CBB441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B3378B"/>
    <w:multiLevelType w:val="hybridMultilevel"/>
    <w:tmpl w:val="FF4E06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971E79"/>
    <w:multiLevelType w:val="hybridMultilevel"/>
    <w:tmpl w:val="81E81B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792806">
    <w:abstractNumId w:val="19"/>
  </w:num>
  <w:num w:numId="2" w16cid:durableId="184709617">
    <w:abstractNumId w:val="11"/>
  </w:num>
  <w:num w:numId="3" w16cid:durableId="2112624950">
    <w:abstractNumId w:val="9"/>
  </w:num>
  <w:num w:numId="4" w16cid:durableId="159586083">
    <w:abstractNumId w:val="7"/>
  </w:num>
  <w:num w:numId="5" w16cid:durableId="1151676387">
    <w:abstractNumId w:val="6"/>
  </w:num>
  <w:num w:numId="6" w16cid:durableId="562061598">
    <w:abstractNumId w:val="5"/>
  </w:num>
  <w:num w:numId="7" w16cid:durableId="1585843691">
    <w:abstractNumId w:val="4"/>
  </w:num>
  <w:num w:numId="8" w16cid:durableId="1794860072">
    <w:abstractNumId w:val="8"/>
  </w:num>
  <w:num w:numId="9" w16cid:durableId="426266718">
    <w:abstractNumId w:val="3"/>
  </w:num>
  <w:num w:numId="10" w16cid:durableId="793060354">
    <w:abstractNumId w:val="2"/>
  </w:num>
  <w:num w:numId="11" w16cid:durableId="372121351">
    <w:abstractNumId w:val="1"/>
  </w:num>
  <w:num w:numId="12" w16cid:durableId="895238793">
    <w:abstractNumId w:val="0"/>
  </w:num>
  <w:num w:numId="13" w16cid:durableId="336078470">
    <w:abstractNumId w:val="18"/>
  </w:num>
  <w:num w:numId="14" w16cid:durableId="2031711736">
    <w:abstractNumId w:val="28"/>
  </w:num>
  <w:num w:numId="15" w16cid:durableId="868033570">
    <w:abstractNumId w:val="12"/>
  </w:num>
  <w:num w:numId="16" w16cid:durableId="1010838758">
    <w:abstractNumId w:val="20"/>
  </w:num>
  <w:num w:numId="17" w16cid:durableId="2070179250">
    <w:abstractNumId w:val="13"/>
  </w:num>
  <w:num w:numId="18" w16cid:durableId="1007559781">
    <w:abstractNumId w:val="14"/>
  </w:num>
  <w:num w:numId="19" w16cid:durableId="1651448104">
    <w:abstractNumId w:val="21"/>
  </w:num>
  <w:num w:numId="20" w16cid:durableId="1702902302">
    <w:abstractNumId w:val="29"/>
  </w:num>
  <w:num w:numId="21" w16cid:durableId="955789028">
    <w:abstractNumId w:val="27"/>
  </w:num>
  <w:num w:numId="22" w16cid:durableId="486870404">
    <w:abstractNumId w:val="11"/>
  </w:num>
  <w:num w:numId="23" w16cid:durableId="2109614951">
    <w:abstractNumId w:val="17"/>
  </w:num>
  <w:num w:numId="24" w16cid:durableId="1118454190">
    <w:abstractNumId w:val="16"/>
  </w:num>
  <w:num w:numId="25" w16cid:durableId="1628316678">
    <w:abstractNumId w:val="23"/>
  </w:num>
  <w:num w:numId="26" w16cid:durableId="1436362151">
    <w:abstractNumId w:val="22"/>
  </w:num>
  <w:num w:numId="27" w16cid:durableId="924345214">
    <w:abstractNumId w:val="33"/>
  </w:num>
  <w:num w:numId="28" w16cid:durableId="304749000">
    <w:abstractNumId w:val="32"/>
  </w:num>
  <w:num w:numId="29" w16cid:durableId="1017973360">
    <w:abstractNumId w:val="34"/>
  </w:num>
  <w:num w:numId="30" w16cid:durableId="1615206948">
    <w:abstractNumId w:val="10"/>
  </w:num>
  <w:num w:numId="31" w16cid:durableId="1899778482">
    <w:abstractNumId w:val="11"/>
    <w:lvlOverride w:ilvl="0">
      <w:startOverride w:val="5"/>
    </w:lvlOverride>
    <w:lvlOverride w:ilvl="1">
      <w:startOverride w:val="2"/>
    </w:lvlOverride>
  </w:num>
  <w:num w:numId="32" w16cid:durableId="1610312965">
    <w:abstractNumId w:val="11"/>
    <w:lvlOverride w:ilvl="0">
      <w:startOverride w:val="5"/>
    </w:lvlOverride>
    <w:lvlOverride w:ilvl="1">
      <w:startOverride w:val="2"/>
    </w:lvlOverride>
  </w:num>
  <w:num w:numId="33" w16cid:durableId="344674343">
    <w:abstractNumId w:val="11"/>
    <w:lvlOverride w:ilvl="0">
      <w:startOverride w:val="7"/>
    </w:lvlOverride>
  </w:num>
  <w:num w:numId="34" w16cid:durableId="925571506">
    <w:abstractNumId w:val="11"/>
  </w:num>
  <w:num w:numId="35" w16cid:durableId="1512144086">
    <w:abstractNumId w:val="31"/>
  </w:num>
  <w:num w:numId="36" w16cid:durableId="1123426258">
    <w:abstractNumId w:val="25"/>
  </w:num>
  <w:num w:numId="37" w16cid:durableId="45223243">
    <w:abstractNumId w:val="30"/>
  </w:num>
  <w:num w:numId="38" w16cid:durableId="406266199">
    <w:abstractNumId w:val="26"/>
  </w:num>
  <w:num w:numId="39" w16cid:durableId="1226800646">
    <w:abstractNumId w:val="15"/>
  </w:num>
  <w:num w:numId="40" w16cid:durableId="4103225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017F7"/>
    <w:rsid w:val="0000675D"/>
    <w:rsid w:val="000079BE"/>
    <w:rsid w:val="00020823"/>
    <w:rsid w:val="00021FA5"/>
    <w:rsid w:val="0002360D"/>
    <w:rsid w:val="0002399D"/>
    <w:rsid w:val="0002653F"/>
    <w:rsid w:val="00031B12"/>
    <w:rsid w:val="000438ED"/>
    <w:rsid w:val="00045993"/>
    <w:rsid w:val="00047182"/>
    <w:rsid w:val="00054BB7"/>
    <w:rsid w:val="00056BDD"/>
    <w:rsid w:val="0006436A"/>
    <w:rsid w:val="00090C63"/>
    <w:rsid w:val="000939A5"/>
    <w:rsid w:val="000A158A"/>
    <w:rsid w:val="000A7B2D"/>
    <w:rsid w:val="000B1644"/>
    <w:rsid w:val="000B42C9"/>
    <w:rsid w:val="000C77EB"/>
    <w:rsid w:val="000D0F3A"/>
    <w:rsid w:val="000D2214"/>
    <w:rsid w:val="000D45EF"/>
    <w:rsid w:val="000D6FC9"/>
    <w:rsid w:val="001020DD"/>
    <w:rsid w:val="00120C6F"/>
    <w:rsid w:val="001304A2"/>
    <w:rsid w:val="00131FF0"/>
    <w:rsid w:val="00132A27"/>
    <w:rsid w:val="00134075"/>
    <w:rsid w:val="001370EB"/>
    <w:rsid w:val="001427FA"/>
    <w:rsid w:val="00144E35"/>
    <w:rsid w:val="00147758"/>
    <w:rsid w:val="001715D6"/>
    <w:rsid w:val="0018277C"/>
    <w:rsid w:val="00183B29"/>
    <w:rsid w:val="001935BD"/>
    <w:rsid w:val="0019362B"/>
    <w:rsid w:val="001A1A9E"/>
    <w:rsid w:val="001A5867"/>
    <w:rsid w:val="001A5AD9"/>
    <w:rsid w:val="001C2D2D"/>
    <w:rsid w:val="001E4778"/>
    <w:rsid w:val="001F137A"/>
    <w:rsid w:val="001F7CE7"/>
    <w:rsid w:val="0021242B"/>
    <w:rsid w:val="00213F4D"/>
    <w:rsid w:val="00214F45"/>
    <w:rsid w:val="00230DB2"/>
    <w:rsid w:val="00231E97"/>
    <w:rsid w:val="0023613F"/>
    <w:rsid w:val="00236CB9"/>
    <w:rsid w:val="002422E4"/>
    <w:rsid w:val="00251913"/>
    <w:rsid w:val="002616C4"/>
    <w:rsid w:val="00262615"/>
    <w:rsid w:val="0026352E"/>
    <w:rsid w:val="0026684A"/>
    <w:rsid w:val="0027229C"/>
    <w:rsid w:val="00283171"/>
    <w:rsid w:val="00287D9B"/>
    <w:rsid w:val="002901F6"/>
    <w:rsid w:val="00291EEC"/>
    <w:rsid w:val="0029330B"/>
    <w:rsid w:val="002936FB"/>
    <w:rsid w:val="00295DF0"/>
    <w:rsid w:val="0029781F"/>
    <w:rsid w:val="002A2CAB"/>
    <w:rsid w:val="002B4D97"/>
    <w:rsid w:val="002B7505"/>
    <w:rsid w:val="002C08CA"/>
    <w:rsid w:val="002C212A"/>
    <w:rsid w:val="002C4E3E"/>
    <w:rsid w:val="002D619F"/>
    <w:rsid w:val="002D624F"/>
    <w:rsid w:val="002E173B"/>
    <w:rsid w:val="002E2575"/>
    <w:rsid w:val="002E272B"/>
    <w:rsid w:val="002E3187"/>
    <w:rsid w:val="002E7393"/>
    <w:rsid w:val="00305486"/>
    <w:rsid w:val="00314876"/>
    <w:rsid w:val="003212D0"/>
    <w:rsid w:val="00325506"/>
    <w:rsid w:val="00342BC8"/>
    <w:rsid w:val="003454DC"/>
    <w:rsid w:val="003506AF"/>
    <w:rsid w:val="00355BB9"/>
    <w:rsid w:val="00356125"/>
    <w:rsid w:val="00377D14"/>
    <w:rsid w:val="003864E8"/>
    <w:rsid w:val="003875BC"/>
    <w:rsid w:val="003902AB"/>
    <w:rsid w:val="0039476F"/>
    <w:rsid w:val="00397721"/>
    <w:rsid w:val="003B3344"/>
    <w:rsid w:val="003C09E9"/>
    <w:rsid w:val="003C221B"/>
    <w:rsid w:val="003C36FF"/>
    <w:rsid w:val="003C4639"/>
    <w:rsid w:val="003D05C7"/>
    <w:rsid w:val="003D37C7"/>
    <w:rsid w:val="003E00BC"/>
    <w:rsid w:val="003E1826"/>
    <w:rsid w:val="003E6379"/>
    <w:rsid w:val="003F0F1A"/>
    <w:rsid w:val="003F50F6"/>
    <w:rsid w:val="00404185"/>
    <w:rsid w:val="00407344"/>
    <w:rsid w:val="0041176A"/>
    <w:rsid w:val="004133F9"/>
    <w:rsid w:val="00424181"/>
    <w:rsid w:val="00424587"/>
    <w:rsid w:val="00434871"/>
    <w:rsid w:val="004375A1"/>
    <w:rsid w:val="0044349F"/>
    <w:rsid w:val="00450DC8"/>
    <w:rsid w:val="00453078"/>
    <w:rsid w:val="004601FA"/>
    <w:rsid w:val="00464170"/>
    <w:rsid w:val="00473FF3"/>
    <w:rsid w:val="004749AF"/>
    <w:rsid w:val="00474D01"/>
    <w:rsid w:val="00480F6F"/>
    <w:rsid w:val="00490043"/>
    <w:rsid w:val="0049326B"/>
    <w:rsid w:val="004A0746"/>
    <w:rsid w:val="004A1DB6"/>
    <w:rsid w:val="004A214E"/>
    <w:rsid w:val="004A64AB"/>
    <w:rsid w:val="004B43F2"/>
    <w:rsid w:val="004C5316"/>
    <w:rsid w:val="004C5C1B"/>
    <w:rsid w:val="004C5EF3"/>
    <w:rsid w:val="004C720C"/>
    <w:rsid w:val="004E2C10"/>
    <w:rsid w:val="004E35C9"/>
    <w:rsid w:val="0050346F"/>
    <w:rsid w:val="005061D5"/>
    <w:rsid w:val="00514E62"/>
    <w:rsid w:val="00530DEB"/>
    <w:rsid w:val="00532664"/>
    <w:rsid w:val="00532DBD"/>
    <w:rsid w:val="00534BD8"/>
    <w:rsid w:val="005352AA"/>
    <w:rsid w:val="005518E9"/>
    <w:rsid w:val="005615F6"/>
    <w:rsid w:val="00566B4F"/>
    <w:rsid w:val="0057050D"/>
    <w:rsid w:val="005761F3"/>
    <w:rsid w:val="0058010C"/>
    <w:rsid w:val="0058231D"/>
    <w:rsid w:val="005B0149"/>
    <w:rsid w:val="005B502F"/>
    <w:rsid w:val="005C045D"/>
    <w:rsid w:val="005C240E"/>
    <w:rsid w:val="005D297D"/>
    <w:rsid w:val="005F1A0D"/>
    <w:rsid w:val="005F2C8C"/>
    <w:rsid w:val="005F32B3"/>
    <w:rsid w:val="005F33B4"/>
    <w:rsid w:val="005F3673"/>
    <w:rsid w:val="005F5A22"/>
    <w:rsid w:val="00603953"/>
    <w:rsid w:val="00606D4F"/>
    <w:rsid w:val="006200B8"/>
    <w:rsid w:val="00620887"/>
    <w:rsid w:val="0063597D"/>
    <w:rsid w:val="0065060F"/>
    <w:rsid w:val="00654EF0"/>
    <w:rsid w:val="00655FAD"/>
    <w:rsid w:val="00662370"/>
    <w:rsid w:val="00665275"/>
    <w:rsid w:val="00671D56"/>
    <w:rsid w:val="006770CF"/>
    <w:rsid w:val="00682EF5"/>
    <w:rsid w:val="00686600"/>
    <w:rsid w:val="00690130"/>
    <w:rsid w:val="00695DCE"/>
    <w:rsid w:val="006A1067"/>
    <w:rsid w:val="006B5138"/>
    <w:rsid w:val="006B6DFE"/>
    <w:rsid w:val="006C0FD4"/>
    <w:rsid w:val="006C251A"/>
    <w:rsid w:val="006D1BCB"/>
    <w:rsid w:val="006D2FDB"/>
    <w:rsid w:val="006F0AE0"/>
    <w:rsid w:val="006F5C4A"/>
    <w:rsid w:val="007006E8"/>
    <w:rsid w:val="0070306C"/>
    <w:rsid w:val="00715725"/>
    <w:rsid w:val="0071595E"/>
    <w:rsid w:val="00720D4E"/>
    <w:rsid w:val="00721C31"/>
    <w:rsid w:val="0073231F"/>
    <w:rsid w:val="007335C1"/>
    <w:rsid w:val="00743535"/>
    <w:rsid w:val="00751F81"/>
    <w:rsid w:val="00756743"/>
    <w:rsid w:val="00756A8A"/>
    <w:rsid w:val="007606B3"/>
    <w:rsid w:val="00767B50"/>
    <w:rsid w:val="007706C3"/>
    <w:rsid w:val="00775626"/>
    <w:rsid w:val="00780D7D"/>
    <w:rsid w:val="007824B2"/>
    <w:rsid w:val="00785090"/>
    <w:rsid w:val="00793556"/>
    <w:rsid w:val="00794F6D"/>
    <w:rsid w:val="007A42EC"/>
    <w:rsid w:val="007A6CF8"/>
    <w:rsid w:val="007B56EA"/>
    <w:rsid w:val="007B678D"/>
    <w:rsid w:val="007C51F6"/>
    <w:rsid w:val="007C58B7"/>
    <w:rsid w:val="007C79EB"/>
    <w:rsid w:val="007D0771"/>
    <w:rsid w:val="007D5058"/>
    <w:rsid w:val="007D56A2"/>
    <w:rsid w:val="007E51D1"/>
    <w:rsid w:val="007F6F84"/>
    <w:rsid w:val="008019D1"/>
    <w:rsid w:val="00803D16"/>
    <w:rsid w:val="008071E9"/>
    <w:rsid w:val="00807A1D"/>
    <w:rsid w:val="00813794"/>
    <w:rsid w:val="00814978"/>
    <w:rsid w:val="00817913"/>
    <w:rsid w:val="00822D74"/>
    <w:rsid w:val="00826E87"/>
    <w:rsid w:val="00830C92"/>
    <w:rsid w:val="00834CB3"/>
    <w:rsid w:val="00837403"/>
    <w:rsid w:val="00854D04"/>
    <w:rsid w:val="00856596"/>
    <w:rsid w:val="008748F9"/>
    <w:rsid w:val="00875B8F"/>
    <w:rsid w:val="00876840"/>
    <w:rsid w:val="0088383C"/>
    <w:rsid w:val="00895B1A"/>
    <w:rsid w:val="008A0D60"/>
    <w:rsid w:val="008A2007"/>
    <w:rsid w:val="008A3A85"/>
    <w:rsid w:val="008B0C96"/>
    <w:rsid w:val="008B27B1"/>
    <w:rsid w:val="008B297C"/>
    <w:rsid w:val="008B5F3E"/>
    <w:rsid w:val="008C515F"/>
    <w:rsid w:val="008D58E7"/>
    <w:rsid w:val="008D5EFF"/>
    <w:rsid w:val="00906B67"/>
    <w:rsid w:val="00912F3D"/>
    <w:rsid w:val="00913561"/>
    <w:rsid w:val="00922E36"/>
    <w:rsid w:val="009267EB"/>
    <w:rsid w:val="00933B23"/>
    <w:rsid w:val="00937F8B"/>
    <w:rsid w:val="00940FD6"/>
    <w:rsid w:val="00944D9B"/>
    <w:rsid w:val="00944EBE"/>
    <w:rsid w:val="00950209"/>
    <w:rsid w:val="009538F5"/>
    <w:rsid w:val="009563B1"/>
    <w:rsid w:val="00956BDB"/>
    <w:rsid w:val="00967373"/>
    <w:rsid w:val="00974E27"/>
    <w:rsid w:val="009817E4"/>
    <w:rsid w:val="00982CE4"/>
    <w:rsid w:val="009911EB"/>
    <w:rsid w:val="00992437"/>
    <w:rsid w:val="00993B5E"/>
    <w:rsid w:val="009A34CC"/>
    <w:rsid w:val="009A6370"/>
    <w:rsid w:val="009A7CF0"/>
    <w:rsid w:val="009A7ED0"/>
    <w:rsid w:val="009B02E2"/>
    <w:rsid w:val="009B361E"/>
    <w:rsid w:val="009C7C6D"/>
    <w:rsid w:val="009D020B"/>
    <w:rsid w:val="009D40CA"/>
    <w:rsid w:val="009F6604"/>
    <w:rsid w:val="009F7ACD"/>
    <w:rsid w:val="00A16890"/>
    <w:rsid w:val="00A17BAD"/>
    <w:rsid w:val="00A3174F"/>
    <w:rsid w:val="00A334F4"/>
    <w:rsid w:val="00A336A0"/>
    <w:rsid w:val="00A371EE"/>
    <w:rsid w:val="00A37517"/>
    <w:rsid w:val="00A422B5"/>
    <w:rsid w:val="00A43980"/>
    <w:rsid w:val="00A43DED"/>
    <w:rsid w:val="00A46E91"/>
    <w:rsid w:val="00A53ADB"/>
    <w:rsid w:val="00A574C9"/>
    <w:rsid w:val="00A61BBA"/>
    <w:rsid w:val="00A6558B"/>
    <w:rsid w:val="00A820B3"/>
    <w:rsid w:val="00A85121"/>
    <w:rsid w:val="00A87195"/>
    <w:rsid w:val="00A90E05"/>
    <w:rsid w:val="00AA04D5"/>
    <w:rsid w:val="00AA4037"/>
    <w:rsid w:val="00AB6CFE"/>
    <w:rsid w:val="00AD1D83"/>
    <w:rsid w:val="00AE1B1F"/>
    <w:rsid w:val="00AE2D58"/>
    <w:rsid w:val="00AE7B4B"/>
    <w:rsid w:val="00B07110"/>
    <w:rsid w:val="00B23397"/>
    <w:rsid w:val="00B3425D"/>
    <w:rsid w:val="00B4076C"/>
    <w:rsid w:val="00B44911"/>
    <w:rsid w:val="00B51428"/>
    <w:rsid w:val="00B61725"/>
    <w:rsid w:val="00B653A8"/>
    <w:rsid w:val="00B65882"/>
    <w:rsid w:val="00B66D52"/>
    <w:rsid w:val="00B66E4E"/>
    <w:rsid w:val="00B706C7"/>
    <w:rsid w:val="00B70B1D"/>
    <w:rsid w:val="00B8518A"/>
    <w:rsid w:val="00B91F86"/>
    <w:rsid w:val="00BA0D7C"/>
    <w:rsid w:val="00BB7F28"/>
    <w:rsid w:val="00BC0A54"/>
    <w:rsid w:val="00BD412A"/>
    <w:rsid w:val="00BD5C2E"/>
    <w:rsid w:val="00BE0430"/>
    <w:rsid w:val="00C250AB"/>
    <w:rsid w:val="00C2544A"/>
    <w:rsid w:val="00C43F1A"/>
    <w:rsid w:val="00C56683"/>
    <w:rsid w:val="00C713B6"/>
    <w:rsid w:val="00C741DC"/>
    <w:rsid w:val="00C7719C"/>
    <w:rsid w:val="00C908DE"/>
    <w:rsid w:val="00CA04C1"/>
    <w:rsid w:val="00CA0603"/>
    <w:rsid w:val="00CA0B7E"/>
    <w:rsid w:val="00CA2ADD"/>
    <w:rsid w:val="00CA448E"/>
    <w:rsid w:val="00CA6859"/>
    <w:rsid w:val="00CB06E9"/>
    <w:rsid w:val="00CB776D"/>
    <w:rsid w:val="00CC24E7"/>
    <w:rsid w:val="00CD1B5A"/>
    <w:rsid w:val="00CE53FE"/>
    <w:rsid w:val="00CF0C52"/>
    <w:rsid w:val="00CF596B"/>
    <w:rsid w:val="00CF648C"/>
    <w:rsid w:val="00D0485F"/>
    <w:rsid w:val="00D053BD"/>
    <w:rsid w:val="00D10251"/>
    <w:rsid w:val="00D1256F"/>
    <w:rsid w:val="00D23AF5"/>
    <w:rsid w:val="00D23B48"/>
    <w:rsid w:val="00D431DD"/>
    <w:rsid w:val="00D465B3"/>
    <w:rsid w:val="00D4731A"/>
    <w:rsid w:val="00D5567C"/>
    <w:rsid w:val="00D62A87"/>
    <w:rsid w:val="00D63E16"/>
    <w:rsid w:val="00D75FF8"/>
    <w:rsid w:val="00D85915"/>
    <w:rsid w:val="00D87D03"/>
    <w:rsid w:val="00D973B0"/>
    <w:rsid w:val="00DA11BE"/>
    <w:rsid w:val="00DB007B"/>
    <w:rsid w:val="00DB176B"/>
    <w:rsid w:val="00DC1050"/>
    <w:rsid w:val="00DC6788"/>
    <w:rsid w:val="00DD3DEE"/>
    <w:rsid w:val="00DD5E9E"/>
    <w:rsid w:val="00DE356C"/>
    <w:rsid w:val="00DF281F"/>
    <w:rsid w:val="00DF4111"/>
    <w:rsid w:val="00E044AF"/>
    <w:rsid w:val="00E06086"/>
    <w:rsid w:val="00E06946"/>
    <w:rsid w:val="00E06F28"/>
    <w:rsid w:val="00E14D5E"/>
    <w:rsid w:val="00E3011D"/>
    <w:rsid w:val="00E31E9F"/>
    <w:rsid w:val="00E34213"/>
    <w:rsid w:val="00E34B40"/>
    <w:rsid w:val="00E34D05"/>
    <w:rsid w:val="00E361FD"/>
    <w:rsid w:val="00E37DC7"/>
    <w:rsid w:val="00E4440F"/>
    <w:rsid w:val="00E44782"/>
    <w:rsid w:val="00E46701"/>
    <w:rsid w:val="00E46DD4"/>
    <w:rsid w:val="00E52470"/>
    <w:rsid w:val="00E55B7B"/>
    <w:rsid w:val="00E655FA"/>
    <w:rsid w:val="00E6568B"/>
    <w:rsid w:val="00E704CE"/>
    <w:rsid w:val="00E77562"/>
    <w:rsid w:val="00E81559"/>
    <w:rsid w:val="00E81F05"/>
    <w:rsid w:val="00E83EB2"/>
    <w:rsid w:val="00E84398"/>
    <w:rsid w:val="00E90EC4"/>
    <w:rsid w:val="00E926A1"/>
    <w:rsid w:val="00E92DF1"/>
    <w:rsid w:val="00E9466F"/>
    <w:rsid w:val="00E95C71"/>
    <w:rsid w:val="00E966F6"/>
    <w:rsid w:val="00EA3035"/>
    <w:rsid w:val="00EA38FB"/>
    <w:rsid w:val="00EA3983"/>
    <w:rsid w:val="00EC535D"/>
    <w:rsid w:val="00ED00AD"/>
    <w:rsid w:val="00EE232F"/>
    <w:rsid w:val="00EF6A5B"/>
    <w:rsid w:val="00F020F4"/>
    <w:rsid w:val="00F1123E"/>
    <w:rsid w:val="00F23248"/>
    <w:rsid w:val="00F26DFB"/>
    <w:rsid w:val="00F279F9"/>
    <w:rsid w:val="00F37C49"/>
    <w:rsid w:val="00F40766"/>
    <w:rsid w:val="00F50F46"/>
    <w:rsid w:val="00F51973"/>
    <w:rsid w:val="00F51DAF"/>
    <w:rsid w:val="00F557CD"/>
    <w:rsid w:val="00F57CA4"/>
    <w:rsid w:val="00F641EA"/>
    <w:rsid w:val="00F70047"/>
    <w:rsid w:val="00F74C46"/>
    <w:rsid w:val="00F77A2E"/>
    <w:rsid w:val="00F77DF4"/>
    <w:rsid w:val="00F81C08"/>
    <w:rsid w:val="00F8737C"/>
    <w:rsid w:val="00F93D2B"/>
    <w:rsid w:val="00FB0FAF"/>
    <w:rsid w:val="00FB306D"/>
    <w:rsid w:val="00FB40F4"/>
    <w:rsid w:val="00FB56FA"/>
    <w:rsid w:val="00FC635B"/>
    <w:rsid w:val="00FD0797"/>
    <w:rsid w:val="00FE5B09"/>
    <w:rsid w:val="00FE6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0F"/>
    <w:pPr>
      <w:spacing w:before="120" w:after="120" w:line="320" w:lineRule="exact"/>
    </w:pPr>
    <w:rPr>
      <w:rFonts w:ascii="Arial" w:hAnsi="Arial" w:cs="Arial"/>
    </w:rPr>
  </w:style>
  <w:style w:type="paragraph" w:styleId="Heading1">
    <w:name w:val="heading 1"/>
    <w:basedOn w:val="Normal"/>
    <w:next w:val="Normal"/>
    <w:link w:val="Heading1Char"/>
    <w:uiPriority w:val="9"/>
    <w:qFormat/>
    <w:rsid w:val="00E52470"/>
    <w:pPr>
      <w:numPr>
        <w:numId w:val="34"/>
      </w:numPr>
      <w:spacing w:line="240" w:lineRule="auto"/>
      <w:outlineLvl w:val="0"/>
    </w:pPr>
    <w:rPr>
      <w:color w:val="04545D"/>
      <w:sz w:val="56"/>
      <w:szCs w:val="56"/>
    </w:rPr>
  </w:style>
  <w:style w:type="paragraph" w:styleId="Heading2">
    <w:name w:val="heading 2"/>
    <w:basedOn w:val="Heading1"/>
    <w:next w:val="Normal"/>
    <w:link w:val="Heading2Char"/>
    <w:autoRedefine/>
    <w:uiPriority w:val="9"/>
    <w:unhideWhenUsed/>
    <w:qFormat/>
    <w:rsid w:val="00283171"/>
    <w:pPr>
      <w:keepNext/>
      <w:numPr>
        <w:ilvl w:val="1"/>
      </w:numPr>
      <w:spacing w:before="440" w:after="220"/>
      <w:ind w:left="851" w:hanging="851"/>
      <w:outlineLvl w:val="1"/>
    </w:pPr>
    <w:rPr>
      <w:color w:val="0E8387"/>
      <w:sz w:val="40"/>
      <w:szCs w:val="40"/>
    </w:rPr>
  </w:style>
  <w:style w:type="paragraph" w:styleId="Heading3">
    <w:name w:val="heading 3"/>
    <w:basedOn w:val="Heading2"/>
    <w:next w:val="Normal"/>
    <w:link w:val="Heading3Char"/>
    <w:uiPriority w:val="9"/>
    <w:unhideWhenUsed/>
    <w:qFormat/>
    <w:rsid w:val="003F0F1A"/>
    <w:pPr>
      <w:numPr>
        <w:ilvl w:val="2"/>
      </w:numPr>
      <w:ind w:left="1276" w:hanging="1276"/>
      <w:outlineLvl w:val="2"/>
    </w:pPr>
    <w:rPr>
      <w:color w:val="000000" w:themeColor="text1"/>
      <w:sz w:val="32"/>
      <w:szCs w:val="32"/>
    </w:rPr>
  </w:style>
  <w:style w:type="paragraph" w:styleId="Heading4">
    <w:name w:val="heading 4"/>
    <w:basedOn w:val="Normal"/>
    <w:next w:val="Normal"/>
    <w:link w:val="Heading4Char"/>
    <w:uiPriority w:val="9"/>
    <w:unhideWhenUsed/>
    <w:qFormat/>
    <w:rsid w:val="009911EB"/>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911EB"/>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911EB"/>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11EB"/>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11EB"/>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11EB"/>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E52470"/>
    <w:rPr>
      <w:rFonts w:ascii="Arial" w:hAnsi="Arial" w:cs="Arial"/>
      <w:color w:val="04545D"/>
      <w:sz w:val="56"/>
      <w:szCs w:val="56"/>
      <w:lang w:val="en-US"/>
    </w:rPr>
  </w:style>
  <w:style w:type="paragraph" w:styleId="TOCHeading">
    <w:name w:val="TOC Heading"/>
    <w:basedOn w:val="Heading1"/>
    <w:next w:val="Normal"/>
    <w:uiPriority w:val="39"/>
    <w:unhideWhenUsed/>
    <w:qFormat/>
    <w:rsid w:val="000A7B2D"/>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3171"/>
    <w:rPr>
      <w:rFonts w:ascii="Arial" w:hAnsi="Arial" w:cs="Arial"/>
      <w:color w:val="0E8387"/>
      <w:sz w:val="40"/>
      <w:szCs w:val="40"/>
    </w:rPr>
  </w:style>
  <w:style w:type="paragraph" w:styleId="Caption">
    <w:name w:val="caption"/>
    <w:basedOn w:val="Normal"/>
    <w:next w:val="Normal"/>
    <w:unhideWhenUsed/>
    <w:qFormat/>
    <w:rsid w:val="0065060F"/>
    <w:pPr>
      <w:keepNext/>
    </w:pPr>
    <w:rPr>
      <w:b/>
      <w:bCs/>
    </w:rPr>
  </w:style>
  <w:style w:type="paragraph" w:styleId="ListBullet">
    <w:name w:val="List Bullet"/>
    <w:basedOn w:val="Normal"/>
    <w:uiPriority w:val="99"/>
    <w:unhideWhenUsed/>
    <w:rsid w:val="00295DF0"/>
    <w:pPr>
      <w:numPr>
        <w:numId w:val="13"/>
      </w:numPr>
      <w:spacing w:before="60" w:after="60"/>
      <w:ind w:left="425" w:hanging="425"/>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basedOn w:val="Heading1"/>
    <w:qFormat/>
    <w:rsid w:val="00D5567C"/>
    <w:pPr>
      <w:numPr>
        <w:numId w:val="0"/>
      </w:numPr>
    </w:pPr>
  </w:style>
  <w:style w:type="paragraph" w:customStyle="1" w:styleId="Tabletext">
    <w:name w:val="Table text"/>
    <w:basedOn w:val="Normal"/>
    <w:qFormat/>
    <w:rsid w:val="00D5567C"/>
  </w:style>
  <w:style w:type="paragraph" w:styleId="NoSpacing">
    <w:name w:val="No Spacing"/>
    <w:uiPriority w:val="1"/>
    <w:qFormat/>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
    <w:rsid w:val="003F0F1A"/>
    <w:rPr>
      <w:rFonts w:ascii="Arial" w:hAnsi="Arial" w:cs="Arial"/>
      <w:color w:val="000000" w:themeColor="text1"/>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unhideWhenUsed/>
    <w:rsid w:val="002E7393"/>
    <w:rPr>
      <w:color w:val="0563C1" w:themeColor="hyperlink"/>
      <w:u w:val="single"/>
    </w:rPr>
  </w:style>
  <w:style w:type="table" w:styleId="TableGrid">
    <w:name w:val="Table Grid"/>
    <w:basedOn w:val="TableNormal"/>
    <w:uiPriority w:val="59"/>
    <w:rsid w:val="002E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470"/>
    <w:rPr>
      <w:color w:val="605E5C"/>
      <w:shd w:val="clear" w:color="auto" w:fill="E1DFDD"/>
    </w:rPr>
  </w:style>
  <w:style w:type="character" w:customStyle="1" w:styleId="Heading4Char">
    <w:name w:val="Heading 4 Char"/>
    <w:basedOn w:val="DefaultParagraphFont"/>
    <w:link w:val="Heading4"/>
    <w:uiPriority w:val="9"/>
    <w:rsid w:val="009911E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9911E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9911E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911E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911E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911EB"/>
    <w:rPr>
      <w:rFonts w:asciiTheme="majorHAnsi" w:eastAsiaTheme="majorEastAsia" w:hAnsiTheme="majorHAnsi" w:cstheme="majorBidi"/>
      <w:i/>
      <w:iCs/>
      <w:color w:val="272727" w:themeColor="text1" w:themeTint="D8"/>
      <w:sz w:val="21"/>
      <w:szCs w:val="21"/>
      <w:lang w:val="en-US"/>
    </w:rPr>
  </w:style>
  <w:style w:type="paragraph" w:customStyle="1" w:styleId="Maintext">
    <w:name w:val="Main text"/>
    <w:basedOn w:val="Normal"/>
    <w:link w:val="MaintextCharChar"/>
    <w:qFormat/>
    <w:rsid w:val="0088383C"/>
    <w:pPr>
      <w:spacing w:before="0" w:after="0" w:line="240" w:lineRule="auto"/>
    </w:pPr>
    <w:rPr>
      <w:rFonts w:eastAsia="Times New Roman" w:cs="Times New Roman"/>
      <w:szCs w:val="24"/>
      <w:lang w:eastAsia="en-AU"/>
    </w:rPr>
  </w:style>
  <w:style w:type="character" w:customStyle="1" w:styleId="MaintextCharChar">
    <w:name w:val="Main text Char Char"/>
    <w:basedOn w:val="DefaultParagraphFont"/>
    <w:link w:val="Maintext"/>
    <w:rsid w:val="0088383C"/>
    <w:rPr>
      <w:rFonts w:ascii="Arial" w:eastAsia="Times New Roman" w:hAnsi="Arial" w:cs="Times New Roman"/>
      <w:szCs w:val="24"/>
      <w:lang w:eastAsia="en-AU"/>
    </w:rPr>
  </w:style>
  <w:style w:type="character" w:customStyle="1" w:styleId="BodyTextChar">
    <w:name w:val="Body Text Char"/>
    <w:basedOn w:val="DefaultParagraphFont"/>
    <w:uiPriority w:val="99"/>
    <w:semiHidden/>
    <w:rsid w:val="00BB7F28"/>
    <w:rPr>
      <w:rFonts w:ascii="Arial" w:hAnsi="Arial" w:cs="Arial"/>
      <w:lang w:val="en-US"/>
    </w:rPr>
  </w:style>
  <w:style w:type="table" w:customStyle="1" w:styleId="ATOTable">
    <w:name w:val="ATOTable"/>
    <w:basedOn w:val="TableGrid"/>
    <w:rsid w:val="00F23248"/>
    <w:pPr>
      <w:spacing w:before="60" w:after="60"/>
    </w:pPr>
    <w:rPr>
      <w:rFonts w:ascii="Times New Roman" w:eastAsia="Times New Roman" w:hAnsi="Times New Roman" w:cs="Times New Roman"/>
      <w:sz w:val="20"/>
      <w:szCs w:val="20"/>
      <w:lang w:eastAsia="en-AU"/>
    </w:rPr>
    <w:tblPr>
      <w:tblCellMar>
        <w:left w:w="170" w:type="dxa"/>
        <w:right w:w="170" w:type="dxa"/>
      </w:tblCellMar>
    </w:tblPr>
  </w:style>
  <w:style w:type="character" w:customStyle="1" w:styleId="BodyTextChar1">
    <w:name w:val="Body Text Char1"/>
    <w:aliases w:val="Char Char"/>
    <w:link w:val="BodyText"/>
    <w:rsid w:val="00B706C7"/>
    <w:rPr>
      <w:rFonts w:ascii="Arial" w:hAnsi="Arial"/>
      <w:szCs w:val="24"/>
    </w:rPr>
  </w:style>
  <w:style w:type="paragraph" w:styleId="BodyText">
    <w:name w:val="Body Text"/>
    <w:aliases w:val="Char"/>
    <w:basedOn w:val="Normal"/>
    <w:link w:val="BodyTextChar1"/>
    <w:autoRedefine/>
    <w:rsid w:val="00B706C7"/>
    <w:rPr>
      <w:rFonts w:cstheme="minorBidi"/>
      <w:szCs w:val="24"/>
    </w:rPr>
  </w:style>
  <w:style w:type="character" w:customStyle="1" w:styleId="BodyTextChar3">
    <w:name w:val="Body Text Char3"/>
    <w:basedOn w:val="DefaultParagraphFont"/>
    <w:semiHidden/>
    <w:rsid w:val="00AD1D83"/>
    <w:rPr>
      <w:rFonts w:ascii="Arial" w:hAnsi="Arial" w:cs="Arial"/>
      <w:lang w:val="en-US"/>
    </w:rPr>
  </w:style>
  <w:style w:type="paragraph" w:styleId="TOC1">
    <w:name w:val="toc 1"/>
    <w:basedOn w:val="Normal"/>
    <w:next w:val="Normal"/>
    <w:autoRedefine/>
    <w:uiPriority w:val="39"/>
    <w:unhideWhenUsed/>
    <w:rsid w:val="00E31E9F"/>
    <w:pPr>
      <w:tabs>
        <w:tab w:val="left" w:pos="440"/>
        <w:tab w:val="right" w:leader="dot" w:pos="9016"/>
      </w:tabs>
      <w:spacing w:before="0" w:after="0"/>
    </w:pPr>
  </w:style>
  <w:style w:type="character" w:customStyle="1" w:styleId="BodyTextChar2">
    <w:name w:val="Body Text Char2"/>
    <w:basedOn w:val="DefaultParagraphFont"/>
    <w:semiHidden/>
    <w:rsid w:val="0088383C"/>
    <w:rPr>
      <w:rFonts w:ascii="Arial" w:hAnsi="Arial" w:cs="Arial"/>
      <w:lang w:val="en-US"/>
    </w:rPr>
  </w:style>
  <w:style w:type="paragraph" w:styleId="TOC2">
    <w:name w:val="toc 2"/>
    <w:basedOn w:val="Normal"/>
    <w:next w:val="Normal"/>
    <w:autoRedefine/>
    <w:uiPriority w:val="39"/>
    <w:unhideWhenUsed/>
    <w:rsid w:val="00054BB7"/>
    <w:pPr>
      <w:tabs>
        <w:tab w:val="left" w:pos="880"/>
        <w:tab w:val="right" w:leader="dot" w:pos="9016"/>
      </w:tabs>
      <w:spacing w:after="100"/>
      <w:ind w:left="220"/>
      <w:jc w:val="both"/>
    </w:pPr>
  </w:style>
  <w:style w:type="paragraph" w:styleId="TableofFigures">
    <w:name w:val="table of figures"/>
    <w:basedOn w:val="Normal"/>
    <w:next w:val="Normal"/>
    <w:uiPriority w:val="99"/>
    <w:unhideWhenUsed/>
    <w:rsid w:val="000A7B2D"/>
    <w:pPr>
      <w:spacing w:after="0"/>
    </w:pPr>
  </w:style>
  <w:style w:type="character" w:styleId="FollowedHyperlink">
    <w:name w:val="FollowedHyperlink"/>
    <w:basedOn w:val="DefaultParagraphFont"/>
    <w:uiPriority w:val="99"/>
    <w:semiHidden/>
    <w:unhideWhenUsed/>
    <w:rsid w:val="001427FA"/>
    <w:rPr>
      <w:color w:val="954F72" w:themeColor="followedHyperlink"/>
      <w:u w:val="single"/>
    </w:rPr>
  </w:style>
  <w:style w:type="character" w:styleId="CommentReference">
    <w:name w:val="annotation reference"/>
    <w:basedOn w:val="DefaultParagraphFont"/>
    <w:uiPriority w:val="99"/>
    <w:semiHidden/>
    <w:unhideWhenUsed/>
    <w:rsid w:val="00566B4F"/>
    <w:rPr>
      <w:sz w:val="16"/>
      <w:szCs w:val="16"/>
    </w:rPr>
  </w:style>
  <w:style w:type="paragraph" w:styleId="CommentText">
    <w:name w:val="annotation text"/>
    <w:basedOn w:val="Normal"/>
    <w:link w:val="CommentTextChar"/>
    <w:uiPriority w:val="99"/>
    <w:unhideWhenUsed/>
    <w:rsid w:val="00566B4F"/>
    <w:pPr>
      <w:spacing w:line="240" w:lineRule="auto"/>
    </w:pPr>
    <w:rPr>
      <w:sz w:val="20"/>
      <w:szCs w:val="20"/>
    </w:rPr>
  </w:style>
  <w:style w:type="character" w:customStyle="1" w:styleId="CommentTextChar">
    <w:name w:val="Comment Text Char"/>
    <w:basedOn w:val="DefaultParagraphFont"/>
    <w:link w:val="CommentText"/>
    <w:uiPriority w:val="99"/>
    <w:rsid w:val="00566B4F"/>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66B4F"/>
    <w:rPr>
      <w:b/>
      <w:bCs/>
    </w:rPr>
  </w:style>
  <w:style w:type="character" w:customStyle="1" w:styleId="CommentSubjectChar">
    <w:name w:val="Comment Subject Char"/>
    <w:basedOn w:val="CommentTextChar"/>
    <w:link w:val="CommentSubject"/>
    <w:uiPriority w:val="99"/>
    <w:semiHidden/>
    <w:rsid w:val="00566B4F"/>
    <w:rPr>
      <w:rFonts w:ascii="Arial" w:hAnsi="Arial" w:cs="Arial"/>
      <w:b/>
      <w:bCs/>
      <w:sz w:val="20"/>
      <w:szCs w:val="20"/>
      <w:lang w:val="en-US"/>
    </w:rPr>
  </w:style>
  <w:style w:type="paragraph" w:styleId="ListParagraph">
    <w:name w:val="List Paragraph"/>
    <w:aliases w:val="Table Dots"/>
    <w:basedOn w:val="Normal"/>
    <w:link w:val="ListParagraphChar"/>
    <w:uiPriority w:val="34"/>
    <w:qFormat/>
    <w:rsid w:val="00982CE4"/>
    <w:pPr>
      <w:ind w:left="720"/>
      <w:contextualSpacing/>
    </w:pPr>
  </w:style>
  <w:style w:type="character" w:customStyle="1" w:styleId="ListParagraphChar">
    <w:name w:val="List Paragraph Char"/>
    <w:aliases w:val="Table Dots Char"/>
    <w:basedOn w:val="DefaultParagraphFont"/>
    <w:link w:val="ListParagraph"/>
    <w:uiPriority w:val="34"/>
    <w:locked/>
    <w:rsid w:val="007B678D"/>
    <w:rPr>
      <w:rFonts w:ascii="Arial" w:hAnsi="Arial" w:cs="Arial"/>
    </w:rPr>
  </w:style>
  <w:style w:type="paragraph" w:styleId="Revision">
    <w:name w:val="Revision"/>
    <w:hidden/>
    <w:uiPriority w:val="99"/>
    <w:semiHidden/>
    <w:rsid w:val="00DC6788"/>
    <w:pPr>
      <w:spacing w:after="0" w:line="240" w:lineRule="auto"/>
    </w:pPr>
    <w:rPr>
      <w:rFonts w:ascii="Arial" w:hAnsi="Arial" w:cs="Arial"/>
    </w:rPr>
  </w:style>
  <w:style w:type="paragraph" w:customStyle="1" w:styleId="xxmsolistparagraph">
    <w:name w:val="x_xmsolistparagraph"/>
    <w:basedOn w:val="Normal"/>
    <w:rsid w:val="00CE53FE"/>
    <w:pPr>
      <w:spacing w:before="0" w:after="0" w:line="240" w:lineRule="auto"/>
      <w:ind w:left="720"/>
    </w:pPr>
    <w:rPr>
      <w:rFonts w:ascii="Calibri" w:hAnsi="Calibri" w:cs="Calibri"/>
      <w:lang w:eastAsia="en-AU"/>
    </w:rPr>
  </w:style>
  <w:style w:type="paragraph" w:styleId="EndnoteText">
    <w:name w:val="endnote text"/>
    <w:basedOn w:val="Normal"/>
    <w:link w:val="EndnoteTextChar"/>
    <w:uiPriority w:val="99"/>
    <w:semiHidden/>
    <w:unhideWhenUsed/>
    <w:rsid w:val="008A200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A2007"/>
    <w:rPr>
      <w:rFonts w:ascii="Arial" w:hAnsi="Arial" w:cs="Arial"/>
      <w:sz w:val="20"/>
      <w:szCs w:val="20"/>
    </w:rPr>
  </w:style>
  <w:style w:type="character" w:styleId="EndnoteReference">
    <w:name w:val="endnote reference"/>
    <w:basedOn w:val="DefaultParagraphFont"/>
    <w:uiPriority w:val="99"/>
    <w:semiHidden/>
    <w:unhideWhenUsed/>
    <w:rsid w:val="008A2007"/>
    <w:rPr>
      <w:vertAlign w:val="superscript"/>
    </w:rPr>
  </w:style>
  <w:style w:type="paragraph" w:styleId="FootnoteText">
    <w:name w:val="footnote text"/>
    <w:basedOn w:val="Normal"/>
    <w:link w:val="FootnoteTextChar"/>
    <w:uiPriority w:val="99"/>
    <w:semiHidden/>
    <w:unhideWhenUsed/>
    <w:rsid w:val="008A200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A2007"/>
    <w:rPr>
      <w:rFonts w:ascii="Arial" w:hAnsi="Arial" w:cs="Arial"/>
      <w:sz w:val="20"/>
      <w:szCs w:val="20"/>
    </w:rPr>
  </w:style>
  <w:style w:type="character" w:styleId="FootnoteReference">
    <w:name w:val="footnote reference"/>
    <w:basedOn w:val="DefaultParagraphFont"/>
    <w:uiPriority w:val="99"/>
    <w:semiHidden/>
    <w:unhideWhenUsed/>
    <w:rsid w:val="008A2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252">
      <w:bodyDiv w:val="1"/>
      <w:marLeft w:val="0"/>
      <w:marRight w:val="0"/>
      <w:marTop w:val="0"/>
      <w:marBottom w:val="0"/>
      <w:divBdr>
        <w:top w:val="none" w:sz="0" w:space="0" w:color="auto"/>
        <w:left w:val="none" w:sz="0" w:space="0" w:color="auto"/>
        <w:bottom w:val="none" w:sz="0" w:space="0" w:color="auto"/>
        <w:right w:val="none" w:sz="0" w:space="0" w:color="auto"/>
      </w:divBdr>
    </w:div>
    <w:div w:id="91243359">
      <w:bodyDiv w:val="1"/>
      <w:marLeft w:val="0"/>
      <w:marRight w:val="0"/>
      <w:marTop w:val="0"/>
      <w:marBottom w:val="0"/>
      <w:divBdr>
        <w:top w:val="none" w:sz="0" w:space="0" w:color="auto"/>
        <w:left w:val="none" w:sz="0" w:space="0" w:color="auto"/>
        <w:bottom w:val="none" w:sz="0" w:space="0" w:color="auto"/>
        <w:right w:val="none" w:sz="0" w:space="0" w:color="auto"/>
      </w:divBdr>
    </w:div>
    <w:div w:id="121119576">
      <w:bodyDiv w:val="1"/>
      <w:marLeft w:val="0"/>
      <w:marRight w:val="0"/>
      <w:marTop w:val="0"/>
      <w:marBottom w:val="0"/>
      <w:divBdr>
        <w:top w:val="none" w:sz="0" w:space="0" w:color="auto"/>
        <w:left w:val="none" w:sz="0" w:space="0" w:color="auto"/>
        <w:bottom w:val="none" w:sz="0" w:space="0" w:color="auto"/>
        <w:right w:val="none" w:sz="0" w:space="0" w:color="auto"/>
      </w:divBdr>
    </w:div>
    <w:div w:id="209192734">
      <w:bodyDiv w:val="1"/>
      <w:marLeft w:val="0"/>
      <w:marRight w:val="0"/>
      <w:marTop w:val="0"/>
      <w:marBottom w:val="0"/>
      <w:divBdr>
        <w:top w:val="none" w:sz="0" w:space="0" w:color="auto"/>
        <w:left w:val="none" w:sz="0" w:space="0" w:color="auto"/>
        <w:bottom w:val="none" w:sz="0" w:space="0" w:color="auto"/>
        <w:right w:val="none" w:sz="0" w:space="0" w:color="auto"/>
      </w:divBdr>
    </w:div>
    <w:div w:id="252399909">
      <w:bodyDiv w:val="1"/>
      <w:marLeft w:val="0"/>
      <w:marRight w:val="0"/>
      <w:marTop w:val="0"/>
      <w:marBottom w:val="0"/>
      <w:divBdr>
        <w:top w:val="none" w:sz="0" w:space="0" w:color="auto"/>
        <w:left w:val="none" w:sz="0" w:space="0" w:color="auto"/>
        <w:bottom w:val="none" w:sz="0" w:space="0" w:color="auto"/>
        <w:right w:val="none" w:sz="0" w:space="0" w:color="auto"/>
      </w:divBdr>
      <w:divsChild>
        <w:div w:id="93401609">
          <w:marLeft w:val="389"/>
          <w:marRight w:val="0"/>
          <w:marTop w:val="0"/>
          <w:marBottom w:val="0"/>
          <w:divBdr>
            <w:top w:val="none" w:sz="0" w:space="0" w:color="auto"/>
            <w:left w:val="none" w:sz="0" w:space="0" w:color="auto"/>
            <w:bottom w:val="none" w:sz="0" w:space="0" w:color="auto"/>
            <w:right w:val="none" w:sz="0" w:space="0" w:color="auto"/>
          </w:divBdr>
        </w:div>
      </w:divsChild>
    </w:div>
    <w:div w:id="534541897">
      <w:bodyDiv w:val="1"/>
      <w:marLeft w:val="0"/>
      <w:marRight w:val="0"/>
      <w:marTop w:val="0"/>
      <w:marBottom w:val="0"/>
      <w:divBdr>
        <w:top w:val="none" w:sz="0" w:space="0" w:color="auto"/>
        <w:left w:val="none" w:sz="0" w:space="0" w:color="auto"/>
        <w:bottom w:val="none" w:sz="0" w:space="0" w:color="auto"/>
        <w:right w:val="none" w:sz="0" w:space="0" w:color="auto"/>
      </w:divBdr>
    </w:div>
    <w:div w:id="591201433">
      <w:bodyDiv w:val="1"/>
      <w:marLeft w:val="0"/>
      <w:marRight w:val="0"/>
      <w:marTop w:val="0"/>
      <w:marBottom w:val="0"/>
      <w:divBdr>
        <w:top w:val="none" w:sz="0" w:space="0" w:color="auto"/>
        <w:left w:val="none" w:sz="0" w:space="0" w:color="auto"/>
        <w:bottom w:val="none" w:sz="0" w:space="0" w:color="auto"/>
        <w:right w:val="none" w:sz="0" w:space="0" w:color="auto"/>
      </w:divBdr>
    </w:div>
    <w:div w:id="806892474">
      <w:bodyDiv w:val="1"/>
      <w:marLeft w:val="0"/>
      <w:marRight w:val="0"/>
      <w:marTop w:val="0"/>
      <w:marBottom w:val="0"/>
      <w:divBdr>
        <w:top w:val="none" w:sz="0" w:space="0" w:color="auto"/>
        <w:left w:val="none" w:sz="0" w:space="0" w:color="auto"/>
        <w:bottom w:val="none" w:sz="0" w:space="0" w:color="auto"/>
        <w:right w:val="none" w:sz="0" w:space="0" w:color="auto"/>
      </w:divBdr>
    </w:div>
    <w:div w:id="811603171">
      <w:bodyDiv w:val="1"/>
      <w:marLeft w:val="0"/>
      <w:marRight w:val="0"/>
      <w:marTop w:val="0"/>
      <w:marBottom w:val="0"/>
      <w:divBdr>
        <w:top w:val="none" w:sz="0" w:space="0" w:color="auto"/>
        <w:left w:val="none" w:sz="0" w:space="0" w:color="auto"/>
        <w:bottom w:val="none" w:sz="0" w:space="0" w:color="auto"/>
        <w:right w:val="none" w:sz="0" w:space="0" w:color="auto"/>
      </w:divBdr>
      <w:divsChild>
        <w:div w:id="898319556">
          <w:marLeft w:val="389"/>
          <w:marRight w:val="0"/>
          <w:marTop w:val="0"/>
          <w:marBottom w:val="0"/>
          <w:divBdr>
            <w:top w:val="none" w:sz="0" w:space="0" w:color="auto"/>
            <w:left w:val="none" w:sz="0" w:space="0" w:color="auto"/>
            <w:bottom w:val="none" w:sz="0" w:space="0" w:color="auto"/>
            <w:right w:val="none" w:sz="0" w:space="0" w:color="auto"/>
          </w:divBdr>
        </w:div>
      </w:divsChild>
    </w:div>
    <w:div w:id="841822452">
      <w:bodyDiv w:val="1"/>
      <w:marLeft w:val="0"/>
      <w:marRight w:val="0"/>
      <w:marTop w:val="0"/>
      <w:marBottom w:val="0"/>
      <w:divBdr>
        <w:top w:val="none" w:sz="0" w:space="0" w:color="auto"/>
        <w:left w:val="none" w:sz="0" w:space="0" w:color="auto"/>
        <w:bottom w:val="none" w:sz="0" w:space="0" w:color="auto"/>
        <w:right w:val="none" w:sz="0" w:space="0" w:color="auto"/>
      </w:divBdr>
    </w:div>
    <w:div w:id="865825098">
      <w:bodyDiv w:val="1"/>
      <w:marLeft w:val="0"/>
      <w:marRight w:val="0"/>
      <w:marTop w:val="0"/>
      <w:marBottom w:val="0"/>
      <w:divBdr>
        <w:top w:val="none" w:sz="0" w:space="0" w:color="auto"/>
        <w:left w:val="none" w:sz="0" w:space="0" w:color="auto"/>
        <w:bottom w:val="none" w:sz="0" w:space="0" w:color="auto"/>
        <w:right w:val="none" w:sz="0" w:space="0" w:color="auto"/>
      </w:divBdr>
    </w:div>
    <w:div w:id="922764506">
      <w:bodyDiv w:val="1"/>
      <w:marLeft w:val="0"/>
      <w:marRight w:val="0"/>
      <w:marTop w:val="0"/>
      <w:marBottom w:val="0"/>
      <w:divBdr>
        <w:top w:val="none" w:sz="0" w:space="0" w:color="auto"/>
        <w:left w:val="none" w:sz="0" w:space="0" w:color="auto"/>
        <w:bottom w:val="none" w:sz="0" w:space="0" w:color="auto"/>
        <w:right w:val="none" w:sz="0" w:space="0" w:color="auto"/>
      </w:divBdr>
    </w:div>
    <w:div w:id="1042562540">
      <w:bodyDiv w:val="1"/>
      <w:marLeft w:val="0"/>
      <w:marRight w:val="0"/>
      <w:marTop w:val="0"/>
      <w:marBottom w:val="0"/>
      <w:divBdr>
        <w:top w:val="none" w:sz="0" w:space="0" w:color="auto"/>
        <w:left w:val="none" w:sz="0" w:space="0" w:color="auto"/>
        <w:bottom w:val="none" w:sz="0" w:space="0" w:color="auto"/>
        <w:right w:val="none" w:sz="0" w:space="0" w:color="auto"/>
      </w:divBdr>
    </w:div>
    <w:div w:id="1248073225">
      <w:bodyDiv w:val="1"/>
      <w:marLeft w:val="0"/>
      <w:marRight w:val="0"/>
      <w:marTop w:val="0"/>
      <w:marBottom w:val="0"/>
      <w:divBdr>
        <w:top w:val="none" w:sz="0" w:space="0" w:color="auto"/>
        <w:left w:val="none" w:sz="0" w:space="0" w:color="auto"/>
        <w:bottom w:val="none" w:sz="0" w:space="0" w:color="auto"/>
        <w:right w:val="none" w:sz="0" w:space="0" w:color="auto"/>
      </w:divBdr>
    </w:div>
    <w:div w:id="1336961392">
      <w:bodyDiv w:val="1"/>
      <w:marLeft w:val="0"/>
      <w:marRight w:val="0"/>
      <w:marTop w:val="0"/>
      <w:marBottom w:val="0"/>
      <w:divBdr>
        <w:top w:val="none" w:sz="0" w:space="0" w:color="auto"/>
        <w:left w:val="none" w:sz="0" w:space="0" w:color="auto"/>
        <w:bottom w:val="none" w:sz="0" w:space="0" w:color="auto"/>
        <w:right w:val="none" w:sz="0" w:space="0" w:color="auto"/>
      </w:divBdr>
    </w:div>
    <w:div w:id="1358850315">
      <w:bodyDiv w:val="1"/>
      <w:marLeft w:val="0"/>
      <w:marRight w:val="0"/>
      <w:marTop w:val="0"/>
      <w:marBottom w:val="0"/>
      <w:divBdr>
        <w:top w:val="none" w:sz="0" w:space="0" w:color="auto"/>
        <w:left w:val="none" w:sz="0" w:space="0" w:color="auto"/>
        <w:bottom w:val="none" w:sz="0" w:space="0" w:color="auto"/>
        <w:right w:val="none" w:sz="0" w:space="0" w:color="auto"/>
      </w:divBdr>
    </w:div>
    <w:div w:id="1386368279">
      <w:bodyDiv w:val="1"/>
      <w:marLeft w:val="0"/>
      <w:marRight w:val="0"/>
      <w:marTop w:val="0"/>
      <w:marBottom w:val="0"/>
      <w:divBdr>
        <w:top w:val="none" w:sz="0" w:space="0" w:color="auto"/>
        <w:left w:val="none" w:sz="0" w:space="0" w:color="auto"/>
        <w:bottom w:val="none" w:sz="0" w:space="0" w:color="auto"/>
        <w:right w:val="none" w:sz="0" w:space="0" w:color="auto"/>
      </w:divBdr>
    </w:div>
    <w:div w:id="16854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r.gov.au/sites/default/files/ato_common_business_implementation_and_taxpayer_declaration_guide_v1.1.docx" TargetMode="External"/><Relationship Id="rId18" Type="http://schemas.openxmlformats.org/officeDocument/2006/relationships/hyperlink" Target="https://www.sbr.gov.au/sites/default/files/ato_payevnt.0004_2020_business_implementation_guid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to.gov.au/Definitions/?anchor=top" TargetMode="External"/><Relationship Id="rId17" Type="http://schemas.openxmlformats.org/officeDocument/2006/relationships/hyperlink" Target="https://softwaredevelopers.ato.gov.au/usingourservices/dsp-conditions-use" TargetMode="External"/><Relationship Id="rId2" Type="http://schemas.openxmlformats.org/officeDocument/2006/relationships/numbering" Target="numbering.xml"/><Relationship Id="rId16" Type="http://schemas.openxmlformats.org/officeDocument/2006/relationships/hyperlink" Target="https://www.ato.gov.au/general/online-services/access-manag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r.gov.au/digital-service-providers/developer-tools/gloss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br.gov.au/sites/default/files/ato_common_business_implementation_and_taxpayer_declaration_guide_v1.1.docx" TargetMode="External"/><Relationship Id="rId23" Type="http://schemas.openxmlformats.org/officeDocument/2006/relationships/fontTable" Target="fontTable.xml"/><Relationship Id="rId10" Type="http://schemas.openxmlformats.org/officeDocument/2006/relationships/hyperlink" Target="http://www.sbr.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ftwaredevelopers.ato.gov.au/OnlineservicesforDSPs" TargetMode="External"/><Relationship Id="rId14" Type="http://schemas.openxmlformats.org/officeDocument/2006/relationships/hyperlink" Target="https://www.sbr.gov.au/digital-service-providers/developer-tools/australian-taxation-office-ato/obligation-management-oblmgt/client-management-clntmg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5F5-8D3F-406E-A184-4B78DBA0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2024-04-16T05:57:00Z</dcterms:created>
  <dcterms:modified xsi:type="dcterms:W3CDTF">2024-04-16T05:57:00Z</dcterms:modified>
  <cp:contentStatus/>
</cp:coreProperties>
</file>