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B74F" w14:textId="77777777" w:rsidR="00B66D52" w:rsidRPr="00EB5562" w:rsidRDefault="00B66D52" w:rsidP="00B66D52">
      <w:pPr>
        <w:pStyle w:val="SBRtitle"/>
      </w:pPr>
      <w:r w:rsidRPr="00EB5562">
        <w:rPr>
          <w:noProof/>
        </w:rPr>
        <w:drawing>
          <wp:inline distT="0" distB="0" distL="0" distR="0" wp14:anchorId="1212338F" wp14:editId="5F50B0F7">
            <wp:extent cx="5731510" cy="2198655"/>
            <wp:effectExtent l="0" t="0" r="2540" b="0"/>
            <wp:docPr id="3" name="Picture 3" descr="An Australian Government Initiative - S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Australian Government Initiative - SB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584" t="16449" r="10534" b="-32223"/>
                    <a:stretch/>
                  </pic:blipFill>
                  <pic:spPr bwMode="auto">
                    <a:xfrm>
                      <a:off x="0" y="0"/>
                      <a:ext cx="5731510" cy="2198655"/>
                    </a:xfrm>
                    <a:prstGeom prst="rect">
                      <a:avLst/>
                    </a:prstGeom>
                    <a:noFill/>
                    <a:ln>
                      <a:noFill/>
                    </a:ln>
                    <a:extLst>
                      <a:ext uri="{53640926-AAD7-44D8-BBD7-CCE9431645EC}">
                        <a14:shadowObscured xmlns:a14="http://schemas.microsoft.com/office/drawing/2010/main"/>
                      </a:ext>
                    </a:extLst>
                  </pic:spPr>
                </pic:pic>
              </a:graphicData>
            </a:graphic>
          </wp:inline>
        </w:drawing>
      </w:r>
    </w:p>
    <w:p w14:paraId="0AB4AE77" w14:textId="0A9C4820" w:rsidR="00662370" w:rsidRPr="00EB5562" w:rsidRDefault="00B226B7" w:rsidP="00662370">
      <w:pPr>
        <w:pStyle w:val="SBRtitle"/>
      </w:pPr>
      <w:r w:rsidRPr="00EB5562">
        <w:t>Standard Business Reporting</w:t>
      </w:r>
    </w:p>
    <w:p w14:paraId="6D96A4F8" w14:textId="77777777" w:rsidR="00B226B7" w:rsidRPr="00EB5562" w:rsidRDefault="00B226B7" w:rsidP="00B226B7">
      <w:pPr>
        <w:pStyle w:val="BIGtitle"/>
      </w:pPr>
      <w:r w:rsidRPr="00EB5562">
        <w:t xml:space="preserve">Australian Taxation Office – </w:t>
      </w:r>
    </w:p>
    <w:p w14:paraId="47439F47" w14:textId="27CE0B28" w:rsidR="00B226B7" w:rsidRPr="00EB5562" w:rsidRDefault="004845EF" w:rsidP="00B226B7">
      <w:pPr>
        <w:pStyle w:val="BIGtitle"/>
        <w:rPr>
          <w:color w:val="auto"/>
        </w:rPr>
      </w:pPr>
      <w:r w:rsidRPr="00EB5562">
        <w:rPr>
          <w:color w:val="auto"/>
        </w:rPr>
        <w:t>Lodgment (LDG.0005) 2023</w:t>
      </w:r>
      <w:r w:rsidR="007859F4" w:rsidRPr="007859F4">
        <w:rPr>
          <w:color w:val="auto"/>
        </w:rPr>
        <w:t xml:space="preserve"> </w:t>
      </w:r>
      <w:r w:rsidR="007859F4" w:rsidRPr="00EB5562">
        <w:rPr>
          <w:color w:val="auto"/>
        </w:rPr>
        <w:t>List</w:t>
      </w:r>
      <w:r w:rsidR="00300090" w:rsidRPr="00EB5562">
        <w:rPr>
          <w:color w:val="auto"/>
        </w:rPr>
        <w:br/>
      </w:r>
      <w:r w:rsidR="00B226B7" w:rsidRPr="00EB5562">
        <w:rPr>
          <w:color w:val="auto"/>
        </w:rPr>
        <w:t xml:space="preserve">Business Implementation Guide </w:t>
      </w:r>
    </w:p>
    <w:p w14:paraId="084230E7" w14:textId="268EBA86" w:rsidR="00B226B7" w:rsidRPr="00EB5562" w:rsidRDefault="00B226B7" w:rsidP="00B226B7">
      <w:pPr>
        <w:pStyle w:val="BIGtitle"/>
        <w:rPr>
          <w:color w:val="auto"/>
        </w:rPr>
      </w:pPr>
      <w:r w:rsidRPr="00EB5562">
        <w:rPr>
          <w:color w:val="auto"/>
        </w:rPr>
        <w:t xml:space="preserve">Date: </w:t>
      </w:r>
      <w:r w:rsidR="007859F4">
        <w:rPr>
          <w:color w:val="auto"/>
        </w:rPr>
        <w:t>22</w:t>
      </w:r>
      <w:r w:rsidR="004845EF" w:rsidRPr="00EB5562">
        <w:rPr>
          <w:color w:val="auto"/>
        </w:rPr>
        <w:t xml:space="preserve"> </w:t>
      </w:r>
      <w:r w:rsidR="00B559C5">
        <w:rPr>
          <w:color w:val="auto"/>
        </w:rPr>
        <w:t xml:space="preserve">August </w:t>
      </w:r>
      <w:r w:rsidR="004845EF" w:rsidRPr="00EB5562">
        <w:rPr>
          <w:color w:val="auto"/>
        </w:rPr>
        <w:t>2024</w:t>
      </w:r>
    </w:p>
    <w:p w14:paraId="6AE34442" w14:textId="53069ECA" w:rsidR="00B226B7" w:rsidRPr="00EB5562" w:rsidRDefault="00B226B7" w:rsidP="00B226B7">
      <w:pPr>
        <w:pStyle w:val="BIGtitle"/>
        <w:rPr>
          <w:color w:val="auto"/>
        </w:rPr>
      </w:pPr>
      <w:r w:rsidRPr="00EB5562">
        <w:rPr>
          <w:color w:val="auto"/>
        </w:rPr>
        <w:t xml:space="preserve">Status: </w:t>
      </w:r>
      <w:r w:rsidR="005A6A09" w:rsidRPr="00EB5562">
        <w:rPr>
          <w:color w:val="auto"/>
        </w:rPr>
        <w:t>Final</w:t>
      </w:r>
    </w:p>
    <w:p w14:paraId="6F5A7C13" w14:textId="3A120545" w:rsidR="00B226B7" w:rsidRPr="00EB5562" w:rsidRDefault="00B226B7" w:rsidP="00B226B7">
      <w:r w:rsidRPr="00EB5562">
        <w:t xml:space="preserve">This document and its attachments are </w:t>
      </w:r>
      <w:r w:rsidR="00EA13D6" w:rsidRPr="00EB5562">
        <w:rPr>
          <w:b/>
          <w:bCs/>
        </w:rPr>
        <w:t>Official.</w:t>
      </w:r>
    </w:p>
    <w:p w14:paraId="1CECE9FA" w14:textId="511814F7" w:rsidR="00662370" w:rsidRPr="00EB5562" w:rsidRDefault="00B226B7" w:rsidP="00662370">
      <w:pPr>
        <w:rPr>
          <w:b/>
          <w:noProof/>
          <w:color w:val="000000" w:themeColor="text1"/>
        </w:rPr>
      </w:pPr>
      <w:r w:rsidRPr="00EB5562">
        <w:t xml:space="preserve">For further information, raise an enquiry via </w:t>
      </w:r>
      <w:hyperlink r:id="rId13" w:history="1">
        <w:r w:rsidRPr="00EB5562">
          <w:rPr>
            <w:rStyle w:val="Hyperlink"/>
          </w:rPr>
          <w:t>Online Services for DSPs</w:t>
        </w:r>
      </w:hyperlink>
      <w:r w:rsidRPr="00EB5562">
        <w:t xml:space="preserve">. If you are unable to access this, contact </w:t>
      </w:r>
      <w:hyperlink r:id="rId14" w:history="1">
        <w:r w:rsidRPr="00EB5562">
          <w:rPr>
            <w:rStyle w:val="Hyperlink"/>
          </w:rPr>
          <w:t>SBRServiceDesk@sbr.gov.au</w:t>
        </w:r>
      </w:hyperlink>
      <w:r w:rsidRPr="00EB5562">
        <w:t xml:space="preserve"> or call </w:t>
      </w:r>
      <w:r w:rsidRPr="00EB5562">
        <w:rPr>
          <w:b/>
          <w:bCs/>
        </w:rPr>
        <w:t>1300 488 231</w:t>
      </w:r>
      <w:r w:rsidRPr="00EB5562">
        <w:t xml:space="preserve">. International callers may use </w:t>
      </w:r>
      <w:r w:rsidRPr="00EB5562">
        <w:rPr>
          <w:b/>
          <w:bCs/>
        </w:rPr>
        <w:t>+61-2-6216 5577</w:t>
      </w:r>
      <w:r w:rsidRPr="00EB5562">
        <w:t>.</w:t>
      </w:r>
    </w:p>
    <w:p w14:paraId="23E922D8" w14:textId="41EA8D83" w:rsidR="00B226B7" w:rsidRPr="00EB5562" w:rsidRDefault="00B226B7">
      <w:pPr>
        <w:spacing w:before="0" w:after="160" w:line="259" w:lineRule="auto"/>
        <w:rPr>
          <w:b/>
          <w:noProof/>
          <w:color w:val="000000" w:themeColor="text1"/>
        </w:rPr>
      </w:pPr>
      <w:r w:rsidRPr="00EB5562">
        <w:rPr>
          <w:b/>
          <w:noProof/>
          <w:color w:val="000000" w:themeColor="text1"/>
        </w:rPr>
        <w:br w:type="page"/>
      </w:r>
    </w:p>
    <w:p w14:paraId="47D8EE9E" w14:textId="2839D986" w:rsidR="00662370" w:rsidRPr="00EB5562" w:rsidRDefault="00B226B7" w:rsidP="00300090">
      <w:pPr>
        <w:pStyle w:val="Openingadminheading"/>
        <w:rPr>
          <w:lang w:val="en-AU"/>
        </w:rPr>
      </w:pPr>
      <w:r w:rsidRPr="00EB5562">
        <w:rPr>
          <w:lang w:val="en-AU"/>
        </w:rPr>
        <w:lastRenderedPageBreak/>
        <w:t>Version control</w:t>
      </w:r>
    </w:p>
    <w:tbl>
      <w:tblPr>
        <w:tblStyle w:val="TableGrid"/>
        <w:tblW w:w="0" w:type="auto"/>
        <w:tblLook w:val="04A0" w:firstRow="1" w:lastRow="0" w:firstColumn="1" w:lastColumn="0" w:noHBand="0" w:noVBand="1"/>
      </w:tblPr>
      <w:tblGrid>
        <w:gridCol w:w="1217"/>
        <w:gridCol w:w="1658"/>
        <w:gridCol w:w="6141"/>
      </w:tblGrid>
      <w:tr w:rsidR="00B226B7" w:rsidRPr="00EB5562" w14:paraId="46F576F5" w14:textId="77777777" w:rsidTr="004B179F">
        <w:trPr>
          <w:trHeight w:val="444"/>
        </w:trPr>
        <w:tc>
          <w:tcPr>
            <w:tcW w:w="1217" w:type="dxa"/>
            <w:shd w:val="clear" w:color="auto" w:fill="DEEAF6" w:themeFill="accent5" w:themeFillTint="33"/>
            <w:vAlign w:val="center"/>
          </w:tcPr>
          <w:p w14:paraId="1F4267E3" w14:textId="77777777" w:rsidR="00B226B7" w:rsidRPr="00EB5562" w:rsidRDefault="00B226B7" w:rsidP="00B226B7">
            <w:pPr>
              <w:pStyle w:val="Tabletext"/>
              <w:rPr>
                <w:b/>
                <w:bCs/>
              </w:rPr>
            </w:pPr>
            <w:r w:rsidRPr="00EB5562">
              <w:rPr>
                <w:b/>
                <w:bCs/>
              </w:rPr>
              <w:t>Version</w:t>
            </w:r>
          </w:p>
        </w:tc>
        <w:tc>
          <w:tcPr>
            <w:tcW w:w="1658" w:type="dxa"/>
            <w:shd w:val="clear" w:color="auto" w:fill="DEEAF6" w:themeFill="accent5" w:themeFillTint="33"/>
            <w:vAlign w:val="center"/>
          </w:tcPr>
          <w:p w14:paraId="5198428F" w14:textId="77777777" w:rsidR="00B226B7" w:rsidRPr="00EB5562" w:rsidRDefault="00B226B7" w:rsidP="00B226B7">
            <w:pPr>
              <w:pStyle w:val="Tabletext"/>
              <w:rPr>
                <w:b/>
                <w:bCs/>
              </w:rPr>
            </w:pPr>
            <w:r w:rsidRPr="00EB5562">
              <w:rPr>
                <w:b/>
                <w:bCs/>
              </w:rPr>
              <w:t>Release date</w:t>
            </w:r>
          </w:p>
        </w:tc>
        <w:tc>
          <w:tcPr>
            <w:tcW w:w="6141" w:type="dxa"/>
            <w:shd w:val="clear" w:color="auto" w:fill="DEEAF6" w:themeFill="accent5" w:themeFillTint="33"/>
            <w:vAlign w:val="center"/>
          </w:tcPr>
          <w:p w14:paraId="593E52A5" w14:textId="77777777" w:rsidR="00B226B7" w:rsidRPr="00EB5562" w:rsidRDefault="00B226B7" w:rsidP="00B226B7">
            <w:pPr>
              <w:pStyle w:val="Tabletext"/>
              <w:rPr>
                <w:b/>
                <w:bCs/>
              </w:rPr>
            </w:pPr>
            <w:r w:rsidRPr="00EB5562">
              <w:rPr>
                <w:b/>
                <w:bCs/>
              </w:rPr>
              <w:t>Description of changes</w:t>
            </w:r>
          </w:p>
        </w:tc>
      </w:tr>
      <w:tr w:rsidR="007E4A9F" w:rsidRPr="00EB5562" w14:paraId="701677B9" w14:textId="77777777" w:rsidTr="00684285">
        <w:trPr>
          <w:trHeight w:val="444"/>
        </w:trPr>
        <w:tc>
          <w:tcPr>
            <w:tcW w:w="1217" w:type="dxa"/>
            <w:shd w:val="clear" w:color="auto" w:fill="auto"/>
            <w:vAlign w:val="center"/>
          </w:tcPr>
          <w:p w14:paraId="1CCB5550" w14:textId="5E5F0383" w:rsidR="007E4A9F" w:rsidRPr="00684285" w:rsidRDefault="007E4A9F" w:rsidP="00B226B7">
            <w:pPr>
              <w:pStyle w:val="Tabletext"/>
            </w:pPr>
            <w:r>
              <w:t>1.2</w:t>
            </w:r>
          </w:p>
        </w:tc>
        <w:tc>
          <w:tcPr>
            <w:tcW w:w="1658" w:type="dxa"/>
            <w:shd w:val="clear" w:color="auto" w:fill="auto"/>
            <w:vAlign w:val="center"/>
          </w:tcPr>
          <w:p w14:paraId="3F948F24" w14:textId="1B867C85" w:rsidR="007E4A9F" w:rsidRDefault="007E4A9F" w:rsidP="00B226B7">
            <w:pPr>
              <w:pStyle w:val="Tabletext"/>
            </w:pPr>
            <w:r>
              <w:t>22/08/2024</w:t>
            </w:r>
          </w:p>
        </w:tc>
        <w:tc>
          <w:tcPr>
            <w:tcW w:w="6141" w:type="dxa"/>
            <w:shd w:val="clear" w:color="auto" w:fill="auto"/>
            <w:vAlign w:val="center"/>
          </w:tcPr>
          <w:p w14:paraId="414430F1" w14:textId="7416449B" w:rsidR="007E4A9F" w:rsidRDefault="007E4A9F" w:rsidP="00B226B7">
            <w:pPr>
              <w:pStyle w:val="Tabletext"/>
            </w:pPr>
            <w:r>
              <w:t>Updated title of document to ‘ATO LDG 0005.2023 L</w:t>
            </w:r>
            <w:r w:rsidR="00A35725">
              <w:t>I</w:t>
            </w:r>
            <w:r>
              <w:t>ST Business Implementation Guide’.</w:t>
            </w:r>
          </w:p>
        </w:tc>
      </w:tr>
      <w:tr w:rsidR="00AA1520" w:rsidRPr="00EB5562" w14:paraId="50BC2BB7" w14:textId="77777777" w:rsidTr="00684285">
        <w:trPr>
          <w:trHeight w:val="444"/>
        </w:trPr>
        <w:tc>
          <w:tcPr>
            <w:tcW w:w="1217" w:type="dxa"/>
            <w:shd w:val="clear" w:color="auto" w:fill="auto"/>
            <w:vAlign w:val="center"/>
          </w:tcPr>
          <w:p w14:paraId="68C20C96" w14:textId="2DD8D518" w:rsidR="00AA1520" w:rsidRPr="00684285" w:rsidRDefault="00AA1520" w:rsidP="00B226B7">
            <w:pPr>
              <w:pStyle w:val="Tabletext"/>
            </w:pPr>
            <w:r w:rsidRPr="00684285">
              <w:t>1.1</w:t>
            </w:r>
          </w:p>
        </w:tc>
        <w:tc>
          <w:tcPr>
            <w:tcW w:w="1658" w:type="dxa"/>
            <w:shd w:val="clear" w:color="auto" w:fill="auto"/>
            <w:vAlign w:val="center"/>
          </w:tcPr>
          <w:p w14:paraId="7769CF33" w14:textId="1A65FE38" w:rsidR="00AA1520" w:rsidRPr="00684285" w:rsidRDefault="00AA1520" w:rsidP="00B226B7">
            <w:pPr>
              <w:pStyle w:val="Tabletext"/>
            </w:pPr>
            <w:r>
              <w:t>01/08/2024</w:t>
            </w:r>
          </w:p>
        </w:tc>
        <w:tc>
          <w:tcPr>
            <w:tcW w:w="6141" w:type="dxa"/>
            <w:shd w:val="clear" w:color="auto" w:fill="auto"/>
            <w:vAlign w:val="center"/>
          </w:tcPr>
          <w:p w14:paraId="313EC945" w14:textId="7999E048" w:rsidR="00AA1520" w:rsidRPr="00684285" w:rsidRDefault="00AA1520" w:rsidP="00B226B7">
            <w:pPr>
              <w:pStyle w:val="Tabletext"/>
            </w:pPr>
            <w:r>
              <w:t>Updated title of document to ‘ATO LDG LST 0005.2023 Business Implementation Guide’</w:t>
            </w:r>
            <w:r w:rsidR="00A57322">
              <w:t>.</w:t>
            </w:r>
          </w:p>
        </w:tc>
      </w:tr>
      <w:tr w:rsidR="005A6A09" w:rsidRPr="00EB5562" w14:paraId="772E4EC0" w14:textId="77777777" w:rsidTr="005A6A09">
        <w:trPr>
          <w:trHeight w:val="444"/>
        </w:trPr>
        <w:tc>
          <w:tcPr>
            <w:tcW w:w="1217" w:type="dxa"/>
            <w:shd w:val="clear" w:color="auto" w:fill="auto"/>
            <w:vAlign w:val="center"/>
          </w:tcPr>
          <w:p w14:paraId="2CDC516B" w14:textId="4E793432" w:rsidR="005A6A09" w:rsidRPr="00EB5562" w:rsidRDefault="005A6A09" w:rsidP="00B226B7">
            <w:pPr>
              <w:pStyle w:val="Tabletext"/>
            </w:pPr>
            <w:r w:rsidRPr="00EB5562">
              <w:t>1.0</w:t>
            </w:r>
          </w:p>
        </w:tc>
        <w:tc>
          <w:tcPr>
            <w:tcW w:w="1658" w:type="dxa"/>
            <w:shd w:val="clear" w:color="auto" w:fill="auto"/>
            <w:vAlign w:val="center"/>
          </w:tcPr>
          <w:p w14:paraId="1B2C4A3E" w14:textId="69B95184" w:rsidR="005A6A09" w:rsidRPr="00EB5562" w:rsidRDefault="004845EF" w:rsidP="00B226B7">
            <w:pPr>
              <w:pStyle w:val="Tabletext"/>
            </w:pPr>
            <w:r w:rsidRPr="00EB5562">
              <w:t>18</w:t>
            </w:r>
            <w:r w:rsidR="005A6A09" w:rsidRPr="00EB5562">
              <w:t>/</w:t>
            </w:r>
            <w:r w:rsidRPr="00EB5562">
              <w:t>07</w:t>
            </w:r>
            <w:r w:rsidR="005A6A09" w:rsidRPr="00EB5562">
              <w:t>/202</w:t>
            </w:r>
            <w:r w:rsidRPr="00EB5562">
              <w:t>4</w:t>
            </w:r>
          </w:p>
        </w:tc>
        <w:tc>
          <w:tcPr>
            <w:tcW w:w="6141" w:type="dxa"/>
            <w:shd w:val="clear" w:color="auto" w:fill="auto"/>
            <w:vAlign w:val="center"/>
          </w:tcPr>
          <w:p w14:paraId="0D28F43C" w14:textId="59A5A2B7" w:rsidR="005A6A09" w:rsidRPr="00EB5562" w:rsidRDefault="005A6A09" w:rsidP="00B226B7">
            <w:pPr>
              <w:pStyle w:val="Tabletext"/>
            </w:pPr>
            <w:r w:rsidRPr="00EB5562">
              <w:t xml:space="preserve">Final version endorsed for publishing. </w:t>
            </w:r>
          </w:p>
        </w:tc>
      </w:tr>
    </w:tbl>
    <w:p w14:paraId="49909F59" w14:textId="77777777" w:rsidR="005A6A09" w:rsidRPr="00EB5562" w:rsidRDefault="005A6A09" w:rsidP="005A6A09"/>
    <w:p w14:paraId="27C249AC" w14:textId="1DCFD7A5" w:rsidR="00B226B7" w:rsidRPr="00EB5562" w:rsidRDefault="00B226B7" w:rsidP="00300090">
      <w:pPr>
        <w:pStyle w:val="Openingadminheading"/>
        <w:rPr>
          <w:lang w:val="en-AU"/>
        </w:rPr>
      </w:pPr>
      <w:r w:rsidRPr="00EB5562">
        <w:rPr>
          <w:lang w:val="en-AU"/>
        </w:rPr>
        <w:t>Endorsement</w:t>
      </w:r>
    </w:p>
    <w:p w14:paraId="06F6BFEE" w14:textId="45CDA522" w:rsidR="00B226B7" w:rsidRPr="00EB5562" w:rsidRDefault="003D18E9" w:rsidP="00B226B7">
      <w:pPr>
        <w:pStyle w:val="Tabletext"/>
      </w:pPr>
      <w:r>
        <w:t>Katrena Cawthorne</w:t>
      </w:r>
      <w:r w:rsidR="00B226B7" w:rsidRPr="00EB5562">
        <w:t xml:space="preserve">, Director, </w:t>
      </w:r>
      <w:proofErr w:type="gramStart"/>
      <w:r w:rsidR="00B226B7" w:rsidRPr="00EB5562">
        <w:t>Individuals</w:t>
      </w:r>
      <w:proofErr w:type="gramEnd"/>
      <w:r w:rsidR="00B226B7" w:rsidRPr="00EB5562">
        <w:t xml:space="preserve"> and Intermediaries – Endorsed for </w:t>
      </w:r>
      <w:r w:rsidR="00AC6BAD" w:rsidRPr="00EB5562">
        <w:t xml:space="preserve">business context and </w:t>
      </w:r>
      <w:r w:rsidR="00B226B7" w:rsidRPr="00EB5562">
        <w:t>publication</w:t>
      </w:r>
      <w:r w:rsidR="00371F50" w:rsidRPr="00EB5562">
        <w:t>.</w:t>
      </w:r>
    </w:p>
    <w:p w14:paraId="00B15F86" w14:textId="77777777" w:rsidR="005A6A09" w:rsidRPr="00EB5562" w:rsidRDefault="005A6A09" w:rsidP="00B226B7">
      <w:pPr>
        <w:pStyle w:val="Tabletext"/>
      </w:pPr>
    </w:p>
    <w:p w14:paraId="331B6B8D" w14:textId="342BD140" w:rsidR="00B226B7" w:rsidRPr="00EB5562" w:rsidRDefault="00B226B7" w:rsidP="00F7608A">
      <w:pPr>
        <w:pStyle w:val="Openingadminheading"/>
        <w:rPr>
          <w:lang w:val="en-AU"/>
        </w:rPr>
      </w:pPr>
      <w:r w:rsidRPr="00EB5562">
        <w:rPr>
          <w:lang w:val="en-AU"/>
        </w:rPr>
        <w:t>Copyright</w:t>
      </w:r>
    </w:p>
    <w:p w14:paraId="35660707" w14:textId="2A1C7BD5" w:rsidR="00B226B7" w:rsidRPr="00EB5562" w:rsidRDefault="00B226B7" w:rsidP="00F7608A">
      <w:r w:rsidRPr="00EB5562">
        <w:t>© Commonwealth of Australia 202</w:t>
      </w:r>
      <w:r w:rsidR="004845EF" w:rsidRPr="00EB5562">
        <w:t>4</w:t>
      </w:r>
    </w:p>
    <w:p w14:paraId="7844F1C3" w14:textId="7C921E7D" w:rsidR="00B226B7" w:rsidRPr="00EB5562" w:rsidRDefault="00B226B7" w:rsidP="00F7608A">
      <w:r w:rsidRPr="00EB5562">
        <w:t xml:space="preserve">This work is copyright. Use of this Information and Material is subject to the terms and conditions in the ‘SBR Disclaimer and Conditions of Use’ that is available at </w:t>
      </w:r>
      <w:hyperlink r:id="rId15" w:history="1">
        <w:r w:rsidRPr="00EB5562">
          <w:rPr>
            <w:rStyle w:val="Hyperlink"/>
          </w:rPr>
          <w:t>http://www.sbr.gov.au</w:t>
        </w:r>
      </w:hyperlink>
      <w:r w:rsidRPr="00EB5562">
        <w:t xml:space="preserve">. You must ensure that you comply with those terms and conditions. </w:t>
      </w:r>
      <w:proofErr w:type="gramStart"/>
      <w:r w:rsidRPr="00EB5562">
        <w:t>In particular, those</w:t>
      </w:r>
      <w:proofErr w:type="gramEnd"/>
      <w:r w:rsidRPr="00EB5562">
        <w:t xml:space="preserve"> terms and conditions include disclaimers and limitations on the liability of the Commonwealth and an indemnity from you to the Commonwealth and its personnel, Standard Business Reporting Agencies and their personnel. </w:t>
      </w:r>
    </w:p>
    <w:p w14:paraId="6B8DF11F" w14:textId="60458D30" w:rsidR="00B226B7" w:rsidRPr="00EB5562" w:rsidRDefault="00B226B7" w:rsidP="00B226B7">
      <w:pPr>
        <w:pStyle w:val="Tabletext"/>
      </w:pPr>
      <w:r w:rsidRPr="00EB5562">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p>
    <w:p w14:paraId="1B8A2F39" w14:textId="1CC40B59" w:rsidR="00B226B7" w:rsidRPr="00EB5562" w:rsidRDefault="00B226B7">
      <w:pPr>
        <w:spacing w:before="0" w:after="160" w:line="259" w:lineRule="auto"/>
      </w:pPr>
      <w:r w:rsidRPr="00EB5562">
        <w:br w:type="page"/>
      </w:r>
    </w:p>
    <w:p w14:paraId="27F41330" w14:textId="13A24813" w:rsidR="00B226B7" w:rsidRPr="00EB5562" w:rsidRDefault="00B226B7" w:rsidP="00390074">
      <w:pPr>
        <w:pStyle w:val="Openingadminheading"/>
        <w:rPr>
          <w:lang w:val="en-AU"/>
        </w:rPr>
      </w:pPr>
      <w:r w:rsidRPr="00EB5562">
        <w:rPr>
          <w:lang w:val="en-AU"/>
        </w:rPr>
        <w:lastRenderedPageBreak/>
        <w:t>Table of contents</w:t>
      </w:r>
    </w:p>
    <w:p w14:paraId="4DBF2283" w14:textId="682E419F" w:rsidR="00B27870" w:rsidRPr="00EB5562" w:rsidRDefault="00390074" w:rsidP="00421CF4">
      <w:pPr>
        <w:pStyle w:val="TOC1"/>
        <w:spacing w:before="0" w:after="0" w:line="288" w:lineRule="auto"/>
        <w:rPr>
          <w:rFonts w:asciiTheme="minorHAnsi" w:eastAsiaTheme="minorEastAsia" w:hAnsiTheme="minorHAnsi" w:cstheme="minorBidi"/>
          <w:noProof/>
          <w:lang w:eastAsia="en-AU"/>
        </w:rPr>
      </w:pPr>
      <w:r w:rsidRPr="00EB5562">
        <w:fldChar w:fldCharType="begin"/>
      </w:r>
      <w:r w:rsidRPr="00EB5562">
        <w:instrText xml:space="preserve"> TOC \o "1-3" \h \z \u </w:instrText>
      </w:r>
      <w:r w:rsidRPr="00EB5562">
        <w:fldChar w:fldCharType="separate"/>
      </w:r>
      <w:hyperlink w:anchor="_Toc170983932" w:history="1">
        <w:r w:rsidR="00B27870" w:rsidRPr="00EB5562">
          <w:rPr>
            <w:rStyle w:val="Hyperlink"/>
          </w:rPr>
          <w:t>1. Introduction</w:t>
        </w:r>
        <w:r w:rsidR="00B27870" w:rsidRPr="00EB5562">
          <w:rPr>
            <w:noProof/>
            <w:webHidden/>
          </w:rPr>
          <w:tab/>
        </w:r>
        <w:r w:rsidR="00B27870" w:rsidRPr="00EB5562">
          <w:rPr>
            <w:noProof/>
            <w:webHidden/>
          </w:rPr>
          <w:fldChar w:fldCharType="begin"/>
        </w:r>
        <w:r w:rsidR="00B27870" w:rsidRPr="00EB5562">
          <w:rPr>
            <w:noProof/>
            <w:webHidden/>
          </w:rPr>
          <w:instrText xml:space="preserve"> PAGEREF _Toc170983932 \h </w:instrText>
        </w:r>
        <w:r w:rsidR="00B27870" w:rsidRPr="00EB5562">
          <w:rPr>
            <w:noProof/>
            <w:webHidden/>
          </w:rPr>
        </w:r>
        <w:r w:rsidR="00B27870" w:rsidRPr="00EB5562">
          <w:rPr>
            <w:noProof/>
            <w:webHidden/>
          </w:rPr>
          <w:fldChar w:fldCharType="separate"/>
        </w:r>
        <w:r w:rsidR="00B27870" w:rsidRPr="00EB5562">
          <w:rPr>
            <w:noProof/>
            <w:webHidden/>
          </w:rPr>
          <w:t>4</w:t>
        </w:r>
        <w:r w:rsidR="00B27870" w:rsidRPr="00EB5562">
          <w:rPr>
            <w:noProof/>
            <w:webHidden/>
          </w:rPr>
          <w:fldChar w:fldCharType="end"/>
        </w:r>
      </w:hyperlink>
    </w:p>
    <w:p w14:paraId="389BCE16" w14:textId="0D72D406" w:rsidR="00B27870" w:rsidRPr="00EB5562" w:rsidRDefault="003A5523" w:rsidP="00421CF4">
      <w:pPr>
        <w:pStyle w:val="TOC2"/>
        <w:spacing w:before="0" w:after="0" w:line="288" w:lineRule="auto"/>
        <w:rPr>
          <w:rFonts w:asciiTheme="minorHAnsi" w:eastAsiaTheme="minorEastAsia" w:hAnsiTheme="minorHAnsi" w:cstheme="minorBidi"/>
          <w:noProof/>
          <w:lang w:eastAsia="en-AU"/>
        </w:rPr>
      </w:pPr>
      <w:hyperlink w:anchor="_Toc170983933" w:history="1">
        <w:r w:rsidR="00B27870" w:rsidRPr="00EB5562">
          <w:rPr>
            <w:rStyle w:val="Hyperlink"/>
          </w:rPr>
          <w:t>1.1 Purpose and document context</w:t>
        </w:r>
        <w:r w:rsidR="00B27870" w:rsidRPr="00EB5562">
          <w:rPr>
            <w:noProof/>
            <w:webHidden/>
          </w:rPr>
          <w:tab/>
        </w:r>
        <w:r w:rsidR="00B27870" w:rsidRPr="00EB5562">
          <w:rPr>
            <w:noProof/>
            <w:webHidden/>
          </w:rPr>
          <w:fldChar w:fldCharType="begin"/>
        </w:r>
        <w:r w:rsidR="00B27870" w:rsidRPr="00EB5562">
          <w:rPr>
            <w:noProof/>
            <w:webHidden/>
          </w:rPr>
          <w:instrText xml:space="preserve"> PAGEREF _Toc170983933 \h </w:instrText>
        </w:r>
        <w:r w:rsidR="00B27870" w:rsidRPr="00EB5562">
          <w:rPr>
            <w:noProof/>
            <w:webHidden/>
          </w:rPr>
        </w:r>
        <w:r w:rsidR="00B27870" w:rsidRPr="00EB5562">
          <w:rPr>
            <w:noProof/>
            <w:webHidden/>
          </w:rPr>
          <w:fldChar w:fldCharType="separate"/>
        </w:r>
        <w:r w:rsidR="00B27870" w:rsidRPr="00EB5562">
          <w:rPr>
            <w:noProof/>
            <w:webHidden/>
          </w:rPr>
          <w:t>4</w:t>
        </w:r>
        <w:r w:rsidR="00B27870" w:rsidRPr="00EB5562">
          <w:rPr>
            <w:noProof/>
            <w:webHidden/>
          </w:rPr>
          <w:fldChar w:fldCharType="end"/>
        </w:r>
      </w:hyperlink>
    </w:p>
    <w:p w14:paraId="4C3DFB4E" w14:textId="1565F3D7" w:rsidR="00B27870" w:rsidRPr="00EB5562" w:rsidRDefault="003A5523" w:rsidP="00421CF4">
      <w:pPr>
        <w:pStyle w:val="TOC2"/>
        <w:spacing w:before="0" w:after="0" w:line="288" w:lineRule="auto"/>
        <w:rPr>
          <w:rFonts w:asciiTheme="minorHAnsi" w:eastAsiaTheme="minorEastAsia" w:hAnsiTheme="minorHAnsi" w:cstheme="minorBidi"/>
          <w:noProof/>
          <w:lang w:eastAsia="en-AU"/>
        </w:rPr>
      </w:pPr>
      <w:hyperlink w:anchor="_Toc170983934" w:history="1">
        <w:r w:rsidR="00B27870" w:rsidRPr="00EB5562">
          <w:rPr>
            <w:rStyle w:val="Hyperlink"/>
          </w:rPr>
          <w:t>1.2 Glossary</w:t>
        </w:r>
        <w:r w:rsidR="00B27870" w:rsidRPr="00EB5562">
          <w:rPr>
            <w:noProof/>
            <w:webHidden/>
          </w:rPr>
          <w:tab/>
        </w:r>
        <w:r w:rsidR="00B27870" w:rsidRPr="00EB5562">
          <w:rPr>
            <w:noProof/>
            <w:webHidden/>
          </w:rPr>
          <w:fldChar w:fldCharType="begin"/>
        </w:r>
        <w:r w:rsidR="00B27870" w:rsidRPr="00EB5562">
          <w:rPr>
            <w:noProof/>
            <w:webHidden/>
          </w:rPr>
          <w:instrText xml:space="preserve"> PAGEREF _Toc170983934 \h </w:instrText>
        </w:r>
        <w:r w:rsidR="00B27870" w:rsidRPr="00EB5562">
          <w:rPr>
            <w:noProof/>
            <w:webHidden/>
          </w:rPr>
        </w:r>
        <w:r w:rsidR="00B27870" w:rsidRPr="00EB5562">
          <w:rPr>
            <w:noProof/>
            <w:webHidden/>
          </w:rPr>
          <w:fldChar w:fldCharType="separate"/>
        </w:r>
        <w:r w:rsidR="00B27870" w:rsidRPr="00EB5562">
          <w:rPr>
            <w:noProof/>
            <w:webHidden/>
          </w:rPr>
          <w:t>4</w:t>
        </w:r>
        <w:r w:rsidR="00B27870" w:rsidRPr="00EB5562">
          <w:rPr>
            <w:noProof/>
            <w:webHidden/>
          </w:rPr>
          <w:fldChar w:fldCharType="end"/>
        </w:r>
      </w:hyperlink>
    </w:p>
    <w:p w14:paraId="00DECCF6" w14:textId="2DEC860D" w:rsidR="00B27870" w:rsidRPr="00EB5562" w:rsidRDefault="003A5523" w:rsidP="00421CF4">
      <w:pPr>
        <w:pStyle w:val="TOC1"/>
        <w:spacing w:before="0" w:after="0" w:line="288" w:lineRule="auto"/>
        <w:rPr>
          <w:rFonts w:asciiTheme="minorHAnsi" w:eastAsiaTheme="minorEastAsia" w:hAnsiTheme="minorHAnsi" w:cstheme="minorBidi"/>
          <w:noProof/>
          <w:lang w:eastAsia="en-AU"/>
        </w:rPr>
      </w:pPr>
      <w:hyperlink w:anchor="_Toc170983935" w:history="1">
        <w:r w:rsidR="00B27870" w:rsidRPr="00EB5562">
          <w:rPr>
            <w:rStyle w:val="Hyperlink"/>
          </w:rPr>
          <w:t>2. Lodgment (LDG) services</w:t>
        </w:r>
        <w:r w:rsidR="00B27870" w:rsidRPr="00EB5562">
          <w:rPr>
            <w:noProof/>
            <w:webHidden/>
          </w:rPr>
          <w:tab/>
        </w:r>
        <w:r w:rsidR="00B27870" w:rsidRPr="00EB5562">
          <w:rPr>
            <w:noProof/>
            <w:webHidden/>
          </w:rPr>
          <w:fldChar w:fldCharType="begin"/>
        </w:r>
        <w:r w:rsidR="00B27870" w:rsidRPr="00EB5562">
          <w:rPr>
            <w:noProof/>
            <w:webHidden/>
          </w:rPr>
          <w:instrText xml:space="preserve"> PAGEREF _Toc170983935 \h </w:instrText>
        </w:r>
        <w:r w:rsidR="00B27870" w:rsidRPr="00EB5562">
          <w:rPr>
            <w:noProof/>
            <w:webHidden/>
          </w:rPr>
        </w:r>
        <w:r w:rsidR="00B27870" w:rsidRPr="00EB5562">
          <w:rPr>
            <w:noProof/>
            <w:webHidden/>
          </w:rPr>
          <w:fldChar w:fldCharType="separate"/>
        </w:r>
        <w:r w:rsidR="00B27870" w:rsidRPr="00EB5562">
          <w:rPr>
            <w:noProof/>
            <w:webHidden/>
          </w:rPr>
          <w:t>5</w:t>
        </w:r>
        <w:r w:rsidR="00B27870" w:rsidRPr="00EB5562">
          <w:rPr>
            <w:noProof/>
            <w:webHidden/>
          </w:rPr>
          <w:fldChar w:fldCharType="end"/>
        </w:r>
      </w:hyperlink>
    </w:p>
    <w:p w14:paraId="7E69A2E0" w14:textId="189C4CA6" w:rsidR="00B27870" w:rsidRPr="00EB5562" w:rsidRDefault="003A5523" w:rsidP="00421CF4">
      <w:pPr>
        <w:pStyle w:val="TOC2"/>
        <w:spacing w:before="0" w:after="0" w:line="288" w:lineRule="auto"/>
        <w:rPr>
          <w:rFonts w:asciiTheme="minorHAnsi" w:eastAsiaTheme="minorEastAsia" w:hAnsiTheme="minorHAnsi" w:cstheme="minorBidi"/>
          <w:noProof/>
          <w:lang w:eastAsia="en-AU"/>
        </w:rPr>
      </w:pPr>
      <w:hyperlink w:anchor="_Toc170983936" w:history="1">
        <w:r w:rsidR="00B27870" w:rsidRPr="00EB5562">
          <w:rPr>
            <w:rStyle w:val="Hyperlink"/>
          </w:rPr>
          <w:t>2.1 Interactions</w:t>
        </w:r>
        <w:r w:rsidR="00B27870" w:rsidRPr="00EB5562">
          <w:rPr>
            <w:noProof/>
            <w:webHidden/>
          </w:rPr>
          <w:tab/>
        </w:r>
        <w:r w:rsidR="00B27870" w:rsidRPr="00EB5562">
          <w:rPr>
            <w:noProof/>
            <w:webHidden/>
          </w:rPr>
          <w:fldChar w:fldCharType="begin"/>
        </w:r>
        <w:r w:rsidR="00B27870" w:rsidRPr="00EB5562">
          <w:rPr>
            <w:noProof/>
            <w:webHidden/>
          </w:rPr>
          <w:instrText xml:space="preserve"> PAGEREF _Toc170983936 \h </w:instrText>
        </w:r>
        <w:r w:rsidR="00B27870" w:rsidRPr="00EB5562">
          <w:rPr>
            <w:noProof/>
            <w:webHidden/>
          </w:rPr>
        </w:r>
        <w:r w:rsidR="00B27870" w:rsidRPr="00EB5562">
          <w:rPr>
            <w:noProof/>
            <w:webHidden/>
          </w:rPr>
          <w:fldChar w:fldCharType="separate"/>
        </w:r>
        <w:r w:rsidR="00B27870" w:rsidRPr="00EB5562">
          <w:rPr>
            <w:noProof/>
            <w:webHidden/>
          </w:rPr>
          <w:t>6</w:t>
        </w:r>
        <w:r w:rsidR="00B27870" w:rsidRPr="00EB5562">
          <w:rPr>
            <w:noProof/>
            <w:webHidden/>
          </w:rPr>
          <w:fldChar w:fldCharType="end"/>
        </w:r>
      </w:hyperlink>
    </w:p>
    <w:p w14:paraId="359A5D58" w14:textId="784F94D3" w:rsidR="00B27870" w:rsidRPr="00EB5562" w:rsidRDefault="003A5523" w:rsidP="00421CF4">
      <w:pPr>
        <w:pStyle w:val="TOC2"/>
        <w:spacing w:before="0" w:after="0" w:line="288" w:lineRule="auto"/>
        <w:rPr>
          <w:rFonts w:asciiTheme="minorHAnsi" w:eastAsiaTheme="minorEastAsia" w:hAnsiTheme="minorHAnsi" w:cstheme="minorBidi"/>
          <w:noProof/>
          <w:lang w:eastAsia="en-AU"/>
        </w:rPr>
      </w:pPr>
      <w:hyperlink w:anchor="_Toc170983937" w:history="1">
        <w:r w:rsidR="00B27870" w:rsidRPr="00EB5562">
          <w:rPr>
            <w:rStyle w:val="Hyperlink"/>
          </w:rPr>
          <w:t>2.2 Service orchestration</w:t>
        </w:r>
        <w:r w:rsidR="00B27870" w:rsidRPr="00EB5562">
          <w:rPr>
            <w:noProof/>
            <w:webHidden/>
          </w:rPr>
          <w:tab/>
        </w:r>
        <w:r w:rsidR="00B27870" w:rsidRPr="00EB5562">
          <w:rPr>
            <w:noProof/>
            <w:webHidden/>
          </w:rPr>
          <w:fldChar w:fldCharType="begin"/>
        </w:r>
        <w:r w:rsidR="00B27870" w:rsidRPr="00EB5562">
          <w:rPr>
            <w:noProof/>
            <w:webHidden/>
          </w:rPr>
          <w:instrText xml:space="preserve"> PAGEREF _Toc170983937 \h </w:instrText>
        </w:r>
        <w:r w:rsidR="00B27870" w:rsidRPr="00EB5562">
          <w:rPr>
            <w:noProof/>
            <w:webHidden/>
          </w:rPr>
        </w:r>
        <w:r w:rsidR="00B27870" w:rsidRPr="00EB5562">
          <w:rPr>
            <w:noProof/>
            <w:webHidden/>
          </w:rPr>
          <w:fldChar w:fldCharType="separate"/>
        </w:r>
        <w:r w:rsidR="00B27870" w:rsidRPr="00EB5562">
          <w:rPr>
            <w:noProof/>
            <w:webHidden/>
          </w:rPr>
          <w:t>6</w:t>
        </w:r>
        <w:r w:rsidR="00B27870" w:rsidRPr="00EB5562">
          <w:rPr>
            <w:noProof/>
            <w:webHidden/>
          </w:rPr>
          <w:fldChar w:fldCharType="end"/>
        </w:r>
      </w:hyperlink>
    </w:p>
    <w:p w14:paraId="7DFBC29F" w14:textId="1239E842" w:rsidR="00B27870" w:rsidRPr="00EB5562" w:rsidRDefault="003A5523" w:rsidP="00421CF4">
      <w:pPr>
        <w:pStyle w:val="TOC2"/>
        <w:spacing w:before="0" w:after="0" w:line="288" w:lineRule="auto"/>
        <w:rPr>
          <w:rFonts w:asciiTheme="minorHAnsi" w:eastAsiaTheme="minorEastAsia" w:hAnsiTheme="minorHAnsi" w:cstheme="minorBidi"/>
          <w:noProof/>
          <w:lang w:eastAsia="en-AU"/>
        </w:rPr>
      </w:pPr>
      <w:hyperlink w:anchor="_Toc170983938" w:history="1">
        <w:r w:rsidR="00B27870" w:rsidRPr="00EB5562">
          <w:rPr>
            <w:rStyle w:val="Hyperlink"/>
          </w:rPr>
          <w:t>2.3 Identifying the status of activity statements in LDG.list and ASLRPT</w:t>
        </w:r>
        <w:r w:rsidR="00B27870" w:rsidRPr="00EB5562">
          <w:rPr>
            <w:noProof/>
            <w:webHidden/>
          </w:rPr>
          <w:tab/>
        </w:r>
        <w:r w:rsidR="00B27870" w:rsidRPr="00EB5562">
          <w:rPr>
            <w:noProof/>
            <w:webHidden/>
          </w:rPr>
          <w:fldChar w:fldCharType="begin"/>
        </w:r>
        <w:r w:rsidR="00B27870" w:rsidRPr="00EB5562">
          <w:rPr>
            <w:noProof/>
            <w:webHidden/>
          </w:rPr>
          <w:instrText xml:space="preserve"> PAGEREF _Toc170983938 \h </w:instrText>
        </w:r>
        <w:r w:rsidR="00B27870" w:rsidRPr="00EB5562">
          <w:rPr>
            <w:noProof/>
            <w:webHidden/>
          </w:rPr>
        </w:r>
        <w:r w:rsidR="00B27870" w:rsidRPr="00EB5562">
          <w:rPr>
            <w:noProof/>
            <w:webHidden/>
          </w:rPr>
          <w:fldChar w:fldCharType="separate"/>
        </w:r>
        <w:r w:rsidR="00B27870" w:rsidRPr="00EB5562">
          <w:rPr>
            <w:noProof/>
            <w:webHidden/>
          </w:rPr>
          <w:t>8</w:t>
        </w:r>
        <w:r w:rsidR="00B27870" w:rsidRPr="00EB5562">
          <w:rPr>
            <w:noProof/>
            <w:webHidden/>
          </w:rPr>
          <w:fldChar w:fldCharType="end"/>
        </w:r>
      </w:hyperlink>
    </w:p>
    <w:p w14:paraId="3E663CCE" w14:textId="38DC76BC" w:rsidR="00B27870" w:rsidRPr="00EB5562" w:rsidRDefault="003A5523" w:rsidP="00421CF4">
      <w:pPr>
        <w:pStyle w:val="TOC2"/>
        <w:spacing w:before="0" w:after="0" w:line="288" w:lineRule="auto"/>
        <w:rPr>
          <w:rFonts w:asciiTheme="minorHAnsi" w:eastAsiaTheme="minorEastAsia" w:hAnsiTheme="minorHAnsi" w:cstheme="minorBidi"/>
          <w:noProof/>
          <w:lang w:eastAsia="en-AU"/>
        </w:rPr>
      </w:pPr>
      <w:hyperlink w:anchor="_Toc170983939" w:history="1">
        <w:r w:rsidR="00B27870" w:rsidRPr="00EB5562">
          <w:rPr>
            <w:rStyle w:val="Hyperlink"/>
          </w:rPr>
          <w:t>2.4 ATO Finalised or ATO processed Activity Statements</w:t>
        </w:r>
        <w:r w:rsidR="00B27870" w:rsidRPr="00EB5562">
          <w:rPr>
            <w:noProof/>
            <w:webHidden/>
          </w:rPr>
          <w:tab/>
        </w:r>
        <w:r w:rsidR="00B27870" w:rsidRPr="00EB5562">
          <w:rPr>
            <w:noProof/>
            <w:webHidden/>
          </w:rPr>
          <w:fldChar w:fldCharType="begin"/>
        </w:r>
        <w:r w:rsidR="00B27870" w:rsidRPr="00EB5562">
          <w:rPr>
            <w:noProof/>
            <w:webHidden/>
          </w:rPr>
          <w:instrText xml:space="preserve"> PAGEREF _Toc170983939 \h </w:instrText>
        </w:r>
        <w:r w:rsidR="00B27870" w:rsidRPr="00EB5562">
          <w:rPr>
            <w:noProof/>
            <w:webHidden/>
          </w:rPr>
        </w:r>
        <w:r w:rsidR="00B27870" w:rsidRPr="00EB5562">
          <w:rPr>
            <w:noProof/>
            <w:webHidden/>
          </w:rPr>
          <w:fldChar w:fldCharType="separate"/>
        </w:r>
        <w:r w:rsidR="00B27870" w:rsidRPr="00EB5562">
          <w:rPr>
            <w:noProof/>
            <w:webHidden/>
          </w:rPr>
          <w:t>9</w:t>
        </w:r>
        <w:r w:rsidR="00B27870" w:rsidRPr="00EB5562">
          <w:rPr>
            <w:noProof/>
            <w:webHidden/>
          </w:rPr>
          <w:fldChar w:fldCharType="end"/>
        </w:r>
      </w:hyperlink>
    </w:p>
    <w:p w14:paraId="73378C2A" w14:textId="4891F340" w:rsidR="00B27870" w:rsidRPr="00EB5562" w:rsidRDefault="003A5523" w:rsidP="00421CF4">
      <w:pPr>
        <w:pStyle w:val="TOC1"/>
        <w:spacing w:before="0" w:after="0" w:line="288" w:lineRule="auto"/>
        <w:rPr>
          <w:rFonts w:asciiTheme="minorHAnsi" w:eastAsiaTheme="minorEastAsia" w:hAnsiTheme="minorHAnsi" w:cstheme="minorBidi"/>
          <w:noProof/>
          <w:lang w:eastAsia="en-AU"/>
        </w:rPr>
      </w:pPr>
      <w:hyperlink w:anchor="_Toc170983940" w:history="1">
        <w:r w:rsidR="00B27870" w:rsidRPr="00EB5562">
          <w:rPr>
            <w:rStyle w:val="Hyperlink"/>
          </w:rPr>
          <w:t>3. Authorisation</w:t>
        </w:r>
        <w:r w:rsidR="00B27870" w:rsidRPr="00EB5562">
          <w:rPr>
            <w:noProof/>
            <w:webHidden/>
          </w:rPr>
          <w:tab/>
        </w:r>
        <w:r w:rsidR="00B27870" w:rsidRPr="00EB5562">
          <w:rPr>
            <w:noProof/>
            <w:webHidden/>
          </w:rPr>
          <w:fldChar w:fldCharType="begin"/>
        </w:r>
        <w:r w:rsidR="00B27870" w:rsidRPr="00EB5562">
          <w:rPr>
            <w:noProof/>
            <w:webHidden/>
          </w:rPr>
          <w:instrText xml:space="preserve"> PAGEREF _Toc170983940 \h </w:instrText>
        </w:r>
        <w:r w:rsidR="00B27870" w:rsidRPr="00EB5562">
          <w:rPr>
            <w:noProof/>
            <w:webHidden/>
          </w:rPr>
        </w:r>
        <w:r w:rsidR="00B27870" w:rsidRPr="00EB5562">
          <w:rPr>
            <w:noProof/>
            <w:webHidden/>
          </w:rPr>
          <w:fldChar w:fldCharType="separate"/>
        </w:r>
        <w:r w:rsidR="00B27870" w:rsidRPr="00EB5562">
          <w:rPr>
            <w:noProof/>
            <w:webHidden/>
          </w:rPr>
          <w:t>10</w:t>
        </w:r>
        <w:r w:rsidR="00B27870" w:rsidRPr="00EB5562">
          <w:rPr>
            <w:noProof/>
            <w:webHidden/>
          </w:rPr>
          <w:fldChar w:fldCharType="end"/>
        </w:r>
      </w:hyperlink>
    </w:p>
    <w:p w14:paraId="35092597" w14:textId="7BD4A77F" w:rsidR="00B27870" w:rsidRPr="00EB5562" w:rsidRDefault="003A5523" w:rsidP="00421CF4">
      <w:pPr>
        <w:pStyle w:val="TOC2"/>
        <w:spacing w:before="0" w:after="0" w:line="288" w:lineRule="auto"/>
        <w:rPr>
          <w:rFonts w:asciiTheme="minorHAnsi" w:eastAsiaTheme="minorEastAsia" w:hAnsiTheme="minorHAnsi" w:cstheme="minorBidi"/>
          <w:noProof/>
          <w:lang w:eastAsia="en-AU"/>
        </w:rPr>
      </w:pPr>
      <w:hyperlink w:anchor="_Toc170983941" w:history="1">
        <w:r w:rsidR="00B27870" w:rsidRPr="00EB5562">
          <w:rPr>
            <w:rStyle w:val="Hyperlink"/>
          </w:rPr>
          <w:t>3.1 Intermediary relationship</w:t>
        </w:r>
        <w:r w:rsidR="00B27870" w:rsidRPr="00EB5562">
          <w:rPr>
            <w:noProof/>
            <w:webHidden/>
          </w:rPr>
          <w:tab/>
        </w:r>
        <w:r w:rsidR="00B27870" w:rsidRPr="00EB5562">
          <w:rPr>
            <w:noProof/>
            <w:webHidden/>
          </w:rPr>
          <w:fldChar w:fldCharType="begin"/>
        </w:r>
        <w:r w:rsidR="00B27870" w:rsidRPr="00EB5562">
          <w:rPr>
            <w:noProof/>
            <w:webHidden/>
          </w:rPr>
          <w:instrText xml:space="preserve"> PAGEREF _Toc170983941 \h </w:instrText>
        </w:r>
        <w:r w:rsidR="00B27870" w:rsidRPr="00EB5562">
          <w:rPr>
            <w:noProof/>
            <w:webHidden/>
          </w:rPr>
        </w:r>
        <w:r w:rsidR="00B27870" w:rsidRPr="00EB5562">
          <w:rPr>
            <w:noProof/>
            <w:webHidden/>
          </w:rPr>
          <w:fldChar w:fldCharType="separate"/>
        </w:r>
        <w:r w:rsidR="00B27870" w:rsidRPr="00EB5562">
          <w:rPr>
            <w:noProof/>
            <w:webHidden/>
          </w:rPr>
          <w:t>10</w:t>
        </w:r>
        <w:r w:rsidR="00B27870" w:rsidRPr="00EB5562">
          <w:rPr>
            <w:noProof/>
            <w:webHidden/>
          </w:rPr>
          <w:fldChar w:fldCharType="end"/>
        </w:r>
      </w:hyperlink>
    </w:p>
    <w:p w14:paraId="3AF3CEEC" w14:textId="72EEBB50" w:rsidR="00B27870" w:rsidRPr="00EB5562" w:rsidRDefault="003A5523" w:rsidP="00421CF4">
      <w:pPr>
        <w:pStyle w:val="TOC1"/>
        <w:spacing w:before="0" w:after="0" w:line="288" w:lineRule="auto"/>
        <w:rPr>
          <w:rFonts w:asciiTheme="minorHAnsi" w:eastAsiaTheme="minorEastAsia" w:hAnsiTheme="minorHAnsi" w:cstheme="minorBidi"/>
          <w:noProof/>
          <w:lang w:eastAsia="en-AU"/>
        </w:rPr>
      </w:pPr>
      <w:hyperlink w:anchor="_Toc170983942" w:history="1">
        <w:r w:rsidR="00B27870" w:rsidRPr="00EB5562">
          <w:rPr>
            <w:rStyle w:val="Hyperlink"/>
          </w:rPr>
          <w:t>4. Constraints and known issues</w:t>
        </w:r>
        <w:r w:rsidR="00B27870" w:rsidRPr="00EB5562">
          <w:rPr>
            <w:noProof/>
            <w:webHidden/>
          </w:rPr>
          <w:tab/>
        </w:r>
        <w:r w:rsidR="00B27870" w:rsidRPr="00EB5562">
          <w:rPr>
            <w:noProof/>
            <w:webHidden/>
          </w:rPr>
          <w:fldChar w:fldCharType="begin"/>
        </w:r>
        <w:r w:rsidR="00B27870" w:rsidRPr="00EB5562">
          <w:rPr>
            <w:noProof/>
            <w:webHidden/>
          </w:rPr>
          <w:instrText xml:space="preserve"> PAGEREF _Toc170983942 \h </w:instrText>
        </w:r>
        <w:r w:rsidR="00B27870" w:rsidRPr="00EB5562">
          <w:rPr>
            <w:noProof/>
            <w:webHidden/>
          </w:rPr>
        </w:r>
        <w:r w:rsidR="00B27870" w:rsidRPr="00EB5562">
          <w:rPr>
            <w:noProof/>
            <w:webHidden/>
          </w:rPr>
          <w:fldChar w:fldCharType="separate"/>
        </w:r>
        <w:r w:rsidR="00B27870" w:rsidRPr="00EB5562">
          <w:rPr>
            <w:noProof/>
            <w:webHidden/>
          </w:rPr>
          <w:t>11</w:t>
        </w:r>
        <w:r w:rsidR="00B27870" w:rsidRPr="00EB5562">
          <w:rPr>
            <w:noProof/>
            <w:webHidden/>
          </w:rPr>
          <w:fldChar w:fldCharType="end"/>
        </w:r>
      </w:hyperlink>
    </w:p>
    <w:p w14:paraId="36560EFF" w14:textId="4D4449C7" w:rsidR="00B27870" w:rsidRPr="00EB5562" w:rsidRDefault="003A5523" w:rsidP="00421CF4">
      <w:pPr>
        <w:pStyle w:val="TOC2"/>
        <w:spacing w:before="0" w:after="0" w:line="288" w:lineRule="auto"/>
        <w:rPr>
          <w:rFonts w:asciiTheme="minorHAnsi" w:eastAsiaTheme="minorEastAsia" w:hAnsiTheme="minorHAnsi" w:cstheme="minorBidi"/>
          <w:noProof/>
          <w:lang w:eastAsia="en-AU"/>
        </w:rPr>
      </w:pPr>
      <w:hyperlink w:anchor="_Toc170983943" w:history="1">
        <w:r w:rsidR="00B27870" w:rsidRPr="00EB5562">
          <w:rPr>
            <w:rStyle w:val="Hyperlink"/>
          </w:rPr>
          <w:t>4.1 Usage restrictions</w:t>
        </w:r>
        <w:r w:rsidR="00B27870" w:rsidRPr="00EB5562">
          <w:rPr>
            <w:noProof/>
            <w:webHidden/>
          </w:rPr>
          <w:tab/>
        </w:r>
        <w:r w:rsidR="00B27870" w:rsidRPr="00EB5562">
          <w:rPr>
            <w:noProof/>
            <w:webHidden/>
          </w:rPr>
          <w:fldChar w:fldCharType="begin"/>
        </w:r>
        <w:r w:rsidR="00B27870" w:rsidRPr="00EB5562">
          <w:rPr>
            <w:noProof/>
            <w:webHidden/>
          </w:rPr>
          <w:instrText xml:space="preserve"> PAGEREF _Toc170983943 \h </w:instrText>
        </w:r>
        <w:r w:rsidR="00B27870" w:rsidRPr="00EB5562">
          <w:rPr>
            <w:noProof/>
            <w:webHidden/>
          </w:rPr>
        </w:r>
        <w:r w:rsidR="00B27870" w:rsidRPr="00EB5562">
          <w:rPr>
            <w:noProof/>
            <w:webHidden/>
          </w:rPr>
          <w:fldChar w:fldCharType="separate"/>
        </w:r>
        <w:r w:rsidR="00B27870" w:rsidRPr="00EB5562">
          <w:rPr>
            <w:noProof/>
            <w:webHidden/>
          </w:rPr>
          <w:t>11</w:t>
        </w:r>
        <w:r w:rsidR="00B27870" w:rsidRPr="00EB5562">
          <w:rPr>
            <w:noProof/>
            <w:webHidden/>
          </w:rPr>
          <w:fldChar w:fldCharType="end"/>
        </w:r>
      </w:hyperlink>
    </w:p>
    <w:p w14:paraId="1E8A2F9F" w14:textId="625C43D3" w:rsidR="00B27870" w:rsidRPr="00EB5562" w:rsidRDefault="003A5523" w:rsidP="00421CF4">
      <w:pPr>
        <w:pStyle w:val="TOC2"/>
        <w:spacing w:before="0" w:after="0" w:line="288" w:lineRule="auto"/>
        <w:rPr>
          <w:rFonts w:asciiTheme="minorHAnsi" w:eastAsiaTheme="minorEastAsia" w:hAnsiTheme="minorHAnsi" w:cstheme="minorBidi"/>
          <w:noProof/>
          <w:lang w:eastAsia="en-AU"/>
        </w:rPr>
      </w:pPr>
      <w:hyperlink w:anchor="_Toc170983944" w:history="1">
        <w:r w:rsidR="00B27870" w:rsidRPr="00EB5562">
          <w:rPr>
            <w:rStyle w:val="Hyperlink"/>
          </w:rPr>
          <w:t>4.2 Known Issues</w:t>
        </w:r>
        <w:r w:rsidR="00B27870" w:rsidRPr="00EB5562">
          <w:rPr>
            <w:noProof/>
            <w:webHidden/>
          </w:rPr>
          <w:tab/>
        </w:r>
        <w:r w:rsidR="00B27870" w:rsidRPr="00EB5562">
          <w:rPr>
            <w:noProof/>
            <w:webHidden/>
          </w:rPr>
          <w:fldChar w:fldCharType="begin"/>
        </w:r>
        <w:r w:rsidR="00B27870" w:rsidRPr="00EB5562">
          <w:rPr>
            <w:noProof/>
            <w:webHidden/>
          </w:rPr>
          <w:instrText xml:space="preserve"> PAGEREF _Toc170983944 \h </w:instrText>
        </w:r>
        <w:r w:rsidR="00B27870" w:rsidRPr="00EB5562">
          <w:rPr>
            <w:noProof/>
            <w:webHidden/>
          </w:rPr>
        </w:r>
        <w:r w:rsidR="00B27870" w:rsidRPr="00EB5562">
          <w:rPr>
            <w:noProof/>
            <w:webHidden/>
          </w:rPr>
          <w:fldChar w:fldCharType="separate"/>
        </w:r>
        <w:r w:rsidR="00B27870" w:rsidRPr="00EB5562">
          <w:rPr>
            <w:noProof/>
            <w:webHidden/>
          </w:rPr>
          <w:t>11</w:t>
        </w:r>
        <w:r w:rsidR="00B27870" w:rsidRPr="00EB5562">
          <w:rPr>
            <w:noProof/>
            <w:webHidden/>
          </w:rPr>
          <w:fldChar w:fldCharType="end"/>
        </w:r>
      </w:hyperlink>
    </w:p>
    <w:p w14:paraId="36519837" w14:textId="4273C605" w:rsidR="00B27870" w:rsidRPr="00EB5562" w:rsidRDefault="003A5523" w:rsidP="00421CF4">
      <w:pPr>
        <w:pStyle w:val="TOC1"/>
        <w:spacing w:before="0" w:after="0" w:line="288" w:lineRule="auto"/>
        <w:rPr>
          <w:rFonts w:asciiTheme="minorHAnsi" w:eastAsiaTheme="minorEastAsia" w:hAnsiTheme="minorHAnsi" w:cstheme="minorBidi"/>
          <w:noProof/>
          <w:lang w:eastAsia="en-AU"/>
        </w:rPr>
      </w:pPr>
      <w:hyperlink w:anchor="_Toc170983945" w:history="1">
        <w:r w:rsidR="00B27870" w:rsidRPr="00EB5562">
          <w:rPr>
            <w:rStyle w:val="Hyperlink"/>
          </w:rPr>
          <w:t>5. Guidance</w:t>
        </w:r>
        <w:r w:rsidR="00B27870" w:rsidRPr="00EB5562">
          <w:rPr>
            <w:noProof/>
            <w:webHidden/>
          </w:rPr>
          <w:tab/>
        </w:r>
        <w:r w:rsidR="00B27870" w:rsidRPr="00EB5562">
          <w:rPr>
            <w:noProof/>
            <w:webHidden/>
          </w:rPr>
          <w:fldChar w:fldCharType="begin"/>
        </w:r>
        <w:r w:rsidR="00B27870" w:rsidRPr="00EB5562">
          <w:rPr>
            <w:noProof/>
            <w:webHidden/>
          </w:rPr>
          <w:instrText xml:space="preserve"> PAGEREF _Toc170983945 \h </w:instrText>
        </w:r>
        <w:r w:rsidR="00B27870" w:rsidRPr="00EB5562">
          <w:rPr>
            <w:noProof/>
            <w:webHidden/>
          </w:rPr>
        </w:r>
        <w:r w:rsidR="00B27870" w:rsidRPr="00EB5562">
          <w:rPr>
            <w:noProof/>
            <w:webHidden/>
          </w:rPr>
          <w:fldChar w:fldCharType="separate"/>
        </w:r>
        <w:r w:rsidR="00B27870" w:rsidRPr="00EB5562">
          <w:rPr>
            <w:noProof/>
            <w:webHidden/>
          </w:rPr>
          <w:t>12</w:t>
        </w:r>
        <w:r w:rsidR="00B27870" w:rsidRPr="00EB5562">
          <w:rPr>
            <w:noProof/>
            <w:webHidden/>
          </w:rPr>
          <w:fldChar w:fldCharType="end"/>
        </w:r>
      </w:hyperlink>
    </w:p>
    <w:p w14:paraId="1386AA18" w14:textId="77777777" w:rsidR="00E21113" w:rsidRPr="00EB5562" w:rsidRDefault="00390074" w:rsidP="00B27870">
      <w:pPr>
        <w:pStyle w:val="TableofFigures"/>
        <w:tabs>
          <w:tab w:val="right" w:leader="dot" w:pos="9016"/>
        </w:tabs>
        <w:spacing w:before="0" w:line="288" w:lineRule="auto"/>
        <w:rPr>
          <w:noProof/>
        </w:rPr>
      </w:pPr>
      <w:r w:rsidRPr="00EB5562">
        <w:fldChar w:fldCharType="end"/>
      </w:r>
      <w:r w:rsidR="00F7608A" w:rsidRPr="00EB5562">
        <w:fldChar w:fldCharType="begin"/>
      </w:r>
      <w:r w:rsidR="00F7608A" w:rsidRPr="00EB5562">
        <w:instrText xml:space="preserve"> TOC \h \z \c "Table" </w:instrText>
      </w:r>
      <w:r w:rsidR="00F7608A" w:rsidRPr="00EB5562">
        <w:fldChar w:fldCharType="separate"/>
      </w:r>
    </w:p>
    <w:p w14:paraId="303822F3" w14:textId="13ABB54A" w:rsidR="00E21113" w:rsidRPr="00EB5562" w:rsidRDefault="003A5523" w:rsidP="00B27870">
      <w:pPr>
        <w:pStyle w:val="TableofFigures"/>
        <w:tabs>
          <w:tab w:val="right" w:leader="dot" w:pos="9016"/>
        </w:tabs>
        <w:spacing w:before="0" w:line="288" w:lineRule="auto"/>
        <w:rPr>
          <w:rFonts w:asciiTheme="minorHAnsi" w:eastAsiaTheme="minorEastAsia" w:hAnsiTheme="minorHAnsi" w:cstheme="minorBidi"/>
          <w:noProof/>
          <w:lang w:eastAsia="en-AU"/>
        </w:rPr>
      </w:pPr>
      <w:hyperlink w:anchor="_Toc170981131" w:history="1">
        <w:r w:rsidR="00E21113" w:rsidRPr="00EB5562">
          <w:rPr>
            <w:rStyle w:val="Hyperlink"/>
          </w:rPr>
          <w:t>Table 1: Interactions available for lodgment service</w:t>
        </w:r>
        <w:r w:rsidR="00E21113" w:rsidRPr="00EB5562">
          <w:rPr>
            <w:noProof/>
            <w:webHidden/>
          </w:rPr>
          <w:tab/>
        </w:r>
        <w:r w:rsidR="00E21113" w:rsidRPr="00EB5562">
          <w:rPr>
            <w:noProof/>
            <w:webHidden/>
          </w:rPr>
          <w:fldChar w:fldCharType="begin"/>
        </w:r>
        <w:r w:rsidR="00E21113" w:rsidRPr="00EB5562">
          <w:rPr>
            <w:noProof/>
            <w:webHidden/>
          </w:rPr>
          <w:instrText xml:space="preserve"> PAGEREF _Toc170981131 \h </w:instrText>
        </w:r>
        <w:r w:rsidR="00E21113" w:rsidRPr="00EB5562">
          <w:rPr>
            <w:noProof/>
            <w:webHidden/>
          </w:rPr>
        </w:r>
        <w:r w:rsidR="00E21113" w:rsidRPr="00EB5562">
          <w:rPr>
            <w:noProof/>
            <w:webHidden/>
          </w:rPr>
          <w:fldChar w:fldCharType="separate"/>
        </w:r>
        <w:r w:rsidR="00E21113" w:rsidRPr="00EB5562">
          <w:rPr>
            <w:noProof/>
            <w:webHidden/>
          </w:rPr>
          <w:t>6</w:t>
        </w:r>
        <w:r w:rsidR="00E21113" w:rsidRPr="00EB5562">
          <w:rPr>
            <w:noProof/>
            <w:webHidden/>
          </w:rPr>
          <w:fldChar w:fldCharType="end"/>
        </w:r>
      </w:hyperlink>
    </w:p>
    <w:p w14:paraId="74A1A202" w14:textId="371B94FC" w:rsidR="00E21113" w:rsidRPr="00EB5562" w:rsidRDefault="003A5523" w:rsidP="00B27870">
      <w:pPr>
        <w:pStyle w:val="TableofFigures"/>
        <w:tabs>
          <w:tab w:val="right" w:leader="dot" w:pos="9016"/>
        </w:tabs>
        <w:spacing w:before="0" w:line="288" w:lineRule="auto"/>
        <w:rPr>
          <w:rFonts w:asciiTheme="minorHAnsi" w:eastAsiaTheme="minorEastAsia" w:hAnsiTheme="minorHAnsi" w:cstheme="minorBidi"/>
          <w:noProof/>
          <w:lang w:eastAsia="en-AU"/>
        </w:rPr>
      </w:pPr>
      <w:hyperlink w:anchor="_Toc170981132" w:history="1">
        <w:r w:rsidR="00E21113" w:rsidRPr="00EB5562">
          <w:rPr>
            <w:rStyle w:val="Hyperlink"/>
          </w:rPr>
          <w:t>Table 2: Service orchestration for client account, lodgment.list and submit services</w:t>
        </w:r>
        <w:r w:rsidR="00E21113" w:rsidRPr="00EB5562">
          <w:rPr>
            <w:noProof/>
            <w:webHidden/>
          </w:rPr>
          <w:tab/>
        </w:r>
        <w:r w:rsidR="00E21113" w:rsidRPr="00EB5562">
          <w:rPr>
            <w:noProof/>
            <w:webHidden/>
          </w:rPr>
          <w:fldChar w:fldCharType="begin"/>
        </w:r>
        <w:r w:rsidR="00E21113" w:rsidRPr="00EB5562">
          <w:rPr>
            <w:noProof/>
            <w:webHidden/>
          </w:rPr>
          <w:instrText xml:space="preserve"> PAGEREF _Toc170981132 \h </w:instrText>
        </w:r>
        <w:r w:rsidR="00E21113" w:rsidRPr="00EB5562">
          <w:rPr>
            <w:noProof/>
            <w:webHidden/>
          </w:rPr>
        </w:r>
        <w:r w:rsidR="00E21113" w:rsidRPr="00EB5562">
          <w:rPr>
            <w:noProof/>
            <w:webHidden/>
          </w:rPr>
          <w:fldChar w:fldCharType="separate"/>
        </w:r>
        <w:r w:rsidR="00E21113" w:rsidRPr="00EB5562">
          <w:rPr>
            <w:noProof/>
            <w:webHidden/>
          </w:rPr>
          <w:t>6</w:t>
        </w:r>
        <w:r w:rsidR="00E21113" w:rsidRPr="00EB5562">
          <w:rPr>
            <w:noProof/>
            <w:webHidden/>
          </w:rPr>
          <w:fldChar w:fldCharType="end"/>
        </w:r>
      </w:hyperlink>
    </w:p>
    <w:p w14:paraId="77D12FD8" w14:textId="062871EE" w:rsidR="00E21113" w:rsidRPr="00EB5562" w:rsidRDefault="003A5523" w:rsidP="00B27870">
      <w:pPr>
        <w:pStyle w:val="TableofFigures"/>
        <w:tabs>
          <w:tab w:val="right" w:leader="dot" w:pos="9016"/>
        </w:tabs>
        <w:spacing w:before="0" w:line="288" w:lineRule="auto"/>
        <w:rPr>
          <w:rFonts w:asciiTheme="minorHAnsi" w:eastAsiaTheme="minorEastAsia" w:hAnsiTheme="minorHAnsi" w:cstheme="minorBidi"/>
          <w:noProof/>
          <w:lang w:eastAsia="en-AU"/>
        </w:rPr>
      </w:pPr>
      <w:hyperlink w:anchor="_Toc170981133" w:history="1">
        <w:r w:rsidR="00E21113" w:rsidRPr="00EB5562">
          <w:rPr>
            <w:rStyle w:val="Hyperlink"/>
          </w:rPr>
          <w:t>Table 3: Activity Statement Status</w:t>
        </w:r>
        <w:r w:rsidR="00E21113" w:rsidRPr="00EB5562">
          <w:rPr>
            <w:noProof/>
            <w:webHidden/>
          </w:rPr>
          <w:tab/>
        </w:r>
        <w:r w:rsidR="00E21113" w:rsidRPr="00EB5562">
          <w:rPr>
            <w:noProof/>
            <w:webHidden/>
          </w:rPr>
          <w:fldChar w:fldCharType="begin"/>
        </w:r>
        <w:r w:rsidR="00E21113" w:rsidRPr="00EB5562">
          <w:rPr>
            <w:noProof/>
            <w:webHidden/>
          </w:rPr>
          <w:instrText xml:space="preserve"> PAGEREF _Toc170981133 \h </w:instrText>
        </w:r>
        <w:r w:rsidR="00E21113" w:rsidRPr="00EB5562">
          <w:rPr>
            <w:noProof/>
            <w:webHidden/>
          </w:rPr>
        </w:r>
        <w:r w:rsidR="00E21113" w:rsidRPr="00EB5562">
          <w:rPr>
            <w:noProof/>
            <w:webHidden/>
          </w:rPr>
          <w:fldChar w:fldCharType="separate"/>
        </w:r>
        <w:r w:rsidR="00E21113" w:rsidRPr="00EB5562">
          <w:rPr>
            <w:noProof/>
            <w:webHidden/>
          </w:rPr>
          <w:t>8</w:t>
        </w:r>
        <w:r w:rsidR="00E21113" w:rsidRPr="00EB5562">
          <w:rPr>
            <w:noProof/>
            <w:webHidden/>
          </w:rPr>
          <w:fldChar w:fldCharType="end"/>
        </w:r>
      </w:hyperlink>
    </w:p>
    <w:p w14:paraId="05D6C85A" w14:textId="2F95885A" w:rsidR="00300090" w:rsidRPr="00EB5562" w:rsidRDefault="00F7608A" w:rsidP="00E21113">
      <w:pPr>
        <w:spacing w:before="0" w:after="0" w:line="288" w:lineRule="auto"/>
      </w:pPr>
      <w:r w:rsidRPr="00EB5562">
        <w:fldChar w:fldCharType="end"/>
      </w:r>
    </w:p>
    <w:p w14:paraId="141018D8" w14:textId="1C625925" w:rsidR="00B226B7" w:rsidRPr="00EB5562" w:rsidRDefault="00B226B7" w:rsidP="004B179F">
      <w:pPr>
        <w:spacing w:before="0" w:after="160" w:line="276" w:lineRule="auto"/>
      </w:pPr>
    </w:p>
    <w:p w14:paraId="20DEF28E" w14:textId="360DA23E" w:rsidR="00B226B7" w:rsidRPr="00EB5562" w:rsidRDefault="00092323" w:rsidP="00092323">
      <w:pPr>
        <w:pStyle w:val="Heading1"/>
      </w:pPr>
      <w:bookmarkStart w:id="0" w:name="_Toc170983932"/>
      <w:r w:rsidRPr="00EB5562">
        <w:lastRenderedPageBreak/>
        <w:t xml:space="preserve">1. </w:t>
      </w:r>
      <w:r w:rsidR="00B226B7" w:rsidRPr="00EB5562">
        <w:t>Introduction</w:t>
      </w:r>
      <w:bookmarkEnd w:id="0"/>
    </w:p>
    <w:p w14:paraId="240BF1E0" w14:textId="44F59604" w:rsidR="00B226B7" w:rsidRPr="00EB5562" w:rsidRDefault="00092323" w:rsidP="00B226B7">
      <w:pPr>
        <w:pStyle w:val="Heading2"/>
      </w:pPr>
      <w:bookmarkStart w:id="1" w:name="_Toc170983933"/>
      <w:r w:rsidRPr="00EB5562">
        <w:t xml:space="preserve">1.1 </w:t>
      </w:r>
      <w:r w:rsidR="00B226B7" w:rsidRPr="00EB5562">
        <w:t>Purpose and document context</w:t>
      </w:r>
      <w:bookmarkEnd w:id="1"/>
    </w:p>
    <w:p w14:paraId="2DB02FC1" w14:textId="13ACF34A" w:rsidR="00816991" w:rsidRPr="00EB5562" w:rsidRDefault="00B226B7" w:rsidP="004845EF">
      <w:pPr>
        <w:pStyle w:val="Tabletext"/>
      </w:pPr>
      <w:r w:rsidRPr="00EB5562">
        <w:t xml:space="preserve">The purpose of this document is to provide information to assist Digital Service Providers </w:t>
      </w:r>
      <w:r w:rsidR="003B3B3B" w:rsidRPr="00EB5562">
        <w:t xml:space="preserve">(DSPs) </w:t>
      </w:r>
      <w:r w:rsidRPr="00EB5562">
        <w:t xml:space="preserve">in understanding the business context surrounding </w:t>
      </w:r>
      <w:r w:rsidR="004845EF" w:rsidRPr="00EB5562">
        <w:t xml:space="preserve">Lodgment (LDG) List service. </w:t>
      </w:r>
    </w:p>
    <w:p w14:paraId="28B0842B" w14:textId="789B4C95" w:rsidR="00E21113" w:rsidRPr="00EB5562" w:rsidRDefault="00E21113" w:rsidP="00E21113">
      <w:r w:rsidRPr="00EB5562">
        <w:t>The Lodgment List 2023</w:t>
      </w:r>
      <w:r w:rsidRPr="00EB5562">
        <w:rPr>
          <w:color w:val="FF0000"/>
        </w:rPr>
        <w:t xml:space="preserve"> </w:t>
      </w:r>
      <w:r w:rsidRPr="00EB5562">
        <w:t xml:space="preserve">Business Implementation Guide forms part of the broader suite of documents used by the </w:t>
      </w:r>
      <w:r w:rsidR="003B3B3B" w:rsidRPr="00EB5562">
        <w:t>Australian Taxation Office (</w:t>
      </w:r>
      <w:r w:rsidRPr="00EB5562">
        <w:t>ATO</w:t>
      </w:r>
      <w:r w:rsidR="003B3B3B" w:rsidRPr="00EB5562">
        <w:t>)</w:t>
      </w:r>
      <w:r w:rsidRPr="00EB5562">
        <w:t xml:space="preserve"> to describe or interpret how the technical implementation relates back to the business context and process. This document is designed to be read in conjunction with the ATO </w:t>
      </w:r>
      <w:r w:rsidR="003B3B3B" w:rsidRPr="00EB5562">
        <w:t>Standard Business Reporting (SBR)</w:t>
      </w:r>
      <w:r w:rsidRPr="00EB5562">
        <w:t xml:space="preserve"> documentation suite including the:</w:t>
      </w:r>
    </w:p>
    <w:p w14:paraId="16CB3785" w14:textId="77777777" w:rsidR="00E21113" w:rsidRPr="00EB5562" w:rsidRDefault="003A5523" w:rsidP="00E21113">
      <w:pPr>
        <w:pStyle w:val="DotPointsList"/>
      </w:pPr>
      <w:hyperlink r:id="rId16" w:history="1">
        <w:r w:rsidR="00E21113" w:rsidRPr="00EB5562">
          <w:rPr>
            <w:rStyle w:val="Hyperlink"/>
            <w:noProof w:val="0"/>
          </w:rPr>
          <w:t>ATO Common Business Implementation and Taxpayer declaration Guide</w:t>
        </w:r>
      </w:hyperlink>
    </w:p>
    <w:p w14:paraId="0D1DB140" w14:textId="77777777" w:rsidR="00E21113" w:rsidRPr="00EB5562" w:rsidRDefault="00E21113" w:rsidP="00E21113">
      <w:pPr>
        <w:pStyle w:val="DotPointsList"/>
      </w:pPr>
      <w:r w:rsidRPr="00EB5562">
        <w:t>web service/platform information</w:t>
      </w:r>
    </w:p>
    <w:p w14:paraId="4725A61D" w14:textId="77777777" w:rsidR="00E21113" w:rsidRPr="00EB5562" w:rsidRDefault="00E21113" w:rsidP="00E21113">
      <w:pPr>
        <w:pStyle w:val="DotPointsList"/>
      </w:pPr>
      <w:r w:rsidRPr="00EB5562">
        <w:t>test information, for example conformance suites</w:t>
      </w:r>
    </w:p>
    <w:p w14:paraId="0A62736A" w14:textId="77777777" w:rsidR="00E21113" w:rsidRPr="00EB5562" w:rsidRDefault="00E21113" w:rsidP="00E21113">
      <w:pPr>
        <w:pStyle w:val="DotPointsList"/>
      </w:pPr>
      <w:r w:rsidRPr="00EB5562">
        <w:t>Message Structure Tables</w:t>
      </w:r>
    </w:p>
    <w:p w14:paraId="75C7A8A1" w14:textId="6CFF538D" w:rsidR="00E21113" w:rsidRPr="00EB5562" w:rsidRDefault="00E21113" w:rsidP="00421CF4">
      <w:pPr>
        <w:pStyle w:val="DotPointsList"/>
      </w:pPr>
      <w:r w:rsidRPr="00EB5562">
        <w:t>validation rules.</w:t>
      </w:r>
    </w:p>
    <w:p w14:paraId="34A4BCBB" w14:textId="036BD571" w:rsidR="00B226B7" w:rsidRPr="00EB5562" w:rsidRDefault="00092323" w:rsidP="00A4526D">
      <w:pPr>
        <w:pStyle w:val="Heading2"/>
      </w:pPr>
      <w:bookmarkStart w:id="2" w:name="_Toc170983934"/>
      <w:r w:rsidRPr="00EB5562">
        <w:t xml:space="preserve">1.2 </w:t>
      </w:r>
      <w:r w:rsidR="00A4526D" w:rsidRPr="00EB5562">
        <w:t>Glossary</w:t>
      </w:r>
      <w:bookmarkEnd w:id="2"/>
    </w:p>
    <w:p w14:paraId="2EE918E4" w14:textId="52B9F6B0" w:rsidR="00B226B7" w:rsidRPr="00EB5562" w:rsidRDefault="00B226B7" w:rsidP="00B226B7">
      <w:pPr>
        <w:pStyle w:val="Tabletext"/>
      </w:pPr>
      <w:r w:rsidRPr="00EB5562">
        <w:t xml:space="preserve">For a glossary of terminology, </w:t>
      </w:r>
      <w:r w:rsidR="006C576F" w:rsidRPr="00EB5562">
        <w:t>s</w:t>
      </w:r>
      <w:r w:rsidRPr="00EB5562">
        <w:t>ee:</w:t>
      </w:r>
    </w:p>
    <w:p w14:paraId="354CEE17" w14:textId="3A948F50" w:rsidR="00A4526D" w:rsidRPr="00EB5562" w:rsidRDefault="003A5523" w:rsidP="00816991">
      <w:pPr>
        <w:pStyle w:val="DotPointsList"/>
        <w:rPr>
          <w:rStyle w:val="Hyperlink"/>
        </w:rPr>
      </w:pPr>
      <w:hyperlink r:id="rId17" w:history="1">
        <w:r w:rsidR="00A4526D" w:rsidRPr="00EB5562">
          <w:rPr>
            <w:rStyle w:val="Hyperlink"/>
          </w:rPr>
          <w:t>SBR glossary</w:t>
        </w:r>
      </w:hyperlink>
    </w:p>
    <w:p w14:paraId="61FC70D9" w14:textId="33ED8174" w:rsidR="00D21CD8" w:rsidRPr="00EB5562" w:rsidRDefault="003A5523" w:rsidP="00816991">
      <w:pPr>
        <w:pStyle w:val="DotPointsList"/>
      </w:pPr>
      <w:hyperlink r:id="rId18" w:history="1">
        <w:r w:rsidR="00A4526D" w:rsidRPr="00EB5562">
          <w:rPr>
            <w:rStyle w:val="Hyperlink"/>
          </w:rPr>
          <w:t>ATO</w:t>
        </w:r>
        <w:r w:rsidR="00816991" w:rsidRPr="00EB5562">
          <w:rPr>
            <w:rStyle w:val="Hyperlink"/>
          </w:rPr>
          <w:t xml:space="preserve"> definitions</w:t>
        </w:r>
      </w:hyperlink>
      <w:r w:rsidR="006C576F" w:rsidRPr="00EB5562">
        <w:rPr>
          <w:rStyle w:val="Hyperlink"/>
        </w:rPr>
        <w:t>.</w:t>
      </w:r>
    </w:p>
    <w:p w14:paraId="119A07A9" w14:textId="7B7FF152" w:rsidR="00B226B7" w:rsidRPr="00EB5562" w:rsidRDefault="00092323" w:rsidP="00C41E54">
      <w:pPr>
        <w:pStyle w:val="Heading1"/>
      </w:pPr>
      <w:bookmarkStart w:id="3" w:name="_Toc170983935"/>
      <w:r w:rsidRPr="00EB5562">
        <w:lastRenderedPageBreak/>
        <w:t xml:space="preserve">2. </w:t>
      </w:r>
      <w:r w:rsidR="00C41E54" w:rsidRPr="00EB5562">
        <w:t>Lodgment (LDG) services</w:t>
      </w:r>
      <w:bookmarkEnd w:id="3"/>
    </w:p>
    <w:p w14:paraId="196C0FCC" w14:textId="34F3A0A9" w:rsidR="00C41E54" w:rsidRPr="00EB5562" w:rsidRDefault="00C41E54" w:rsidP="00C41E54">
      <w:r w:rsidRPr="00EB5562">
        <w:t>The Lodgment service contains 2 interactions:</w:t>
      </w:r>
    </w:p>
    <w:p w14:paraId="2AA758B3" w14:textId="77777777" w:rsidR="00C41E54" w:rsidRPr="00EB5562" w:rsidRDefault="00C41E54" w:rsidP="00C41E54">
      <w:pPr>
        <w:pStyle w:val="DotPointsList"/>
      </w:pPr>
      <w:proofErr w:type="spellStart"/>
      <w:r w:rsidRPr="00EB5562">
        <w:t>LDG.list</w:t>
      </w:r>
      <w:proofErr w:type="spellEnd"/>
    </w:p>
    <w:p w14:paraId="58FC73F8" w14:textId="22AFBE8D" w:rsidR="00C41E54" w:rsidRPr="00EB5562" w:rsidRDefault="00C41E54" w:rsidP="00C41E54">
      <w:pPr>
        <w:pStyle w:val="DotPointsList"/>
      </w:pPr>
      <w:proofErr w:type="spellStart"/>
      <w:r w:rsidRPr="00EB5562">
        <w:t>LDG.get</w:t>
      </w:r>
      <w:proofErr w:type="spellEnd"/>
      <w:r w:rsidR="003B3B3B" w:rsidRPr="00EB5562">
        <w:t>.</w:t>
      </w:r>
    </w:p>
    <w:p w14:paraId="7253539B" w14:textId="39B3E7A7" w:rsidR="00C41E54" w:rsidRPr="00EB5562" w:rsidRDefault="00C41E54" w:rsidP="00C41E54">
      <w:r w:rsidRPr="00EB5562">
        <w:t xml:space="preserve">This business implementation guide is </w:t>
      </w:r>
      <w:r w:rsidR="00E21113" w:rsidRPr="00EB5562">
        <w:t xml:space="preserve">only </w:t>
      </w:r>
      <w:r w:rsidRPr="00EB5562">
        <w:t xml:space="preserve">for </w:t>
      </w:r>
      <w:r w:rsidR="00E21113" w:rsidRPr="00EB5562">
        <w:t xml:space="preserve">the </w:t>
      </w:r>
      <w:proofErr w:type="spellStart"/>
      <w:r w:rsidRPr="00EB5562">
        <w:t>LDG.list</w:t>
      </w:r>
      <w:proofErr w:type="spellEnd"/>
      <w:r w:rsidRPr="00EB5562">
        <w:t xml:space="preserve"> interaction, for </w:t>
      </w:r>
      <w:proofErr w:type="spellStart"/>
      <w:r w:rsidRPr="00EB5562">
        <w:t>LDG.get</w:t>
      </w:r>
      <w:proofErr w:type="spellEnd"/>
      <w:r w:rsidRPr="00EB5562">
        <w:t xml:space="preserve"> refer to </w:t>
      </w:r>
      <w:r w:rsidR="00E21113" w:rsidRPr="00EB5562">
        <w:t xml:space="preserve">the </w:t>
      </w:r>
      <w:hyperlink r:id="rId19" w:history="1">
        <w:r w:rsidR="00E21113" w:rsidRPr="00EB5562">
          <w:rPr>
            <w:rStyle w:val="Hyperlink"/>
            <w:noProof w:val="0"/>
          </w:rPr>
          <w:t>LDG GET 0002.2019 Business Implementation Guide</w:t>
        </w:r>
      </w:hyperlink>
      <w:r w:rsidRPr="00EB5562">
        <w:t>.</w:t>
      </w:r>
    </w:p>
    <w:p w14:paraId="711FFC4F" w14:textId="45CABAF3" w:rsidR="00C41E54" w:rsidRPr="00EB5562" w:rsidRDefault="00C41E54" w:rsidP="00C41E54">
      <w:r w:rsidRPr="00EB5562">
        <w:t xml:space="preserve">The </w:t>
      </w:r>
      <w:proofErr w:type="spellStart"/>
      <w:r w:rsidRPr="00EB5562">
        <w:t>LDG.list</w:t>
      </w:r>
      <w:proofErr w:type="spellEnd"/>
      <w:r w:rsidRPr="00EB5562">
        <w:t xml:space="preserve"> interaction allows tax practitioners, business and businesses intermediaries using SBR-enabled software to view a list of expected and received lodgments. The </w:t>
      </w:r>
      <w:proofErr w:type="spellStart"/>
      <w:r w:rsidRPr="00EB5562">
        <w:t>LDG.list</w:t>
      </w:r>
      <w:proofErr w:type="spellEnd"/>
      <w:r w:rsidRPr="00EB5562">
        <w:t xml:space="preserve"> interaction provides an extended functionality to the Lodgment List (LDGLST) service and Activity Statement List (</w:t>
      </w:r>
      <w:proofErr w:type="spellStart"/>
      <w:proofErr w:type="gramStart"/>
      <w:r w:rsidRPr="00EB5562">
        <w:t>AS.list</w:t>
      </w:r>
      <w:proofErr w:type="spellEnd"/>
      <w:proofErr w:type="gramEnd"/>
      <w:r w:rsidRPr="00EB5562">
        <w:t xml:space="preserve">) interaction. The service </w:t>
      </w:r>
      <w:r w:rsidR="009773FE" w:rsidRPr="00EB5562">
        <w:t xml:space="preserve">is </w:t>
      </w:r>
      <w:proofErr w:type="gramStart"/>
      <w:r w:rsidR="009773FE" w:rsidRPr="00EB5562">
        <w:t>use</w:t>
      </w:r>
      <w:proofErr w:type="gramEnd"/>
      <w:r w:rsidR="009773FE" w:rsidRPr="00EB5562">
        <w:t xml:space="preserve"> </w:t>
      </w:r>
      <w:r w:rsidRPr="00EB5562">
        <w:t>to return a list for the following lodgment types:</w:t>
      </w:r>
    </w:p>
    <w:p w14:paraId="16624B2A" w14:textId="51DAA2A6" w:rsidR="00C41E54" w:rsidRPr="00EB5562" w:rsidRDefault="00C41E54" w:rsidP="00C41E54">
      <w:pPr>
        <w:pStyle w:val="DotPointsList"/>
      </w:pPr>
      <w:r w:rsidRPr="00EB5562">
        <w:t>Activity statement</w:t>
      </w:r>
    </w:p>
    <w:p w14:paraId="53EA4E24" w14:textId="4B9EAA8C" w:rsidR="00C41E54" w:rsidRPr="00EB5562" w:rsidRDefault="00C41E54" w:rsidP="00C41E54">
      <w:pPr>
        <w:pStyle w:val="DotPointsList"/>
      </w:pPr>
      <w:r w:rsidRPr="00EB5562">
        <w:t>Taxable payments annual report</w:t>
      </w:r>
    </w:p>
    <w:p w14:paraId="5EC4AAA5" w14:textId="21019A72" w:rsidR="00C41E54" w:rsidRPr="00EB5562" w:rsidRDefault="00C41E54" w:rsidP="00C41E54">
      <w:pPr>
        <w:pStyle w:val="DotPointsList"/>
      </w:pPr>
      <w:r w:rsidRPr="00EB5562">
        <w:t>Individual Income Tax Return</w:t>
      </w:r>
    </w:p>
    <w:p w14:paraId="39D3678A" w14:textId="558EDC3B" w:rsidR="00C41E54" w:rsidRPr="00EB5562" w:rsidRDefault="00C41E54" w:rsidP="00C41E54">
      <w:pPr>
        <w:pStyle w:val="DotPointsList"/>
      </w:pPr>
      <w:r w:rsidRPr="00EB5562">
        <w:t>Company Tax Return</w:t>
      </w:r>
    </w:p>
    <w:p w14:paraId="7E37ECAD" w14:textId="42666126" w:rsidR="00C41E54" w:rsidRPr="00EB5562" w:rsidRDefault="00C41E54" w:rsidP="00C41E54">
      <w:pPr>
        <w:pStyle w:val="DotPointsList"/>
      </w:pPr>
      <w:r w:rsidRPr="00EB5562">
        <w:t>Fringe Benefits Tax Return</w:t>
      </w:r>
      <w:r w:rsidR="003B3B3B" w:rsidRPr="00EB5562">
        <w:t xml:space="preserve"> (FBT)</w:t>
      </w:r>
    </w:p>
    <w:p w14:paraId="427F96FE" w14:textId="1B22FE1E" w:rsidR="00C41E54" w:rsidRPr="00EB5562" w:rsidRDefault="00C41E54" w:rsidP="00C41E54">
      <w:pPr>
        <w:pStyle w:val="DotPointsList"/>
      </w:pPr>
      <w:r w:rsidRPr="00EB5562">
        <w:t>Trust tax return</w:t>
      </w:r>
    </w:p>
    <w:p w14:paraId="33D068B7" w14:textId="287B9765" w:rsidR="00C41E54" w:rsidRPr="00EB5562" w:rsidRDefault="00C41E54" w:rsidP="00C41E54">
      <w:pPr>
        <w:pStyle w:val="DotPointsList"/>
      </w:pPr>
      <w:r w:rsidRPr="00EB5562">
        <w:t>Partnership Tax Return</w:t>
      </w:r>
    </w:p>
    <w:p w14:paraId="5D4DF12C" w14:textId="4C242EFC" w:rsidR="00C41E54" w:rsidRPr="00EB5562" w:rsidRDefault="00C41E54" w:rsidP="00C41E54">
      <w:pPr>
        <w:pStyle w:val="DotPointsList"/>
      </w:pPr>
      <w:r w:rsidRPr="00EB5562">
        <w:t>Fund Income Tax Return</w:t>
      </w:r>
    </w:p>
    <w:p w14:paraId="122A03C6" w14:textId="4EAC7FD6" w:rsidR="00C41E54" w:rsidRPr="00EB5562" w:rsidRDefault="00C41E54" w:rsidP="00C41E54">
      <w:pPr>
        <w:pStyle w:val="DotPointsList"/>
      </w:pPr>
      <w:r w:rsidRPr="00EB5562">
        <w:t>Self-Managed Superfund Return</w:t>
      </w:r>
    </w:p>
    <w:p w14:paraId="70DF6DC9" w14:textId="071E8992" w:rsidR="00C41E54" w:rsidRPr="00EB5562" w:rsidRDefault="00C41E54" w:rsidP="00C41E54">
      <w:pPr>
        <w:pStyle w:val="DotPointsList"/>
      </w:pPr>
      <w:r w:rsidRPr="00EB5562">
        <w:t>Generic Company Tax Return</w:t>
      </w:r>
    </w:p>
    <w:p w14:paraId="4683B453" w14:textId="70DE1919" w:rsidR="00C41E54" w:rsidRPr="00EB5562" w:rsidRDefault="00C41E54" w:rsidP="00C41E54">
      <w:pPr>
        <w:pStyle w:val="DotPointsList"/>
      </w:pPr>
      <w:r w:rsidRPr="00EB5562">
        <w:t>Generic Fund Income Tax Return</w:t>
      </w:r>
    </w:p>
    <w:p w14:paraId="45A9BB2E" w14:textId="2894BAC2" w:rsidR="00C41E54" w:rsidRPr="00EB5562" w:rsidRDefault="00C41E54" w:rsidP="00C41E54">
      <w:pPr>
        <w:pStyle w:val="DotPointsList"/>
      </w:pPr>
      <w:r w:rsidRPr="00EB5562">
        <w:t>Generic Partnership Tax Return</w:t>
      </w:r>
    </w:p>
    <w:p w14:paraId="1B7EA430" w14:textId="1D1898CA" w:rsidR="00C41E54" w:rsidRPr="00EB5562" w:rsidRDefault="00C41E54" w:rsidP="00C41E54">
      <w:pPr>
        <w:pStyle w:val="DotPointsList"/>
      </w:pPr>
      <w:r w:rsidRPr="00EB5562">
        <w:t>Generic Trust Tax Return</w:t>
      </w:r>
    </w:p>
    <w:p w14:paraId="646D7C0F" w14:textId="44746A55" w:rsidR="00C41E54" w:rsidRPr="00EB5562" w:rsidRDefault="00C41E54" w:rsidP="00C41E54">
      <w:pPr>
        <w:pStyle w:val="DotPointsList"/>
      </w:pPr>
      <w:r w:rsidRPr="00EB5562">
        <w:t>Generic Individual Income Tax Return</w:t>
      </w:r>
    </w:p>
    <w:p w14:paraId="573D353F" w14:textId="092D07D4" w:rsidR="00C41E54" w:rsidRPr="00EB5562" w:rsidRDefault="00C41E54" w:rsidP="00C41E54">
      <w:pPr>
        <w:pStyle w:val="DotPointsList"/>
      </w:pPr>
      <w:r w:rsidRPr="00EB5562">
        <w:t>Generic FBT Return</w:t>
      </w:r>
    </w:p>
    <w:p w14:paraId="62309E02" w14:textId="3E7797A3" w:rsidR="00C41E54" w:rsidRPr="00EB5562" w:rsidRDefault="00C41E54" w:rsidP="00C41E54">
      <w:pPr>
        <w:pStyle w:val="DotPointsList"/>
      </w:pPr>
      <w:r w:rsidRPr="00EB5562">
        <w:t>Attribution Managed investment trust return and liability</w:t>
      </w:r>
    </w:p>
    <w:p w14:paraId="7E2A90AF" w14:textId="7F33C860" w:rsidR="00C41E54" w:rsidRPr="00EB5562" w:rsidRDefault="00C41E54" w:rsidP="00C41E54">
      <w:pPr>
        <w:pStyle w:val="DotPointsList"/>
      </w:pPr>
      <w:r w:rsidRPr="00EB5562">
        <w:t>Excise return</w:t>
      </w:r>
    </w:p>
    <w:p w14:paraId="3553B7C9" w14:textId="0D72C87C" w:rsidR="00C41E54" w:rsidRPr="00EB5562" w:rsidRDefault="00C41E54" w:rsidP="00C41E54">
      <w:pPr>
        <w:pStyle w:val="DotPointsList"/>
      </w:pPr>
      <w:r w:rsidRPr="00EB5562">
        <w:t xml:space="preserve">Limited Registration Entity </w:t>
      </w:r>
      <w:r w:rsidR="003B3B3B" w:rsidRPr="00EB5562">
        <w:t xml:space="preserve">Goods and Services Tax (GST) </w:t>
      </w:r>
      <w:r w:rsidRPr="00EB5562">
        <w:t>return</w:t>
      </w:r>
      <w:r w:rsidR="003B3B3B" w:rsidRPr="00EB5562">
        <w:t>.</w:t>
      </w:r>
    </w:p>
    <w:p w14:paraId="67BE5D74" w14:textId="1F85705A" w:rsidR="00C41E54" w:rsidRPr="00EB5562" w:rsidRDefault="00C41E54" w:rsidP="00C41E54">
      <w:r w:rsidRPr="00EB5562">
        <w:t xml:space="preserve">Generic forms are used internally for prior year returns that do not have a specific form definition. Generally, the form is only used for the 2003 year and prior years, however the specific year differs depending on the form type. The form category will reflect </w:t>
      </w:r>
      <w:r w:rsidR="003B3B3B" w:rsidRPr="00EB5562">
        <w:t xml:space="preserve">the </w:t>
      </w:r>
      <w:r w:rsidRPr="00EB5562">
        <w:t xml:space="preserve">return type </w:t>
      </w:r>
      <w:r w:rsidR="003B3B3B" w:rsidRPr="00EB5562">
        <w:t xml:space="preserve">that was </w:t>
      </w:r>
      <w:r w:rsidRPr="00EB5562">
        <w:t xml:space="preserve">processed, for example, a </w:t>
      </w:r>
      <w:r w:rsidR="00E21113" w:rsidRPr="00EB5562">
        <w:t>g</w:t>
      </w:r>
      <w:r w:rsidRPr="00EB5562">
        <w:t xml:space="preserve">eneric </w:t>
      </w:r>
      <w:r w:rsidR="00E21113" w:rsidRPr="00EB5562">
        <w:t>c</w:t>
      </w:r>
      <w:r w:rsidRPr="00EB5562">
        <w:t xml:space="preserve">ompany </w:t>
      </w:r>
      <w:r w:rsidR="00E21113" w:rsidRPr="00EB5562">
        <w:t>t</w:t>
      </w:r>
      <w:r w:rsidRPr="00EB5562">
        <w:t xml:space="preserve">ax </w:t>
      </w:r>
      <w:r w:rsidR="00E21113" w:rsidRPr="00EB5562">
        <w:t>r</w:t>
      </w:r>
      <w:r w:rsidRPr="00EB5562">
        <w:t xml:space="preserve">eturn or </w:t>
      </w:r>
      <w:r w:rsidR="00E21113" w:rsidRPr="00EB5562">
        <w:t>c</w:t>
      </w:r>
      <w:r w:rsidRPr="00EB5562">
        <w:t xml:space="preserve">ompany </w:t>
      </w:r>
      <w:r w:rsidR="00E21113" w:rsidRPr="00EB5562">
        <w:t>t</w:t>
      </w:r>
      <w:r w:rsidRPr="00EB5562">
        <w:t>ax return.</w:t>
      </w:r>
    </w:p>
    <w:p w14:paraId="78BEE862" w14:textId="688B7EBC" w:rsidR="00C41E54" w:rsidRPr="00EB5562" w:rsidRDefault="00C41E54" w:rsidP="00C41E54">
      <w:r w:rsidRPr="00EB5562">
        <w:t>If the role type is used to filter Income Tax Exempt – NFP</w:t>
      </w:r>
      <w:r w:rsidR="003B3B3B" w:rsidRPr="00EB5562">
        <w:rPr>
          <w:rStyle w:val="FootnoteReference"/>
        </w:rPr>
        <w:footnoteReference w:id="1"/>
      </w:r>
      <w:r w:rsidRPr="00EB5562">
        <w:t xml:space="preserve"> Self Review Return, the service will only return account and role details</w:t>
      </w:r>
      <w:r w:rsidR="00E21113" w:rsidRPr="00EB5562">
        <w:t xml:space="preserve">, </w:t>
      </w:r>
      <w:r w:rsidRPr="00EB5562">
        <w:t xml:space="preserve">specifics of lodgments will </w:t>
      </w:r>
      <w:r w:rsidR="00E21113" w:rsidRPr="00EB5562">
        <w:t xml:space="preserve">not </w:t>
      </w:r>
      <w:r w:rsidRPr="00EB5562">
        <w:t xml:space="preserve">be returned.  </w:t>
      </w:r>
    </w:p>
    <w:p w14:paraId="66F8F03D" w14:textId="57368D05" w:rsidR="00C41E54" w:rsidRPr="00EB5562" w:rsidRDefault="00E21113" w:rsidP="00C41E54">
      <w:r w:rsidRPr="00EB5562">
        <w:t xml:space="preserve">The </w:t>
      </w:r>
      <w:r w:rsidR="00C41E54" w:rsidRPr="00EB5562">
        <w:t xml:space="preserve">[LDG76] </w:t>
      </w:r>
      <w:r w:rsidR="00C41E54" w:rsidRPr="00EB5562">
        <w:rPr>
          <w:i/>
          <w:iCs/>
        </w:rPr>
        <w:t xml:space="preserve">Due or refundable amount </w:t>
      </w:r>
      <w:r w:rsidR="00C41E54" w:rsidRPr="00EB5562">
        <w:t>provides the total liabilities calculated for the financial accounting period</w:t>
      </w:r>
      <w:r w:rsidR="00CA07B4" w:rsidRPr="00EB5562">
        <w:t>,</w:t>
      </w:r>
      <w:r w:rsidR="00C41E54" w:rsidRPr="00EB5562">
        <w:t xml:space="preserve"> for the lodgment </w:t>
      </w:r>
      <w:r w:rsidR="00CA07B4" w:rsidRPr="00EB5562">
        <w:t xml:space="preserve">of </w:t>
      </w:r>
      <w:r w:rsidR="00C41E54" w:rsidRPr="00EB5562">
        <w:t xml:space="preserve">Income Tax returns and Activity Statements. </w:t>
      </w:r>
      <w:r w:rsidR="00C41E54" w:rsidRPr="00EB5562">
        <w:lastRenderedPageBreak/>
        <w:t>DSP’s can orchestrate this with the CLNTACC services to provide a complete account view</w:t>
      </w:r>
      <w:r w:rsidR="00CA07B4" w:rsidRPr="00EB5562">
        <w:t xml:space="preserve">, </w:t>
      </w:r>
      <w:r w:rsidR="00C41E54" w:rsidRPr="00EB5562">
        <w:t>includ</w:t>
      </w:r>
      <w:r w:rsidR="00CA07B4" w:rsidRPr="00EB5562">
        <w:t>ing</w:t>
      </w:r>
      <w:r w:rsidR="00C41E54" w:rsidRPr="00EB5562">
        <w:t xml:space="preserve"> current account balance, account due and payable amount and estimated penalty and interest amount.</w:t>
      </w:r>
    </w:p>
    <w:p w14:paraId="42501EFF" w14:textId="0552600F" w:rsidR="00C41E54" w:rsidRPr="00EB5562" w:rsidRDefault="00C41E54" w:rsidP="00C41E54">
      <w:pPr>
        <w:pStyle w:val="Heading2"/>
      </w:pPr>
      <w:bookmarkStart w:id="4" w:name="_Toc170983936"/>
      <w:r w:rsidRPr="00EB5562">
        <w:t>2.1 Interactions</w:t>
      </w:r>
      <w:bookmarkEnd w:id="4"/>
      <w:r w:rsidRPr="00EB5562">
        <w:t xml:space="preserve"> </w:t>
      </w:r>
    </w:p>
    <w:p w14:paraId="0167321D" w14:textId="3E043576" w:rsidR="00C41E54" w:rsidRPr="00EB5562" w:rsidRDefault="00C41E54" w:rsidP="00C41E54">
      <w:r w:rsidRPr="00EB5562">
        <w:t>Below are the interactions to be provided through SBR.</w:t>
      </w:r>
    </w:p>
    <w:p w14:paraId="25AC0CF6" w14:textId="10C672BD" w:rsidR="00C41E54" w:rsidRPr="00EB5562" w:rsidRDefault="00C41E54" w:rsidP="00C41E54">
      <w:pPr>
        <w:pStyle w:val="Caption"/>
      </w:pPr>
      <w:bookmarkStart w:id="5" w:name="_Toc170981131"/>
      <w:bookmarkStart w:id="6" w:name="_Hlk130471451"/>
      <w:r w:rsidRPr="00EB5562">
        <w:t xml:space="preserve">Table </w:t>
      </w:r>
      <w:fldSimple w:instr=" SEQ Table \* ARABIC ">
        <w:r w:rsidR="00A147C2" w:rsidRPr="00EB5562">
          <w:rPr>
            <w:noProof/>
          </w:rPr>
          <w:t>1</w:t>
        </w:r>
      </w:fldSimple>
      <w:r w:rsidRPr="00EB5562">
        <w:t>: Interactions available for lodgment service</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7"/>
        <w:gridCol w:w="3172"/>
        <w:gridCol w:w="1057"/>
        <w:gridCol w:w="1176"/>
        <w:gridCol w:w="1174"/>
      </w:tblGrid>
      <w:tr w:rsidR="00C41E54" w:rsidRPr="00EB5562" w14:paraId="7662AC62" w14:textId="77777777" w:rsidTr="002A5BD7">
        <w:trPr>
          <w:tblHeader/>
        </w:trPr>
        <w:tc>
          <w:tcPr>
            <w:tcW w:w="1352" w:type="pct"/>
            <w:shd w:val="clear" w:color="auto" w:fill="D9E2F3" w:themeFill="accent1" w:themeFillTint="33"/>
          </w:tcPr>
          <w:p w14:paraId="547A07BE" w14:textId="77777777" w:rsidR="00C41E54" w:rsidRPr="00EB5562" w:rsidRDefault="00C41E54" w:rsidP="00C41E54">
            <w:pPr>
              <w:rPr>
                <w:b/>
              </w:rPr>
            </w:pPr>
            <w:r w:rsidRPr="00EB5562">
              <w:rPr>
                <w:b/>
              </w:rPr>
              <w:t>Interaction</w:t>
            </w:r>
          </w:p>
        </w:tc>
        <w:tc>
          <w:tcPr>
            <w:tcW w:w="1759" w:type="pct"/>
            <w:shd w:val="clear" w:color="auto" w:fill="D9E2F3" w:themeFill="accent1" w:themeFillTint="33"/>
          </w:tcPr>
          <w:p w14:paraId="6887DDB6" w14:textId="77777777" w:rsidR="00C41E54" w:rsidRPr="00EB5562" w:rsidRDefault="00C41E54" w:rsidP="00C41E54">
            <w:pPr>
              <w:rPr>
                <w:b/>
              </w:rPr>
            </w:pPr>
            <w:r w:rsidRPr="00EB5562">
              <w:rPr>
                <w:b/>
              </w:rPr>
              <w:t>Short Description</w:t>
            </w:r>
          </w:p>
        </w:tc>
        <w:tc>
          <w:tcPr>
            <w:tcW w:w="586" w:type="pct"/>
            <w:shd w:val="clear" w:color="auto" w:fill="D9E2F3" w:themeFill="accent1" w:themeFillTint="33"/>
          </w:tcPr>
          <w:p w14:paraId="3F517937" w14:textId="77777777" w:rsidR="00C41E54" w:rsidRPr="00EB5562" w:rsidRDefault="00C41E54" w:rsidP="00C41E54">
            <w:pPr>
              <w:rPr>
                <w:b/>
              </w:rPr>
            </w:pPr>
            <w:r w:rsidRPr="00EB5562">
              <w:rPr>
                <w:b/>
              </w:rPr>
              <w:t>Single</w:t>
            </w:r>
          </w:p>
        </w:tc>
        <w:tc>
          <w:tcPr>
            <w:tcW w:w="652" w:type="pct"/>
            <w:shd w:val="clear" w:color="auto" w:fill="D9E2F3" w:themeFill="accent1" w:themeFillTint="33"/>
          </w:tcPr>
          <w:p w14:paraId="33A4149D" w14:textId="77777777" w:rsidR="00C41E54" w:rsidRPr="00EB5562" w:rsidRDefault="00C41E54" w:rsidP="00C41E54">
            <w:pPr>
              <w:rPr>
                <w:b/>
              </w:rPr>
            </w:pPr>
            <w:r w:rsidRPr="00EB5562">
              <w:rPr>
                <w:b/>
              </w:rPr>
              <w:t>Batch</w:t>
            </w:r>
          </w:p>
        </w:tc>
        <w:tc>
          <w:tcPr>
            <w:tcW w:w="651" w:type="pct"/>
            <w:shd w:val="clear" w:color="auto" w:fill="D9E2F3" w:themeFill="accent1" w:themeFillTint="33"/>
          </w:tcPr>
          <w:p w14:paraId="38B79883" w14:textId="77777777" w:rsidR="00C41E54" w:rsidRPr="00EB5562" w:rsidRDefault="00C41E54" w:rsidP="00C41E54">
            <w:pPr>
              <w:rPr>
                <w:b/>
              </w:rPr>
            </w:pPr>
            <w:r w:rsidRPr="00EB5562">
              <w:rPr>
                <w:b/>
              </w:rPr>
              <w:t>Optional</w:t>
            </w:r>
          </w:p>
        </w:tc>
      </w:tr>
      <w:tr w:rsidR="00C41E54" w:rsidRPr="00EB5562" w14:paraId="1BC75F79" w14:textId="77777777" w:rsidTr="002A5BD7">
        <w:trPr>
          <w:trHeight w:val="300"/>
        </w:trPr>
        <w:tc>
          <w:tcPr>
            <w:tcW w:w="1352" w:type="pct"/>
          </w:tcPr>
          <w:p w14:paraId="427C20CA" w14:textId="77777777" w:rsidR="00C41E54" w:rsidRPr="00EB5562" w:rsidRDefault="00C41E54" w:rsidP="00C41E54">
            <w:proofErr w:type="spellStart"/>
            <w:proofErr w:type="gramStart"/>
            <w:r w:rsidRPr="00EB5562">
              <w:t>ldg.list</w:t>
            </w:r>
            <w:proofErr w:type="spellEnd"/>
            <w:proofErr w:type="gramEnd"/>
          </w:p>
        </w:tc>
        <w:tc>
          <w:tcPr>
            <w:tcW w:w="1759" w:type="pct"/>
          </w:tcPr>
          <w:p w14:paraId="2F02C285" w14:textId="77777777" w:rsidR="00C41E54" w:rsidRPr="00EB5562" w:rsidRDefault="00C41E54" w:rsidP="00C41E54">
            <w:r w:rsidRPr="00EB5562">
              <w:t>View a list of expected and received lodgments for Activity Statements, Income Tax, FBT returns and Taxable Payments annual reports.</w:t>
            </w:r>
          </w:p>
        </w:tc>
        <w:tc>
          <w:tcPr>
            <w:tcW w:w="586" w:type="pct"/>
          </w:tcPr>
          <w:p w14:paraId="17ED39B1" w14:textId="77777777" w:rsidR="00C41E54" w:rsidRPr="00EB5562" w:rsidRDefault="00C41E54" w:rsidP="00C41E54">
            <w:r w:rsidRPr="00EB5562">
              <w:t>Y</w:t>
            </w:r>
          </w:p>
        </w:tc>
        <w:tc>
          <w:tcPr>
            <w:tcW w:w="652" w:type="pct"/>
          </w:tcPr>
          <w:p w14:paraId="02CAF8D2" w14:textId="77777777" w:rsidR="00C41E54" w:rsidRPr="00EB5562" w:rsidRDefault="00C41E54" w:rsidP="00C41E54">
            <w:r w:rsidRPr="00EB5562">
              <w:t>Y</w:t>
            </w:r>
          </w:p>
        </w:tc>
        <w:tc>
          <w:tcPr>
            <w:tcW w:w="651" w:type="pct"/>
          </w:tcPr>
          <w:p w14:paraId="3FB848A3" w14:textId="77777777" w:rsidR="00C41E54" w:rsidRPr="00EB5562" w:rsidRDefault="00C41E54" w:rsidP="00C41E54">
            <w:r w:rsidRPr="00EB5562">
              <w:t>N</w:t>
            </w:r>
          </w:p>
        </w:tc>
      </w:tr>
      <w:tr w:rsidR="00C41E54" w:rsidRPr="00EB5562" w14:paraId="3C483D3F" w14:textId="77777777" w:rsidTr="002A5BD7">
        <w:trPr>
          <w:trHeight w:val="300"/>
        </w:trPr>
        <w:tc>
          <w:tcPr>
            <w:tcW w:w="1352" w:type="pct"/>
          </w:tcPr>
          <w:p w14:paraId="4AA66FA9" w14:textId="77777777" w:rsidR="00C41E54" w:rsidRPr="00EB5562" w:rsidRDefault="00C41E54" w:rsidP="00C41E54">
            <w:pPr>
              <w:rPr>
                <w:bCs/>
              </w:rPr>
            </w:pPr>
            <w:proofErr w:type="spellStart"/>
            <w:r w:rsidRPr="00EB5562">
              <w:t>ldg.get</w:t>
            </w:r>
            <w:proofErr w:type="spellEnd"/>
          </w:p>
        </w:tc>
        <w:tc>
          <w:tcPr>
            <w:tcW w:w="1759" w:type="pct"/>
          </w:tcPr>
          <w:p w14:paraId="70CF2921" w14:textId="7F06F924" w:rsidR="00C41E54" w:rsidRPr="00EB5562" w:rsidRDefault="00C41E54" w:rsidP="00C41E54">
            <w:r w:rsidRPr="00EB5562">
              <w:t>Retrieve a copy of a client’s processed Income Tax Return lodgment</w:t>
            </w:r>
          </w:p>
          <w:p w14:paraId="5669CCB3" w14:textId="6B1E3622" w:rsidR="00C41E54" w:rsidRPr="00EB5562" w:rsidRDefault="00CA07B4" w:rsidP="00C41E54">
            <w:r w:rsidRPr="00EB5562">
              <w:t xml:space="preserve">Refer to the </w:t>
            </w:r>
            <w:hyperlink r:id="rId20" w:history="1">
              <w:r w:rsidRPr="00EB5562">
                <w:rPr>
                  <w:rStyle w:val="Hyperlink"/>
                  <w:noProof w:val="0"/>
                </w:rPr>
                <w:t>LDG GET Business Implementation Guide</w:t>
              </w:r>
            </w:hyperlink>
            <w:r w:rsidRPr="00EB5562">
              <w:t>.</w:t>
            </w:r>
          </w:p>
        </w:tc>
        <w:tc>
          <w:tcPr>
            <w:tcW w:w="586" w:type="pct"/>
          </w:tcPr>
          <w:p w14:paraId="33DED6A7" w14:textId="77777777" w:rsidR="00C41E54" w:rsidRPr="00EB5562" w:rsidRDefault="00C41E54" w:rsidP="00C41E54">
            <w:r w:rsidRPr="00EB5562">
              <w:t>Y</w:t>
            </w:r>
          </w:p>
        </w:tc>
        <w:tc>
          <w:tcPr>
            <w:tcW w:w="652" w:type="pct"/>
          </w:tcPr>
          <w:p w14:paraId="06DDA687" w14:textId="77777777" w:rsidR="00C41E54" w:rsidRPr="00EB5562" w:rsidRDefault="00C41E54" w:rsidP="00C41E54">
            <w:r w:rsidRPr="00EB5562">
              <w:t>Y</w:t>
            </w:r>
          </w:p>
        </w:tc>
        <w:tc>
          <w:tcPr>
            <w:tcW w:w="651" w:type="pct"/>
          </w:tcPr>
          <w:p w14:paraId="004A4511" w14:textId="77777777" w:rsidR="00C41E54" w:rsidRPr="00EB5562" w:rsidRDefault="00C41E54" w:rsidP="00C41E54">
            <w:r w:rsidRPr="00EB5562">
              <w:t>Y</w:t>
            </w:r>
          </w:p>
        </w:tc>
      </w:tr>
    </w:tbl>
    <w:p w14:paraId="10F0F9BE" w14:textId="49C03FAD" w:rsidR="00C41E54" w:rsidRPr="00EB5562" w:rsidRDefault="00C41E54" w:rsidP="00C41E54">
      <w:pPr>
        <w:pStyle w:val="Heading2"/>
      </w:pPr>
      <w:bookmarkStart w:id="7" w:name="_Toc170983937"/>
      <w:bookmarkEnd w:id="6"/>
      <w:r w:rsidRPr="00EB5562">
        <w:t>2.2 Service orchestration</w:t>
      </w:r>
      <w:bookmarkEnd w:id="7"/>
    </w:p>
    <w:p w14:paraId="783ACE37" w14:textId="55218B8C" w:rsidR="00C41E54" w:rsidRPr="00EB5562" w:rsidRDefault="00C41E54" w:rsidP="00C41E54">
      <w:pPr>
        <w:pStyle w:val="Caption"/>
      </w:pPr>
      <w:bookmarkStart w:id="8" w:name="_Toc170981132"/>
      <w:r w:rsidRPr="00EB5562">
        <w:t xml:space="preserve">Table </w:t>
      </w:r>
      <w:fldSimple w:instr=" SEQ Table \* ARABIC ">
        <w:r w:rsidR="00A147C2" w:rsidRPr="00EB5562">
          <w:rPr>
            <w:noProof/>
          </w:rPr>
          <w:t>2</w:t>
        </w:r>
      </w:fldSimple>
      <w:r w:rsidRPr="00EB5562">
        <w:t xml:space="preserve">: Service orchestration for client account, </w:t>
      </w:r>
      <w:proofErr w:type="spellStart"/>
      <w:proofErr w:type="gramStart"/>
      <w:r w:rsidRPr="00EB5562">
        <w:t>lodgment.list</w:t>
      </w:r>
      <w:proofErr w:type="spellEnd"/>
      <w:proofErr w:type="gramEnd"/>
      <w:r w:rsidRPr="00EB5562">
        <w:t xml:space="preserve"> and submit services</w:t>
      </w:r>
      <w:bookmarkEnd w:id="8"/>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145"/>
        <w:gridCol w:w="1447"/>
        <w:gridCol w:w="3827"/>
      </w:tblGrid>
      <w:tr w:rsidR="00C41E54" w:rsidRPr="00EB5562" w14:paraId="117A1157" w14:textId="77777777" w:rsidTr="00421CF4">
        <w:trPr>
          <w:tblHeader/>
        </w:trPr>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1A4419" w14:textId="77777777" w:rsidR="00C41E54" w:rsidRPr="00EB5562" w:rsidRDefault="00C41E54" w:rsidP="00C41E54">
            <w:pPr>
              <w:rPr>
                <w:b/>
              </w:rPr>
            </w:pPr>
            <w:bookmarkStart w:id="9" w:name="_Hlk170813035"/>
          </w:p>
        </w:tc>
        <w:tc>
          <w:tcPr>
            <w:tcW w:w="31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B376CF" w14:textId="77777777" w:rsidR="00C41E54" w:rsidRPr="00EB5562" w:rsidRDefault="00C41E54" w:rsidP="00C41E54">
            <w:pPr>
              <w:rPr>
                <w:b/>
              </w:rPr>
            </w:pPr>
            <w:r w:rsidRPr="00EB5562">
              <w:rPr>
                <w:b/>
              </w:rPr>
              <w:t>Interaction</w:t>
            </w:r>
          </w:p>
        </w:tc>
        <w:tc>
          <w:tcPr>
            <w:tcW w:w="144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4E1A344" w14:textId="77777777" w:rsidR="00C41E54" w:rsidRPr="00EB5562" w:rsidRDefault="00C41E54" w:rsidP="00C41E54">
            <w:pPr>
              <w:rPr>
                <w:b/>
              </w:rPr>
            </w:pPr>
            <w:r w:rsidRPr="00EB5562">
              <w:rPr>
                <w:b/>
              </w:rPr>
              <w:t xml:space="preserve">Mandatory </w:t>
            </w:r>
          </w:p>
        </w:tc>
        <w:tc>
          <w:tcPr>
            <w:tcW w:w="382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F4126CB" w14:textId="77777777" w:rsidR="00C41E54" w:rsidRPr="00EB5562" w:rsidRDefault="00C41E54" w:rsidP="00C41E54">
            <w:pPr>
              <w:rPr>
                <w:b/>
              </w:rPr>
            </w:pPr>
            <w:r w:rsidRPr="00EB5562">
              <w:rPr>
                <w:b/>
              </w:rPr>
              <w:t>Service Orchestration</w:t>
            </w:r>
          </w:p>
        </w:tc>
      </w:tr>
      <w:tr w:rsidR="00C41E54" w:rsidRPr="00EB5562" w14:paraId="59284D42" w14:textId="77777777" w:rsidTr="00421CF4">
        <w:tc>
          <w:tcPr>
            <w:tcW w:w="540" w:type="dxa"/>
            <w:tcBorders>
              <w:top w:val="single" w:sz="4" w:space="0" w:color="auto"/>
              <w:left w:val="single" w:sz="4" w:space="0" w:color="auto"/>
              <w:bottom w:val="single" w:sz="4" w:space="0" w:color="auto"/>
              <w:right w:val="single" w:sz="4" w:space="0" w:color="auto"/>
            </w:tcBorders>
            <w:hideMark/>
          </w:tcPr>
          <w:p w14:paraId="12F7F70C" w14:textId="77777777" w:rsidR="00C41E54" w:rsidRPr="00EB5562" w:rsidRDefault="00C41E54" w:rsidP="00C41E54">
            <w:r w:rsidRPr="00EB5562">
              <w:t>1</w:t>
            </w:r>
          </w:p>
        </w:tc>
        <w:tc>
          <w:tcPr>
            <w:tcW w:w="3145" w:type="dxa"/>
            <w:tcBorders>
              <w:top w:val="single" w:sz="4" w:space="0" w:color="auto"/>
              <w:left w:val="single" w:sz="4" w:space="0" w:color="auto"/>
              <w:bottom w:val="single" w:sz="4" w:space="0" w:color="auto"/>
              <w:right w:val="single" w:sz="4" w:space="0" w:color="auto"/>
            </w:tcBorders>
            <w:hideMark/>
          </w:tcPr>
          <w:p w14:paraId="4DCD42ED" w14:textId="77777777" w:rsidR="00C41E54" w:rsidRPr="00EB5562" w:rsidRDefault="00C41E54" w:rsidP="00C41E54">
            <w:r w:rsidRPr="00EB5562">
              <w:t>Client Account List services</w:t>
            </w:r>
          </w:p>
          <w:p w14:paraId="568D6772" w14:textId="77777777" w:rsidR="00C41E54" w:rsidRPr="00EB5562" w:rsidRDefault="00C41E54" w:rsidP="00C41E54">
            <w:r w:rsidRPr="00EB5562">
              <w:t>(</w:t>
            </w:r>
            <w:proofErr w:type="spellStart"/>
            <w:r w:rsidRPr="00EB5562">
              <w:t>CLNTACC.list</w:t>
            </w:r>
            <w:proofErr w:type="spellEnd"/>
            <w:r w:rsidRPr="00EB5562">
              <w:t xml:space="preserve"> or </w:t>
            </w:r>
            <w:proofErr w:type="spellStart"/>
            <w:r w:rsidRPr="00EB5562">
              <w:t>CLNTACCSUM.list</w:t>
            </w:r>
            <w:proofErr w:type="spellEnd"/>
            <w:r w:rsidRPr="00EB5562">
              <w:t>)</w:t>
            </w:r>
          </w:p>
        </w:tc>
        <w:tc>
          <w:tcPr>
            <w:tcW w:w="1447" w:type="dxa"/>
            <w:tcBorders>
              <w:top w:val="single" w:sz="4" w:space="0" w:color="auto"/>
              <w:left w:val="single" w:sz="4" w:space="0" w:color="auto"/>
              <w:bottom w:val="single" w:sz="4" w:space="0" w:color="auto"/>
              <w:right w:val="single" w:sz="4" w:space="0" w:color="auto"/>
            </w:tcBorders>
            <w:hideMark/>
          </w:tcPr>
          <w:p w14:paraId="09C66918" w14:textId="77777777" w:rsidR="00C41E54" w:rsidRPr="00EB5562" w:rsidRDefault="00C41E54" w:rsidP="00C41E54">
            <w:r w:rsidRPr="00EB5562">
              <w:t>No</w:t>
            </w:r>
          </w:p>
        </w:tc>
        <w:tc>
          <w:tcPr>
            <w:tcW w:w="3827" w:type="dxa"/>
            <w:tcBorders>
              <w:top w:val="single" w:sz="4" w:space="0" w:color="auto"/>
              <w:left w:val="single" w:sz="4" w:space="0" w:color="auto"/>
              <w:bottom w:val="single" w:sz="4" w:space="0" w:color="auto"/>
              <w:right w:val="single" w:sz="4" w:space="0" w:color="auto"/>
            </w:tcBorders>
            <w:hideMark/>
          </w:tcPr>
          <w:p w14:paraId="1BBA67AE" w14:textId="77777777" w:rsidR="00C41E54" w:rsidRPr="00EB5562" w:rsidRDefault="00C41E54" w:rsidP="00C41E54">
            <w:r w:rsidRPr="00EB5562">
              <w:t xml:space="preserve">Account ID, Account Sequence number or account type can be obtained from either of the client account list services </w:t>
            </w:r>
          </w:p>
        </w:tc>
      </w:tr>
      <w:tr w:rsidR="00C41E54" w:rsidRPr="00EB5562" w14:paraId="1E1CDC58" w14:textId="77777777" w:rsidTr="00421CF4">
        <w:tc>
          <w:tcPr>
            <w:tcW w:w="540" w:type="dxa"/>
            <w:tcBorders>
              <w:top w:val="single" w:sz="4" w:space="0" w:color="auto"/>
              <w:left w:val="single" w:sz="4" w:space="0" w:color="auto"/>
              <w:bottom w:val="single" w:sz="4" w:space="0" w:color="auto"/>
              <w:right w:val="single" w:sz="4" w:space="0" w:color="auto"/>
            </w:tcBorders>
            <w:hideMark/>
          </w:tcPr>
          <w:p w14:paraId="7A28CF04" w14:textId="77777777" w:rsidR="00C41E54" w:rsidRPr="00EB5562" w:rsidRDefault="00C41E54" w:rsidP="00C41E54">
            <w:r w:rsidRPr="00EB5562">
              <w:t>2</w:t>
            </w:r>
          </w:p>
        </w:tc>
        <w:tc>
          <w:tcPr>
            <w:tcW w:w="3145" w:type="dxa"/>
            <w:tcBorders>
              <w:top w:val="single" w:sz="4" w:space="0" w:color="auto"/>
              <w:left w:val="single" w:sz="4" w:space="0" w:color="auto"/>
              <w:bottom w:val="single" w:sz="4" w:space="0" w:color="auto"/>
              <w:right w:val="single" w:sz="4" w:space="0" w:color="auto"/>
            </w:tcBorders>
            <w:hideMark/>
          </w:tcPr>
          <w:p w14:paraId="0A9AB7D4" w14:textId="565BDFE3" w:rsidR="00C41E54" w:rsidRPr="00EB5562" w:rsidRDefault="00C41E54" w:rsidP="00C41E54">
            <w:proofErr w:type="spellStart"/>
            <w:proofErr w:type="gramStart"/>
            <w:r w:rsidRPr="00EB5562">
              <w:t>ldg.list</w:t>
            </w:r>
            <w:proofErr w:type="spellEnd"/>
            <w:proofErr w:type="gramEnd"/>
          </w:p>
        </w:tc>
        <w:tc>
          <w:tcPr>
            <w:tcW w:w="1447" w:type="dxa"/>
            <w:tcBorders>
              <w:top w:val="single" w:sz="4" w:space="0" w:color="auto"/>
              <w:left w:val="single" w:sz="4" w:space="0" w:color="auto"/>
              <w:bottom w:val="single" w:sz="4" w:space="0" w:color="auto"/>
              <w:right w:val="single" w:sz="4" w:space="0" w:color="auto"/>
            </w:tcBorders>
            <w:hideMark/>
          </w:tcPr>
          <w:p w14:paraId="6C8AFEBA" w14:textId="77777777" w:rsidR="00C41E54" w:rsidRPr="00EB5562" w:rsidRDefault="00C41E54" w:rsidP="00C41E54">
            <w:r w:rsidRPr="00EB5562">
              <w:t>Yes</w:t>
            </w:r>
          </w:p>
        </w:tc>
        <w:tc>
          <w:tcPr>
            <w:tcW w:w="3827" w:type="dxa"/>
            <w:tcBorders>
              <w:top w:val="single" w:sz="4" w:space="0" w:color="auto"/>
              <w:left w:val="single" w:sz="4" w:space="0" w:color="auto"/>
              <w:bottom w:val="single" w:sz="4" w:space="0" w:color="auto"/>
              <w:right w:val="single" w:sz="4" w:space="0" w:color="auto"/>
            </w:tcBorders>
          </w:tcPr>
          <w:p w14:paraId="2B5B270C" w14:textId="77777777" w:rsidR="00C41E54" w:rsidRPr="00EB5562" w:rsidRDefault="00C41E54" w:rsidP="00C41E54">
            <w:proofErr w:type="spellStart"/>
            <w:r w:rsidRPr="00EB5562">
              <w:t>Ldg.list</w:t>
            </w:r>
            <w:proofErr w:type="spellEnd"/>
            <w:r w:rsidRPr="00EB5562">
              <w:t xml:space="preserve"> can be filtered by:</w:t>
            </w:r>
          </w:p>
          <w:p w14:paraId="62F5CC67" w14:textId="77777777" w:rsidR="00C41E54" w:rsidRPr="00EB5562" w:rsidRDefault="00C41E54" w:rsidP="00C41E54">
            <w:pPr>
              <w:pStyle w:val="DotPointsList"/>
            </w:pPr>
            <w:r w:rsidRPr="00EB5562">
              <w:t xml:space="preserve">account ID or account sequence number </w:t>
            </w:r>
          </w:p>
          <w:p w14:paraId="0AAF6B7B" w14:textId="77777777" w:rsidR="00C41E54" w:rsidRPr="00EB5562" w:rsidRDefault="00C41E54" w:rsidP="00C41E54">
            <w:pPr>
              <w:pStyle w:val="DotPointsList"/>
            </w:pPr>
            <w:r w:rsidRPr="00EB5562">
              <w:t>account type</w:t>
            </w:r>
          </w:p>
          <w:p w14:paraId="06BAFBEB" w14:textId="77777777" w:rsidR="00C41E54" w:rsidRPr="00EB5562" w:rsidRDefault="00C41E54" w:rsidP="00C41E54">
            <w:pPr>
              <w:pStyle w:val="DotPointsList"/>
            </w:pPr>
            <w:r w:rsidRPr="00EB5562">
              <w:t>role type</w:t>
            </w:r>
          </w:p>
          <w:p w14:paraId="4E5F1C9E" w14:textId="77777777" w:rsidR="00C41E54" w:rsidRPr="00EB5562" w:rsidRDefault="00C41E54" w:rsidP="00C41E54">
            <w:pPr>
              <w:pStyle w:val="DotPointsList"/>
            </w:pPr>
            <w:r w:rsidRPr="00EB5562">
              <w:t>form category</w:t>
            </w:r>
          </w:p>
          <w:p w14:paraId="31D9C6B8" w14:textId="77777777" w:rsidR="00C41E54" w:rsidRPr="00EB5562" w:rsidRDefault="00C41E54" w:rsidP="00C41E54">
            <w:pPr>
              <w:pStyle w:val="DotPointsList"/>
            </w:pPr>
            <w:r w:rsidRPr="00EB5562">
              <w:t>period start and end date</w:t>
            </w:r>
          </w:p>
          <w:p w14:paraId="0AA95B36" w14:textId="77777777" w:rsidR="00C41E54" w:rsidRPr="00EB5562" w:rsidRDefault="00C41E54" w:rsidP="00C41E54">
            <w:pPr>
              <w:pStyle w:val="DotPointsList"/>
            </w:pPr>
            <w:r w:rsidRPr="00EB5562">
              <w:lastRenderedPageBreak/>
              <w:t>lodgment status</w:t>
            </w:r>
          </w:p>
        </w:tc>
      </w:tr>
      <w:tr w:rsidR="00C41E54" w:rsidRPr="00EB5562" w14:paraId="46DBA857" w14:textId="77777777" w:rsidTr="00421CF4">
        <w:tc>
          <w:tcPr>
            <w:tcW w:w="540" w:type="dxa"/>
            <w:tcBorders>
              <w:top w:val="single" w:sz="4" w:space="0" w:color="auto"/>
              <w:left w:val="single" w:sz="4" w:space="0" w:color="auto"/>
              <w:bottom w:val="single" w:sz="4" w:space="0" w:color="auto"/>
              <w:right w:val="single" w:sz="4" w:space="0" w:color="auto"/>
            </w:tcBorders>
            <w:hideMark/>
          </w:tcPr>
          <w:p w14:paraId="543DD883" w14:textId="77777777" w:rsidR="00C41E54" w:rsidRPr="00EB5562" w:rsidRDefault="00C41E54" w:rsidP="00C41E54">
            <w:r w:rsidRPr="00EB5562">
              <w:lastRenderedPageBreak/>
              <w:t>3</w:t>
            </w:r>
          </w:p>
        </w:tc>
        <w:tc>
          <w:tcPr>
            <w:tcW w:w="3145" w:type="dxa"/>
            <w:tcBorders>
              <w:top w:val="single" w:sz="4" w:space="0" w:color="auto"/>
              <w:left w:val="single" w:sz="4" w:space="0" w:color="auto"/>
              <w:bottom w:val="single" w:sz="4" w:space="0" w:color="auto"/>
              <w:right w:val="single" w:sz="4" w:space="0" w:color="auto"/>
            </w:tcBorders>
            <w:hideMark/>
          </w:tcPr>
          <w:p w14:paraId="63A7EA70" w14:textId="77777777" w:rsidR="00C41E54" w:rsidRPr="00EB5562" w:rsidRDefault="00C41E54" w:rsidP="00C41E54">
            <w:r w:rsidRPr="00EB5562">
              <w:t>Pre-fill services:</w:t>
            </w:r>
          </w:p>
          <w:p w14:paraId="3BD9A427" w14:textId="77777777" w:rsidR="00C41E54" w:rsidRPr="00EB5562" w:rsidRDefault="00C41E54" w:rsidP="00C41E54">
            <w:pPr>
              <w:numPr>
                <w:ilvl w:val="0"/>
                <w:numId w:val="53"/>
              </w:numPr>
            </w:pPr>
            <w:proofErr w:type="spellStart"/>
            <w:r w:rsidRPr="00EB5562">
              <w:t>AS.get</w:t>
            </w:r>
            <w:proofErr w:type="spellEnd"/>
          </w:p>
          <w:p w14:paraId="277B415D" w14:textId="77777777" w:rsidR="00C41E54" w:rsidRPr="00EB5562" w:rsidRDefault="00C41E54" w:rsidP="00C41E54">
            <w:pPr>
              <w:numPr>
                <w:ilvl w:val="0"/>
                <w:numId w:val="53"/>
              </w:numPr>
            </w:pPr>
            <w:proofErr w:type="spellStart"/>
            <w:r w:rsidRPr="00EB5562">
              <w:t>IITR.get</w:t>
            </w:r>
            <w:proofErr w:type="spellEnd"/>
            <w:r w:rsidRPr="00EB5562">
              <w:rPr>
                <w:b/>
                <w:bCs/>
                <w:vertAlign w:val="superscript"/>
              </w:rPr>
              <w:t>*</w:t>
            </w:r>
          </w:p>
        </w:tc>
        <w:tc>
          <w:tcPr>
            <w:tcW w:w="1447" w:type="dxa"/>
            <w:tcBorders>
              <w:top w:val="single" w:sz="4" w:space="0" w:color="auto"/>
              <w:left w:val="single" w:sz="4" w:space="0" w:color="auto"/>
              <w:bottom w:val="single" w:sz="4" w:space="0" w:color="auto"/>
              <w:right w:val="single" w:sz="4" w:space="0" w:color="auto"/>
            </w:tcBorders>
            <w:hideMark/>
          </w:tcPr>
          <w:p w14:paraId="3E87546B" w14:textId="77777777" w:rsidR="00C41E54" w:rsidRPr="00EB5562" w:rsidRDefault="00C41E54" w:rsidP="00C41E54">
            <w:r w:rsidRPr="00EB5562">
              <w:t>No</w:t>
            </w:r>
          </w:p>
        </w:tc>
        <w:tc>
          <w:tcPr>
            <w:tcW w:w="3827" w:type="dxa"/>
            <w:tcBorders>
              <w:top w:val="single" w:sz="4" w:space="0" w:color="auto"/>
              <w:left w:val="single" w:sz="4" w:space="0" w:color="auto"/>
              <w:bottom w:val="single" w:sz="4" w:space="0" w:color="auto"/>
              <w:right w:val="single" w:sz="4" w:space="0" w:color="auto"/>
            </w:tcBorders>
            <w:hideMark/>
          </w:tcPr>
          <w:p w14:paraId="6971BD11" w14:textId="0293665A" w:rsidR="00C41E54" w:rsidRPr="00EB5562" w:rsidRDefault="00C41E54" w:rsidP="00C41E54">
            <w:r w:rsidRPr="00EB5562">
              <w:t xml:space="preserve">Pre-fill services are only available for Activity Statement and Individual Income Tax Return obligations. </w:t>
            </w:r>
          </w:p>
          <w:p w14:paraId="4B6F1B74" w14:textId="1DA8EEB8" w:rsidR="00C41E54" w:rsidRPr="00EB5562" w:rsidRDefault="00CA07B4" w:rsidP="00C41E54">
            <w:r w:rsidRPr="00EB5562">
              <w:t>Refer to</w:t>
            </w:r>
            <w:r w:rsidR="00C41E54" w:rsidRPr="00EB5562">
              <w:t>:</w:t>
            </w:r>
          </w:p>
          <w:p w14:paraId="007D08A9" w14:textId="0832138C" w:rsidR="00C41E54" w:rsidRPr="00EB5562" w:rsidRDefault="003A5523" w:rsidP="00C41E54">
            <w:pPr>
              <w:pStyle w:val="DotPointsList"/>
            </w:pPr>
            <w:hyperlink r:id="rId21" w:history="1">
              <w:r w:rsidR="00C41E54" w:rsidRPr="00EB5562">
                <w:rPr>
                  <w:rStyle w:val="Hyperlink"/>
                  <w:noProof w:val="0"/>
                </w:rPr>
                <w:t xml:space="preserve">Activity Statement </w:t>
              </w:r>
              <w:r w:rsidR="00CA07B4" w:rsidRPr="00EB5562">
                <w:rPr>
                  <w:rStyle w:val="Hyperlink"/>
                  <w:noProof w:val="0"/>
                </w:rPr>
                <w:t>b</w:t>
              </w:r>
              <w:r w:rsidR="00C41E54" w:rsidRPr="00EB5562">
                <w:rPr>
                  <w:rStyle w:val="Hyperlink"/>
                  <w:noProof w:val="0"/>
                </w:rPr>
                <w:t xml:space="preserve">usiness </w:t>
              </w:r>
              <w:r w:rsidR="00CA07B4" w:rsidRPr="00EB5562">
                <w:rPr>
                  <w:rStyle w:val="Hyperlink"/>
                  <w:noProof w:val="0"/>
                </w:rPr>
                <w:t>i</w:t>
              </w:r>
              <w:r w:rsidR="00C41E54" w:rsidRPr="00EB5562">
                <w:rPr>
                  <w:rStyle w:val="Hyperlink"/>
                  <w:noProof w:val="0"/>
                </w:rPr>
                <w:t>mplementation guide</w:t>
              </w:r>
            </w:hyperlink>
          </w:p>
          <w:p w14:paraId="57C1F4DD" w14:textId="626CF44A" w:rsidR="00C41E54" w:rsidRPr="00EB5562" w:rsidRDefault="003A5523" w:rsidP="00C41E54">
            <w:pPr>
              <w:pStyle w:val="DotPointsList"/>
            </w:pPr>
            <w:hyperlink r:id="rId22" w:history="1">
              <w:r w:rsidR="00C41E54" w:rsidRPr="00EB5562">
                <w:rPr>
                  <w:rStyle w:val="Hyperlink"/>
                  <w:noProof w:val="0"/>
                </w:rPr>
                <w:t xml:space="preserve">Individual </w:t>
              </w:r>
              <w:r w:rsidR="00CA07B4" w:rsidRPr="00EB5562">
                <w:rPr>
                  <w:rStyle w:val="Hyperlink"/>
                  <w:noProof w:val="0"/>
                </w:rPr>
                <w:t>i</w:t>
              </w:r>
              <w:r w:rsidR="00C41E54" w:rsidRPr="00EB5562">
                <w:rPr>
                  <w:rStyle w:val="Hyperlink"/>
                  <w:noProof w:val="0"/>
                </w:rPr>
                <w:t xml:space="preserve">ncome </w:t>
              </w:r>
              <w:r w:rsidR="00CA07B4" w:rsidRPr="00EB5562">
                <w:rPr>
                  <w:rStyle w:val="Hyperlink"/>
                  <w:noProof w:val="0"/>
                </w:rPr>
                <w:t>t</w:t>
              </w:r>
              <w:r w:rsidR="00C41E54" w:rsidRPr="00EB5562">
                <w:rPr>
                  <w:rStyle w:val="Hyperlink"/>
                  <w:noProof w:val="0"/>
                </w:rPr>
                <w:t xml:space="preserve">ax </w:t>
              </w:r>
              <w:r w:rsidR="00CA07B4" w:rsidRPr="00EB5562">
                <w:rPr>
                  <w:rStyle w:val="Hyperlink"/>
                  <w:noProof w:val="0"/>
                </w:rPr>
                <w:t>r</w:t>
              </w:r>
              <w:r w:rsidR="00C41E54" w:rsidRPr="00EB5562">
                <w:rPr>
                  <w:rStyle w:val="Hyperlink"/>
                  <w:noProof w:val="0"/>
                </w:rPr>
                <w:t xml:space="preserve">eturn </w:t>
              </w:r>
              <w:r w:rsidR="00CA07B4" w:rsidRPr="00EB5562">
                <w:rPr>
                  <w:rStyle w:val="Hyperlink"/>
                  <w:noProof w:val="0"/>
                </w:rPr>
                <w:t>b</w:t>
              </w:r>
              <w:r w:rsidR="00C41E54" w:rsidRPr="00EB5562">
                <w:rPr>
                  <w:rStyle w:val="Hyperlink"/>
                  <w:noProof w:val="0"/>
                </w:rPr>
                <w:t xml:space="preserve">usiness </w:t>
              </w:r>
              <w:r w:rsidR="00CA07B4" w:rsidRPr="00EB5562">
                <w:rPr>
                  <w:rStyle w:val="Hyperlink"/>
                  <w:noProof w:val="0"/>
                </w:rPr>
                <w:t>i</w:t>
              </w:r>
              <w:r w:rsidR="00C41E54" w:rsidRPr="00EB5562">
                <w:rPr>
                  <w:rStyle w:val="Hyperlink"/>
                  <w:noProof w:val="0"/>
                </w:rPr>
                <w:t xml:space="preserve">mplementation </w:t>
              </w:r>
              <w:r w:rsidR="00CA07B4" w:rsidRPr="00EB5562">
                <w:rPr>
                  <w:rStyle w:val="Hyperlink"/>
                  <w:noProof w:val="0"/>
                </w:rPr>
                <w:t>g</w:t>
              </w:r>
              <w:r w:rsidR="00C41E54" w:rsidRPr="00EB5562">
                <w:rPr>
                  <w:rStyle w:val="Hyperlink"/>
                  <w:noProof w:val="0"/>
                </w:rPr>
                <w:t>uide</w:t>
              </w:r>
            </w:hyperlink>
          </w:p>
        </w:tc>
      </w:tr>
      <w:tr w:rsidR="00C41E54" w:rsidRPr="00EB5562" w14:paraId="1F8967D7" w14:textId="77777777" w:rsidTr="00421CF4">
        <w:tc>
          <w:tcPr>
            <w:tcW w:w="540" w:type="dxa"/>
            <w:tcBorders>
              <w:top w:val="single" w:sz="4" w:space="0" w:color="auto"/>
              <w:left w:val="single" w:sz="4" w:space="0" w:color="auto"/>
              <w:bottom w:val="single" w:sz="4" w:space="0" w:color="auto"/>
              <w:right w:val="single" w:sz="4" w:space="0" w:color="auto"/>
            </w:tcBorders>
          </w:tcPr>
          <w:p w14:paraId="73D5DFAE" w14:textId="77777777" w:rsidR="00C41E54" w:rsidRPr="00EB5562" w:rsidRDefault="00C41E54" w:rsidP="00C41E54">
            <w:r w:rsidRPr="00EB5562">
              <w:t>4</w:t>
            </w:r>
          </w:p>
        </w:tc>
        <w:tc>
          <w:tcPr>
            <w:tcW w:w="3145" w:type="dxa"/>
            <w:tcBorders>
              <w:top w:val="single" w:sz="4" w:space="0" w:color="auto"/>
              <w:left w:val="single" w:sz="4" w:space="0" w:color="auto"/>
              <w:bottom w:val="single" w:sz="4" w:space="0" w:color="auto"/>
              <w:right w:val="single" w:sz="4" w:space="0" w:color="auto"/>
            </w:tcBorders>
          </w:tcPr>
          <w:p w14:paraId="6EF2FA63" w14:textId="77777777" w:rsidR="00C41E54" w:rsidRPr="00EB5562" w:rsidRDefault="00C41E54" w:rsidP="00C41E54">
            <w:r w:rsidRPr="00EB5562">
              <w:t>Lodgment Services</w:t>
            </w:r>
          </w:p>
          <w:p w14:paraId="7A7CA29F" w14:textId="77777777" w:rsidR="00C41E54" w:rsidRPr="00EB5562" w:rsidRDefault="00C41E54" w:rsidP="00C41E54">
            <w:proofErr w:type="spellStart"/>
            <w:proofErr w:type="gramStart"/>
            <w:r w:rsidRPr="00EB5562">
              <w:t>AS.submit</w:t>
            </w:r>
            <w:proofErr w:type="spellEnd"/>
            <w:proofErr w:type="gramEnd"/>
          </w:p>
          <w:p w14:paraId="1A7794F1" w14:textId="77777777" w:rsidR="00C41E54" w:rsidRPr="00EB5562" w:rsidRDefault="00C41E54" w:rsidP="00C41E54">
            <w:pPr>
              <w:rPr>
                <w:vertAlign w:val="superscript"/>
              </w:rPr>
            </w:pPr>
            <w:proofErr w:type="spellStart"/>
            <w:r w:rsidRPr="00EB5562">
              <w:t>IITR.submit</w:t>
            </w:r>
            <w:proofErr w:type="spellEnd"/>
            <w:r w:rsidRPr="00EB5562">
              <w:rPr>
                <w:b/>
                <w:bCs/>
                <w:vertAlign w:val="superscript"/>
              </w:rPr>
              <w:t>*</w:t>
            </w:r>
          </w:p>
          <w:p w14:paraId="789999AB" w14:textId="77777777" w:rsidR="00C41E54" w:rsidRPr="00EB5562" w:rsidRDefault="00C41E54" w:rsidP="00C41E54">
            <w:pPr>
              <w:rPr>
                <w:vertAlign w:val="superscript"/>
              </w:rPr>
            </w:pPr>
            <w:proofErr w:type="spellStart"/>
            <w:r w:rsidRPr="00EB5562">
              <w:t>CTR.submit</w:t>
            </w:r>
            <w:proofErr w:type="spellEnd"/>
          </w:p>
          <w:p w14:paraId="37A93733" w14:textId="77777777" w:rsidR="00C41E54" w:rsidRPr="00EB5562" w:rsidRDefault="00C41E54" w:rsidP="00C41E54">
            <w:proofErr w:type="spellStart"/>
            <w:r w:rsidRPr="00EB5562">
              <w:t>TPAR.submit</w:t>
            </w:r>
            <w:proofErr w:type="spellEnd"/>
          </w:p>
          <w:p w14:paraId="71B75F97" w14:textId="77777777" w:rsidR="00C41E54" w:rsidRPr="00EB5562" w:rsidRDefault="00C41E54" w:rsidP="00C41E54">
            <w:proofErr w:type="spellStart"/>
            <w:r w:rsidRPr="00EB5562">
              <w:t>FBT.submit</w:t>
            </w:r>
            <w:proofErr w:type="spellEnd"/>
          </w:p>
          <w:p w14:paraId="22DB094F" w14:textId="77777777" w:rsidR="00C41E54" w:rsidRPr="00EB5562" w:rsidRDefault="00C41E54" w:rsidP="00C41E54">
            <w:pPr>
              <w:rPr>
                <w:vertAlign w:val="superscript"/>
              </w:rPr>
            </w:pPr>
            <w:proofErr w:type="spellStart"/>
            <w:r w:rsidRPr="00EB5562">
              <w:t>PTR.submit</w:t>
            </w:r>
            <w:proofErr w:type="spellEnd"/>
          </w:p>
          <w:p w14:paraId="4800F371" w14:textId="77777777" w:rsidR="00C41E54" w:rsidRPr="00EB5562" w:rsidRDefault="00C41E54" w:rsidP="00C41E54">
            <w:pPr>
              <w:rPr>
                <w:vertAlign w:val="superscript"/>
              </w:rPr>
            </w:pPr>
            <w:proofErr w:type="spellStart"/>
            <w:r w:rsidRPr="00EB5562">
              <w:t>TRTAMI.submit</w:t>
            </w:r>
            <w:proofErr w:type="spellEnd"/>
          </w:p>
          <w:p w14:paraId="6788046C" w14:textId="77777777" w:rsidR="00C41E54" w:rsidRPr="00EB5562" w:rsidRDefault="00C41E54" w:rsidP="00C41E54">
            <w:pPr>
              <w:rPr>
                <w:vertAlign w:val="superscript"/>
              </w:rPr>
            </w:pPr>
            <w:proofErr w:type="spellStart"/>
            <w:r w:rsidRPr="00EB5562">
              <w:t>SMSFAR.submit</w:t>
            </w:r>
            <w:proofErr w:type="spellEnd"/>
          </w:p>
          <w:p w14:paraId="681EA349" w14:textId="77777777" w:rsidR="00C41E54" w:rsidRPr="00EB5562" w:rsidRDefault="00C41E54" w:rsidP="00C41E54">
            <w:pPr>
              <w:rPr>
                <w:vertAlign w:val="superscript"/>
              </w:rPr>
            </w:pPr>
            <w:proofErr w:type="spellStart"/>
            <w:r w:rsidRPr="00EB5562">
              <w:t>FITR.submit</w:t>
            </w:r>
            <w:proofErr w:type="spellEnd"/>
          </w:p>
        </w:tc>
        <w:tc>
          <w:tcPr>
            <w:tcW w:w="1447" w:type="dxa"/>
            <w:tcBorders>
              <w:top w:val="single" w:sz="4" w:space="0" w:color="auto"/>
              <w:left w:val="single" w:sz="4" w:space="0" w:color="auto"/>
              <w:bottom w:val="single" w:sz="4" w:space="0" w:color="auto"/>
              <w:right w:val="single" w:sz="4" w:space="0" w:color="auto"/>
            </w:tcBorders>
          </w:tcPr>
          <w:p w14:paraId="7A6B119D" w14:textId="77777777" w:rsidR="00C41E54" w:rsidRPr="00EB5562" w:rsidRDefault="00C41E54" w:rsidP="00C41E54">
            <w:r w:rsidRPr="00EB5562">
              <w:t>No</w:t>
            </w:r>
          </w:p>
        </w:tc>
        <w:tc>
          <w:tcPr>
            <w:tcW w:w="3827" w:type="dxa"/>
            <w:tcBorders>
              <w:top w:val="single" w:sz="4" w:space="0" w:color="auto"/>
              <w:left w:val="single" w:sz="4" w:space="0" w:color="auto"/>
              <w:bottom w:val="single" w:sz="4" w:space="0" w:color="auto"/>
              <w:right w:val="single" w:sz="4" w:space="0" w:color="auto"/>
            </w:tcBorders>
          </w:tcPr>
          <w:p w14:paraId="3D2D4C75" w14:textId="08E4A0DD" w:rsidR="00C41E54" w:rsidRPr="00EB5562" w:rsidRDefault="00CA07B4" w:rsidP="00C41E54">
            <w:r w:rsidRPr="00EB5562">
              <w:t>Refer to</w:t>
            </w:r>
            <w:r w:rsidR="00C41E54" w:rsidRPr="00EB5562">
              <w:t>:</w:t>
            </w:r>
          </w:p>
          <w:p w14:paraId="0DDAFE59" w14:textId="45FBF9EE" w:rsidR="00C41E54" w:rsidRPr="00EB5562" w:rsidRDefault="003A5523" w:rsidP="00C41E54">
            <w:pPr>
              <w:pStyle w:val="DotPointsList"/>
            </w:pPr>
            <w:hyperlink r:id="rId23" w:history="1">
              <w:r w:rsidR="00C41E54" w:rsidRPr="00EB5562">
                <w:rPr>
                  <w:rStyle w:val="Hyperlink"/>
                  <w:noProof w:val="0"/>
                </w:rPr>
                <w:t xml:space="preserve">Activity </w:t>
              </w:r>
              <w:r w:rsidR="00CA07B4" w:rsidRPr="00EB5562">
                <w:rPr>
                  <w:rStyle w:val="Hyperlink"/>
                  <w:noProof w:val="0"/>
                </w:rPr>
                <w:t>S</w:t>
              </w:r>
              <w:r w:rsidR="00C41E54" w:rsidRPr="00EB5562">
                <w:rPr>
                  <w:rStyle w:val="Hyperlink"/>
                  <w:noProof w:val="0"/>
                </w:rPr>
                <w:t>tatement business implementation guide</w:t>
              </w:r>
            </w:hyperlink>
          </w:p>
          <w:p w14:paraId="255C47A4" w14:textId="6D9A6C0F" w:rsidR="00C41E54" w:rsidRPr="00EB5562" w:rsidRDefault="003A5523" w:rsidP="00C41E54">
            <w:pPr>
              <w:pStyle w:val="DotPointsList"/>
            </w:pPr>
            <w:hyperlink r:id="rId24" w:history="1">
              <w:r w:rsidR="00C41E54" w:rsidRPr="00EB5562">
                <w:rPr>
                  <w:rStyle w:val="Hyperlink"/>
                  <w:noProof w:val="0"/>
                </w:rPr>
                <w:t xml:space="preserve">Individual </w:t>
              </w:r>
              <w:r w:rsidR="00CA07B4" w:rsidRPr="00EB5562">
                <w:rPr>
                  <w:rStyle w:val="Hyperlink"/>
                  <w:noProof w:val="0"/>
                </w:rPr>
                <w:t>i</w:t>
              </w:r>
              <w:r w:rsidR="00C41E54" w:rsidRPr="00EB5562">
                <w:rPr>
                  <w:rStyle w:val="Hyperlink"/>
                  <w:noProof w:val="0"/>
                </w:rPr>
                <w:t xml:space="preserve">ncome </w:t>
              </w:r>
              <w:r w:rsidR="00CA07B4" w:rsidRPr="00EB5562">
                <w:rPr>
                  <w:rStyle w:val="Hyperlink"/>
                  <w:noProof w:val="0"/>
                </w:rPr>
                <w:t>t</w:t>
              </w:r>
              <w:r w:rsidR="00C41E54" w:rsidRPr="00EB5562">
                <w:rPr>
                  <w:rStyle w:val="Hyperlink"/>
                  <w:noProof w:val="0"/>
                </w:rPr>
                <w:t>ax return business implementation guide</w:t>
              </w:r>
            </w:hyperlink>
          </w:p>
          <w:p w14:paraId="603537F7" w14:textId="77777777" w:rsidR="00C41E54" w:rsidRPr="00EB5562" w:rsidRDefault="003A5523" w:rsidP="00C41E54">
            <w:pPr>
              <w:pStyle w:val="DotPointsList"/>
            </w:pPr>
            <w:hyperlink r:id="rId25" w:history="1">
              <w:r w:rsidR="00C41E54" w:rsidRPr="00EB5562">
                <w:rPr>
                  <w:rStyle w:val="Hyperlink"/>
                  <w:noProof w:val="0"/>
                </w:rPr>
                <w:t>Company tax return business implementation guide</w:t>
              </w:r>
            </w:hyperlink>
          </w:p>
          <w:p w14:paraId="74B0F351" w14:textId="77777777" w:rsidR="00C41E54" w:rsidRPr="00EB5562" w:rsidRDefault="003A5523" w:rsidP="00C41E54">
            <w:pPr>
              <w:pStyle w:val="DotPointsList"/>
            </w:pPr>
            <w:hyperlink r:id="rId26" w:history="1">
              <w:r w:rsidR="00C41E54" w:rsidRPr="00EB5562">
                <w:rPr>
                  <w:rStyle w:val="Hyperlink"/>
                  <w:noProof w:val="0"/>
                </w:rPr>
                <w:t>Taxable payments annual report business implementation guide</w:t>
              </w:r>
            </w:hyperlink>
          </w:p>
          <w:p w14:paraId="43735C8B" w14:textId="77777777" w:rsidR="00C41E54" w:rsidRPr="00EB5562" w:rsidRDefault="003A5523" w:rsidP="00C41E54">
            <w:pPr>
              <w:pStyle w:val="DotPointsList"/>
            </w:pPr>
            <w:hyperlink r:id="rId27" w:history="1">
              <w:r w:rsidR="00C41E54" w:rsidRPr="00EB5562">
                <w:rPr>
                  <w:rStyle w:val="Hyperlink"/>
                  <w:noProof w:val="0"/>
                </w:rPr>
                <w:t>Fringe Benefits tax return business implementation guide</w:t>
              </w:r>
            </w:hyperlink>
          </w:p>
          <w:p w14:paraId="3BB20C8D" w14:textId="77777777" w:rsidR="00C41E54" w:rsidRPr="00EB5562" w:rsidRDefault="003A5523" w:rsidP="00C41E54">
            <w:pPr>
              <w:pStyle w:val="DotPointsList"/>
            </w:pPr>
            <w:hyperlink r:id="rId28" w:history="1">
              <w:r w:rsidR="00C41E54" w:rsidRPr="00EB5562">
                <w:rPr>
                  <w:rStyle w:val="Hyperlink"/>
                  <w:noProof w:val="0"/>
                </w:rPr>
                <w:t>Partnership tax return business implementation guide</w:t>
              </w:r>
            </w:hyperlink>
          </w:p>
          <w:p w14:paraId="38983EB6" w14:textId="77777777" w:rsidR="00C41E54" w:rsidRPr="00EB5562" w:rsidRDefault="003A5523" w:rsidP="00C41E54">
            <w:pPr>
              <w:pStyle w:val="DotPointsList"/>
            </w:pPr>
            <w:hyperlink r:id="rId29" w:history="1">
              <w:r w:rsidR="00C41E54" w:rsidRPr="00EB5562">
                <w:rPr>
                  <w:rStyle w:val="Hyperlink"/>
                  <w:noProof w:val="0"/>
                </w:rPr>
                <w:t>Attribution managed investment trust tax return business implementation guide</w:t>
              </w:r>
            </w:hyperlink>
          </w:p>
          <w:p w14:paraId="43AA9C84" w14:textId="77777777" w:rsidR="00C41E54" w:rsidRPr="00EB5562" w:rsidRDefault="003A5523" w:rsidP="00C41E54">
            <w:pPr>
              <w:pStyle w:val="DotPointsList"/>
            </w:pPr>
            <w:hyperlink r:id="rId30" w:history="1">
              <w:r w:rsidR="00C41E54" w:rsidRPr="00EB5562">
                <w:rPr>
                  <w:rStyle w:val="Hyperlink"/>
                  <w:noProof w:val="0"/>
                </w:rPr>
                <w:t>Self-managed superannuation fund tax return business implementation guide</w:t>
              </w:r>
            </w:hyperlink>
          </w:p>
          <w:p w14:paraId="034349FA" w14:textId="77777777" w:rsidR="00C41E54" w:rsidRPr="00EB5562" w:rsidRDefault="003A5523" w:rsidP="00C41E54">
            <w:pPr>
              <w:pStyle w:val="DotPointsList"/>
            </w:pPr>
            <w:hyperlink r:id="rId31" w:history="1">
              <w:r w:rsidR="00C41E54" w:rsidRPr="00EB5562">
                <w:rPr>
                  <w:rStyle w:val="Hyperlink"/>
                  <w:noProof w:val="0"/>
                </w:rPr>
                <w:t>Fund income tax return business implementation guide</w:t>
              </w:r>
            </w:hyperlink>
          </w:p>
          <w:p w14:paraId="47799D03" w14:textId="77777777" w:rsidR="00C41E54" w:rsidRPr="00EB5562" w:rsidRDefault="00C41E54" w:rsidP="00C41E54"/>
        </w:tc>
      </w:tr>
    </w:tbl>
    <w:bookmarkEnd w:id="9"/>
    <w:p w14:paraId="638E0BF0" w14:textId="2579E80C" w:rsidR="00C41E54" w:rsidRPr="00EB5562" w:rsidRDefault="00C41E54" w:rsidP="00421CF4">
      <w:pPr>
        <w:jc w:val="right"/>
        <w:rPr>
          <w:i/>
          <w:iCs/>
        </w:rPr>
      </w:pPr>
      <w:r w:rsidRPr="00EB5562">
        <w:rPr>
          <w:b/>
          <w:bCs/>
          <w:i/>
          <w:iCs/>
        </w:rPr>
        <w:t>*</w:t>
      </w:r>
      <w:proofErr w:type="gramStart"/>
      <w:r w:rsidRPr="00EB5562">
        <w:rPr>
          <w:i/>
          <w:iCs/>
        </w:rPr>
        <w:t>tax</w:t>
      </w:r>
      <w:proofErr w:type="gramEnd"/>
      <w:r w:rsidRPr="00EB5562">
        <w:rPr>
          <w:i/>
          <w:iCs/>
        </w:rPr>
        <w:t xml:space="preserve"> agent only based service</w:t>
      </w:r>
    </w:p>
    <w:p w14:paraId="50C7DD90" w14:textId="1E8BC8E9" w:rsidR="00C41E54" w:rsidRPr="00EB5562" w:rsidRDefault="00C41E54" w:rsidP="00C41E54"/>
    <w:p w14:paraId="73A76630" w14:textId="3462C7E6" w:rsidR="00C41E54" w:rsidRPr="00EB5562" w:rsidRDefault="00A147C2" w:rsidP="00A147C2">
      <w:pPr>
        <w:pStyle w:val="Heading2"/>
      </w:pPr>
      <w:bookmarkStart w:id="10" w:name="_Toc170983938"/>
      <w:r w:rsidRPr="00EB5562">
        <w:lastRenderedPageBreak/>
        <w:t xml:space="preserve">2.3 Identifying the status of activity statements in </w:t>
      </w:r>
      <w:proofErr w:type="spellStart"/>
      <w:r w:rsidRPr="00EB5562">
        <w:t>LDG.list</w:t>
      </w:r>
      <w:proofErr w:type="spellEnd"/>
      <w:r w:rsidRPr="00EB5562">
        <w:t xml:space="preserve"> and ASLRPT</w:t>
      </w:r>
      <w:bookmarkEnd w:id="10"/>
    </w:p>
    <w:p w14:paraId="48BC5BF1" w14:textId="1482D4D0" w:rsidR="00A147C2" w:rsidRPr="00EB5562" w:rsidRDefault="00A147C2" w:rsidP="00A147C2">
      <w:r w:rsidRPr="00EB5562">
        <w:t xml:space="preserve">In AS.0001.2009.list, element </w:t>
      </w:r>
      <w:r w:rsidRPr="00EB5562">
        <w:rPr>
          <w:i/>
          <w:iCs/>
        </w:rPr>
        <w:t>AS30 Activity statement status</w:t>
      </w:r>
      <w:r w:rsidRPr="00EB5562">
        <w:t xml:space="preserve"> can be used by DSPs to determine if an Activity Statement is lodged or available for prefill and lodgment after the </w:t>
      </w:r>
      <w:hyperlink r:id="rId32" w:history="1">
        <w:r w:rsidR="009773FE" w:rsidRPr="00EB5562">
          <w:rPr>
            <w:rStyle w:val="Hyperlink"/>
            <w:noProof w:val="0"/>
          </w:rPr>
          <w:t>activity statement generate dates</w:t>
        </w:r>
      </w:hyperlink>
      <w:r w:rsidRPr="00EB5562">
        <w:t xml:space="preserve">. </w:t>
      </w:r>
    </w:p>
    <w:p w14:paraId="3DC94CFD" w14:textId="77777777" w:rsidR="00A147C2" w:rsidRPr="00EB5562" w:rsidRDefault="00A147C2" w:rsidP="00A147C2">
      <w:r w:rsidRPr="00EB5562">
        <w:t>Although the AS.</w:t>
      </w:r>
      <w:proofErr w:type="gramStart"/>
      <w:r w:rsidRPr="00EB5562">
        <w:t>0001.2009.list</w:t>
      </w:r>
      <w:proofErr w:type="gramEnd"/>
      <w:r w:rsidRPr="00EB5562">
        <w:t xml:space="preserve"> interaction is available, DSPs may choose to orchestrate LDG.0005.2023.list or ASLRPT.0002.2023.get to determine the status of an Activity Statement. The status values differ between services.</w:t>
      </w:r>
    </w:p>
    <w:p w14:paraId="453C22B6" w14:textId="6060E9A1" w:rsidR="00CA07B4" w:rsidRPr="00EB5562" w:rsidRDefault="00A147C2" w:rsidP="00A147C2">
      <w:r w:rsidRPr="00EB5562">
        <w:t>LDG.</w:t>
      </w:r>
      <w:proofErr w:type="gramStart"/>
      <w:r w:rsidRPr="00EB5562">
        <w:t>0005.2023.list</w:t>
      </w:r>
      <w:proofErr w:type="gramEnd"/>
      <w:r w:rsidRPr="00EB5562">
        <w:t xml:space="preserve"> response provides two separate statuses</w:t>
      </w:r>
      <w:r w:rsidR="00EA13D6">
        <w:t>:</w:t>
      </w:r>
      <w:r w:rsidRPr="00EB5562">
        <w:t xml:space="preserve"> </w:t>
      </w:r>
    </w:p>
    <w:p w14:paraId="0CCDE1FA" w14:textId="316BA8B2" w:rsidR="00CA07B4" w:rsidRPr="00EB5562" w:rsidRDefault="00A147C2" w:rsidP="00CA07B4">
      <w:pPr>
        <w:pStyle w:val="DotPointsList"/>
      </w:pPr>
      <w:r w:rsidRPr="00EB5562">
        <w:t xml:space="preserve">LDG31 Lodgment Status </w:t>
      </w:r>
    </w:p>
    <w:p w14:paraId="5E85EF3F" w14:textId="0A337B2D" w:rsidR="00CA07B4" w:rsidRPr="00EB5562" w:rsidRDefault="00A147C2" w:rsidP="00CA07B4">
      <w:pPr>
        <w:pStyle w:val="DotPointsList"/>
      </w:pPr>
      <w:r w:rsidRPr="00EB5562">
        <w:t xml:space="preserve">LDG59 Form Processing Status. </w:t>
      </w:r>
    </w:p>
    <w:p w14:paraId="4379CB0D" w14:textId="31AD403B" w:rsidR="00A147C2" w:rsidRPr="00EB5562" w:rsidRDefault="00A147C2" w:rsidP="00CA07B4">
      <w:r w:rsidRPr="00EB5562">
        <w:t xml:space="preserve">Both statuses </w:t>
      </w:r>
      <w:r w:rsidRPr="00EB5562">
        <w:rPr>
          <w:b/>
          <w:bCs/>
        </w:rPr>
        <w:t>should</w:t>
      </w:r>
      <w:r w:rsidRPr="00EB5562">
        <w:t xml:space="preserve"> be used together to determine the state of the Activity Statement. Activity Statements that are Generated (GEN), Held (HLD) or Discontinued (DISC) are no longer returned in the </w:t>
      </w:r>
      <w:proofErr w:type="spellStart"/>
      <w:r w:rsidRPr="00EB5562">
        <w:t>LDG.list</w:t>
      </w:r>
      <w:proofErr w:type="spellEnd"/>
      <w:r w:rsidRPr="00EB5562">
        <w:t xml:space="preserve"> 2023 service. The service will return Despatched or Cancelled AS.</w:t>
      </w:r>
      <w:r w:rsidRPr="00EB5562">
        <w:rPr>
          <w:i/>
          <w:iCs/>
        </w:rPr>
        <w:t xml:space="preserve"> </w:t>
      </w:r>
    </w:p>
    <w:p w14:paraId="326F795B" w14:textId="7DEDF7E1" w:rsidR="00A147C2" w:rsidRPr="00EB5562" w:rsidRDefault="00EF3DE9" w:rsidP="00A147C2">
      <w:pPr>
        <w:rPr>
          <w:b/>
          <w:bCs/>
        </w:rPr>
      </w:pPr>
      <w:r w:rsidRPr="00EB5562">
        <w:t>To</w:t>
      </w:r>
      <w:r w:rsidR="00A147C2" w:rsidRPr="00EB5562">
        <w:t xml:space="preserve"> determine the status of an Activity Statement</w:t>
      </w:r>
      <w:r w:rsidRPr="00EB5562">
        <w:t xml:space="preserve"> between services, refer to the below table. </w:t>
      </w:r>
    </w:p>
    <w:p w14:paraId="54BECD75" w14:textId="49D07C11" w:rsidR="00A147C2" w:rsidRPr="00EB5562" w:rsidRDefault="00A147C2" w:rsidP="00A147C2">
      <w:pPr>
        <w:pStyle w:val="Caption"/>
      </w:pPr>
      <w:bookmarkStart w:id="11" w:name="_Toc170981133"/>
      <w:r w:rsidRPr="00EB5562">
        <w:t xml:space="preserve">Table </w:t>
      </w:r>
      <w:fldSimple w:instr=" SEQ Table \* ARABIC ">
        <w:r w:rsidRPr="00EB5562">
          <w:rPr>
            <w:noProof/>
          </w:rPr>
          <w:t>3</w:t>
        </w:r>
      </w:fldSimple>
      <w:r w:rsidRPr="00EB5562">
        <w:t>: Activity Statement Status</w:t>
      </w:r>
      <w:bookmarkEnd w:id="11"/>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2129"/>
        <w:gridCol w:w="3544"/>
      </w:tblGrid>
      <w:tr w:rsidR="00A147C2" w:rsidRPr="00EB5562" w14:paraId="6DEB42DC" w14:textId="77777777" w:rsidTr="00421CF4">
        <w:trPr>
          <w:tblHeader/>
        </w:trPr>
        <w:tc>
          <w:tcPr>
            <w:tcW w:w="325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15FE8A3" w14:textId="77777777" w:rsidR="00A147C2" w:rsidRPr="00EB5562" w:rsidRDefault="00A147C2" w:rsidP="00A147C2">
            <w:pPr>
              <w:rPr>
                <w:b/>
              </w:rPr>
            </w:pPr>
            <w:r w:rsidRPr="00EB5562">
              <w:rPr>
                <w:b/>
              </w:rPr>
              <w:t>LDG31 Lodgment Status</w:t>
            </w:r>
          </w:p>
        </w:tc>
        <w:tc>
          <w:tcPr>
            <w:tcW w:w="2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76C8577" w14:textId="77777777" w:rsidR="00A147C2" w:rsidRPr="00EB5562" w:rsidRDefault="00A147C2" w:rsidP="00A147C2">
            <w:pPr>
              <w:rPr>
                <w:b/>
              </w:rPr>
            </w:pPr>
            <w:r w:rsidRPr="00EB5562">
              <w:rPr>
                <w:b/>
              </w:rPr>
              <w:t>LDG59 Form Processing</w:t>
            </w:r>
          </w:p>
        </w:tc>
        <w:tc>
          <w:tcPr>
            <w:tcW w:w="354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48EE50" w14:textId="77777777" w:rsidR="00A147C2" w:rsidRPr="00EB5562" w:rsidRDefault="00A147C2" w:rsidP="00A147C2">
            <w:pPr>
              <w:rPr>
                <w:b/>
              </w:rPr>
            </w:pPr>
            <w:r w:rsidRPr="00EB5562">
              <w:rPr>
                <w:b/>
              </w:rPr>
              <w:t>AS 2009 list equivalent status</w:t>
            </w:r>
          </w:p>
        </w:tc>
      </w:tr>
      <w:tr w:rsidR="00A147C2" w:rsidRPr="00EB5562" w14:paraId="49912CB6" w14:textId="77777777" w:rsidTr="00421CF4">
        <w:tc>
          <w:tcPr>
            <w:tcW w:w="3258" w:type="dxa"/>
            <w:tcBorders>
              <w:top w:val="single" w:sz="4" w:space="0" w:color="auto"/>
              <w:left w:val="single" w:sz="4" w:space="0" w:color="auto"/>
              <w:bottom w:val="single" w:sz="4" w:space="0" w:color="auto"/>
              <w:right w:val="single" w:sz="4" w:space="0" w:color="auto"/>
            </w:tcBorders>
            <w:hideMark/>
          </w:tcPr>
          <w:p w14:paraId="7570DCEB" w14:textId="77777777" w:rsidR="00A147C2" w:rsidRPr="00EB5562" w:rsidRDefault="00A147C2" w:rsidP="00A147C2">
            <w:r w:rsidRPr="00EB5562">
              <w:t>Not lodged</w:t>
            </w:r>
          </w:p>
        </w:tc>
        <w:tc>
          <w:tcPr>
            <w:tcW w:w="2129" w:type="dxa"/>
            <w:tcBorders>
              <w:top w:val="single" w:sz="4" w:space="0" w:color="auto"/>
              <w:left w:val="single" w:sz="4" w:space="0" w:color="auto"/>
              <w:bottom w:val="single" w:sz="4" w:space="0" w:color="auto"/>
              <w:right w:val="single" w:sz="4" w:space="0" w:color="auto"/>
            </w:tcBorders>
            <w:hideMark/>
          </w:tcPr>
          <w:p w14:paraId="05D80BE6" w14:textId="77777777" w:rsidR="00A147C2" w:rsidRPr="00EB5562" w:rsidRDefault="00A147C2" w:rsidP="00A147C2">
            <w:r w:rsidRPr="00EB5562">
              <w:t>Not returned</w:t>
            </w:r>
            <w:r w:rsidRPr="00EB5562">
              <w:rPr>
                <w:b/>
                <w:bCs/>
                <w:vertAlign w:val="superscript"/>
              </w:rPr>
              <w:t>*</w:t>
            </w:r>
          </w:p>
        </w:tc>
        <w:tc>
          <w:tcPr>
            <w:tcW w:w="3544" w:type="dxa"/>
            <w:tcBorders>
              <w:top w:val="single" w:sz="4" w:space="0" w:color="auto"/>
              <w:left w:val="single" w:sz="4" w:space="0" w:color="auto"/>
              <w:bottom w:val="single" w:sz="4" w:space="0" w:color="auto"/>
              <w:right w:val="single" w:sz="4" w:space="0" w:color="auto"/>
            </w:tcBorders>
            <w:hideMark/>
          </w:tcPr>
          <w:p w14:paraId="4C4D3904" w14:textId="77777777" w:rsidR="00A147C2" w:rsidRPr="00EB5562" w:rsidRDefault="00A147C2" w:rsidP="00A147C2">
            <w:r w:rsidRPr="00EB5562">
              <w:t>Despatched</w:t>
            </w:r>
          </w:p>
        </w:tc>
      </w:tr>
      <w:tr w:rsidR="00A147C2" w:rsidRPr="00EB5562" w14:paraId="54FE03B3" w14:textId="77777777" w:rsidTr="00421CF4">
        <w:tc>
          <w:tcPr>
            <w:tcW w:w="3258" w:type="dxa"/>
            <w:tcBorders>
              <w:top w:val="single" w:sz="4" w:space="0" w:color="auto"/>
              <w:left w:val="single" w:sz="4" w:space="0" w:color="auto"/>
              <w:bottom w:val="single" w:sz="4" w:space="0" w:color="auto"/>
              <w:right w:val="single" w:sz="4" w:space="0" w:color="auto"/>
            </w:tcBorders>
            <w:hideMark/>
          </w:tcPr>
          <w:p w14:paraId="616D2F49" w14:textId="77777777" w:rsidR="00A147C2" w:rsidRPr="00EB5562" w:rsidRDefault="00A147C2" w:rsidP="00A147C2">
            <w:r w:rsidRPr="00EB5562">
              <w:t>Not lodged</w:t>
            </w:r>
          </w:p>
        </w:tc>
        <w:tc>
          <w:tcPr>
            <w:tcW w:w="2129" w:type="dxa"/>
            <w:tcBorders>
              <w:top w:val="single" w:sz="4" w:space="0" w:color="auto"/>
              <w:left w:val="single" w:sz="4" w:space="0" w:color="auto"/>
              <w:bottom w:val="single" w:sz="4" w:space="0" w:color="auto"/>
              <w:right w:val="single" w:sz="4" w:space="0" w:color="auto"/>
            </w:tcBorders>
            <w:hideMark/>
          </w:tcPr>
          <w:p w14:paraId="34BBF650" w14:textId="77777777" w:rsidR="00A147C2" w:rsidRPr="00EB5562" w:rsidRDefault="00A147C2" w:rsidP="00A147C2">
            <w:r w:rsidRPr="00EB5562">
              <w:t>Cancelled</w:t>
            </w:r>
          </w:p>
        </w:tc>
        <w:tc>
          <w:tcPr>
            <w:tcW w:w="3544" w:type="dxa"/>
            <w:tcBorders>
              <w:top w:val="single" w:sz="4" w:space="0" w:color="auto"/>
              <w:left w:val="single" w:sz="4" w:space="0" w:color="auto"/>
              <w:bottom w:val="single" w:sz="4" w:space="0" w:color="auto"/>
              <w:right w:val="single" w:sz="4" w:space="0" w:color="auto"/>
            </w:tcBorders>
          </w:tcPr>
          <w:p w14:paraId="29E51908" w14:textId="77777777" w:rsidR="00A147C2" w:rsidRPr="00EB5562" w:rsidRDefault="00A147C2" w:rsidP="00A147C2">
            <w:r w:rsidRPr="00EB5562">
              <w:t>Cancelled</w:t>
            </w:r>
          </w:p>
        </w:tc>
      </w:tr>
      <w:tr w:rsidR="00A147C2" w:rsidRPr="00EB5562" w14:paraId="60D059AA" w14:textId="77777777" w:rsidTr="00421CF4">
        <w:tc>
          <w:tcPr>
            <w:tcW w:w="3258" w:type="dxa"/>
            <w:tcBorders>
              <w:top w:val="single" w:sz="4" w:space="0" w:color="auto"/>
              <w:left w:val="single" w:sz="4" w:space="0" w:color="auto"/>
              <w:bottom w:val="single" w:sz="4" w:space="0" w:color="auto"/>
              <w:right w:val="single" w:sz="4" w:space="0" w:color="auto"/>
            </w:tcBorders>
            <w:hideMark/>
          </w:tcPr>
          <w:p w14:paraId="2FE0C1EB" w14:textId="77777777" w:rsidR="00A147C2" w:rsidRPr="00EB5562" w:rsidRDefault="00A147C2" w:rsidP="00A147C2">
            <w:r w:rsidRPr="00EB5562">
              <w:t>Lodged</w:t>
            </w:r>
          </w:p>
        </w:tc>
        <w:tc>
          <w:tcPr>
            <w:tcW w:w="2129" w:type="dxa"/>
            <w:tcBorders>
              <w:top w:val="single" w:sz="4" w:space="0" w:color="auto"/>
              <w:left w:val="single" w:sz="4" w:space="0" w:color="auto"/>
              <w:bottom w:val="single" w:sz="4" w:space="0" w:color="auto"/>
              <w:right w:val="single" w:sz="4" w:space="0" w:color="auto"/>
            </w:tcBorders>
            <w:hideMark/>
          </w:tcPr>
          <w:p w14:paraId="5C7C30AE" w14:textId="77777777" w:rsidR="00A147C2" w:rsidRPr="00EB5562" w:rsidRDefault="00A147C2" w:rsidP="00A147C2">
            <w:r w:rsidRPr="00EB5562">
              <w:t>Suspended</w:t>
            </w:r>
          </w:p>
        </w:tc>
        <w:tc>
          <w:tcPr>
            <w:tcW w:w="3544" w:type="dxa"/>
            <w:tcBorders>
              <w:top w:val="single" w:sz="4" w:space="0" w:color="auto"/>
              <w:left w:val="single" w:sz="4" w:space="0" w:color="auto"/>
              <w:bottom w:val="single" w:sz="4" w:space="0" w:color="auto"/>
              <w:right w:val="single" w:sz="4" w:space="0" w:color="auto"/>
            </w:tcBorders>
            <w:hideMark/>
          </w:tcPr>
          <w:p w14:paraId="23647B06" w14:textId="77777777" w:rsidR="00A147C2" w:rsidRPr="00EB5562" w:rsidRDefault="00A147C2" w:rsidP="00A147C2">
            <w:r w:rsidRPr="00EB5562">
              <w:t>Received</w:t>
            </w:r>
          </w:p>
        </w:tc>
      </w:tr>
      <w:tr w:rsidR="00A147C2" w:rsidRPr="00EB5562" w14:paraId="013A309F" w14:textId="77777777" w:rsidTr="00421CF4">
        <w:tc>
          <w:tcPr>
            <w:tcW w:w="3258" w:type="dxa"/>
            <w:tcBorders>
              <w:top w:val="single" w:sz="4" w:space="0" w:color="auto"/>
              <w:left w:val="single" w:sz="4" w:space="0" w:color="auto"/>
              <w:bottom w:val="single" w:sz="4" w:space="0" w:color="auto"/>
              <w:right w:val="single" w:sz="4" w:space="0" w:color="auto"/>
            </w:tcBorders>
          </w:tcPr>
          <w:p w14:paraId="340CA959" w14:textId="77777777" w:rsidR="00A147C2" w:rsidRPr="00EB5562" w:rsidRDefault="00A147C2" w:rsidP="00A147C2">
            <w:r w:rsidRPr="00EB5562">
              <w:t>Lodged</w:t>
            </w:r>
          </w:p>
        </w:tc>
        <w:tc>
          <w:tcPr>
            <w:tcW w:w="2129" w:type="dxa"/>
            <w:tcBorders>
              <w:top w:val="single" w:sz="4" w:space="0" w:color="auto"/>
              <w:left w:val="single" w:sz="4" w:space="0" w:color="auto"/>
              <w:bottom w:val="single" w:sz="4" w:space="0" w:color="auto"/>
              <w:right w:val="single" w:sz="4" w:space="0" w:color="auto"/>
            </w:tcBorders>
          </w:tcPr>
          <w:p w14:paraId="64C985F5" w14:textId="77777777" w:rsidR="00A147C2" w:rsidRPr="00EB5562" w:rsidRDefault="00A147C2" w:rsidP="00A147C2">
            <w:r w:rsidRPr="00EB5562">
              <w:t>Processed</w:t>
            </w:r>
          </w:p>
        </w:tc>
        <w:tc>
          <w:tcPr>
            <w:tcW w:w="3544" w:type="dxa"/>
            <w:tcBorders>
              <w:top w:val="single" w:sz="4" w:space="0" w:color="auto"/>
              <w:left w:val="single" w:sz="4" w:space="0" w:color="auto"/>
              <w:bottom w:val="single" w:sz="4" w:space="0" w:color="auto"/>
              <w:right w:val="single" w:sz="4" w:space="0" w:color="auto"/>
            </w:tcBorders>
          </w:tcPr>
          <w:p w14:paraId="222504E9" w14:textId="77777777" w:rsidR="00A147C2" w:rsidRPr="00EB5562" w:rsidRDefault="00A147C2" w:rsidP="00A147C2">
            <w:r w:rsidRPr="00EB5562">
              <w:t>Finalised</w:t>
            </w:r>
          </w:p>
        </w:tc>
      </w:tr>
    </w:tbl>
    <w:p w14:paraId="2CDDE250" w14:textId="3C6CF8A0" w:rsidR="00A147C2" w:rsidRPr="00EB5562" w:rsidRDefault="00A147C2" w:rsidP="00421CF4">
      <w:pPr>
        <w:ind w:left="5760" w:firstLine="720"/>
        <w:jc w:val="right"/>
        <w:rPr>
          <w:i/>
          <w:iCs/>
        </w:rPr>
      </w:pPr>
      <w:r w:rsidRPr="00EB5562">
        <w:rPr>
          <w:b/>
          <w:bCs/>
          <w:i/>
          <w:iCs/>
        </w:rPr>
        <w:t>*</w:t>
      </w:r>
      <w:r w:rsidRPr="00EB5562">
        <w:rPr>
          <w:i/>
          <w:iCs/>
        </w:rPr>
        <w:t>Field not returned.</w:t>
      </w:r>
    </w:p>
    <w:p w14:paraId="160AFDCD" w14:textId="5AC5ACA4" w:rsidR="00A147C2" w:rsidRPr="00EB5562" w:rsidRDefault="003964A7" w:rsidP="00A147C2">
      <w:r w:rsidRPr="00EB5562">
        <w:br/>
      </w:r>
      <w:r w:rsidR="00A147C2" w:rsidRPr="00EB5562">
        <w:t xml:space="preserve">ASLRPT only returns </w:t>
      </w:r>
      <w:proofErr w:type="spellStart"/>
      <w:r w:rsidR="00A147C2" w:rsidRPr="00EB5562">
        <w:t>unlodged</w:t>
      </w:r>
      <w:proofErr w:type="spellEnd"/>
      <w:r w:rsidR="00A147C2" w:rsidRPr="00EB5562">
        <w:t xml:space="preserve"> Activity Statements. In ASLRPT 2023, the service returns the same statuses used in AS.2009.list</w:t>
      </w:r>
      <w:r w:rsidR="00EF3DE9" w:rsidRPr="00EB5562">
        <w:t>.</w:t>
      </w:r>
      <w:r w:rsidR="00A147C2" w:rsidRPr="00EB5562">
        <w:t xml:space="preserve"> </w:t>
      </w:r>
      <w:r w:rsidR="00A147C2" w:rsidRPr="00EB5562">
        <w:rPr>
          <w:i/>
          <w:iCs/>
        </w:rPr>
        <w:t>ASLRPT20 Status</w:t>
      </w:r>
      <w:r w:rsidR="00A147C2" w:rsidRPr="00EB5562">
        <w:t xml:space="preserve"> will only return values of:</w:t>
      </w:r>
    </w:p>
    <w:p w14:paraId="3EB7631C" w14:textId="77777777" w:rsidR="00A147C2" w:rsidRPr="00EB5562" w:rsidRDefault="00A147C2" w:rsidP="00421CF4">
      <w:pPr>
        <w:pStyle w:val="DotPointsList"/>
      </w:pPr>
      <w:r w:rsidRPr="00EB5562">
        <w:t>DSP - Despatched</w:t>
      </w:r>
    </w:p>
    <w:p w14:paraId="77C6D400" w14:textId="2D4B5FAF" w:rsidR="00A147C2" w:rsidRPr="00EB5562" w:rsidRDefault="00A147C2" w:rsidP="00421CF4">
      <w:pPr>
        <w:pStyle w:val="DotPointsList"/>
      </w:pPr>
      <w:r w:rsidRPr="00EB5562">
        <w:t xml:space="preserve">HLD </w:t>
      </w:r>
      <w:r w:rsidR="003B3B3B" w:rsidRPr="00EB5562">
        <w:t>–</w:t>
      </w:r>
      <w:r w:rsidRPr="00EB5562">
        <w:t xml:space="preserve"> Held</w:t>
      </w:r>
      <w:r w:rsidR="003B3B3B" w:rsidRPr="00EB5562">
        <w:t>.</w:t>
      </w:r>
    </w:p>
    <w:p w14:paraId="21BFF2AC" w14:textId="77777777" w:rsidR="00A147C2" w:rsidRPr="00EB5562" w:rsidRDefault="00A147C2" w:rsidP="00A147C2">
      <w:r w:rsidRPr="00EB5562">
        <w:t xml:space="preserve">Activity statements in a status of held are unable to be prefilled or lodged. </w:t>
      </w:r>
    </w:p>
    <w:p w14:paraId="08C3E0FA" w14:textId="77777777" w:rsidR="00A147C2" w:rsidRPr="00EB5562" w:rsidRDefault="00A147C2" w:rsidP="00C41E54"/>
    <w:p w14:paraId="2C6CB73B" w14:textId="5AF8B100" w:rsidR="00A147C2" w:rsidRPr="00EB5562" w:rsidRDefault="00A147C2" w:rsidP="00A147C2">
      <w:pPr>
        <w:pStyle w:val="Heading2"/>
      </w:pPr>
      <w:bookmarkStart w:id="12" w:name="_Toc170983939"/>
      <w:r w:rsidRPr="00EB5562">
        <w:lastRenderedPageBreak/>
        <w:t>2.4 ATO Finalised or ATO processed Activity Statements</w:t>
      </w:r>
      <w:bookmarkEnd w:id="12"/>
    </w:p>
    <w:p w14:paraId="15F3882B" w14:textId="77777777" w:rsidR="00A147C2" w:rsidRPr="00EB5562" w:rsidRDefault="00A147C2" w:rsidP="00A147C2">
      <w:pPr>
        <w:rPr>
          <w:b/>
          <w:bCs/>
        </w:rPr>
      </w:pPr>
      <w:r w:rsidRPr="00EB5562">
        <w:rPr>
          <w:b/>
          <w:bCs/>
        </w:rPr>
        <w:t>Activity Statement Lodgment Reminders for employers:</w:t>
      </w:r>
    </w:p>
    <w:p w14:paraId="3ABBA107" w14:textId="400611FA" w:rsidR="00A147C2" w:rsidRPr="00EB5562" w:rsidRDefault="00A147C2" w:rsidP="00A147C2">
      <w:r w:rsidRPr="00EB5562">
        <w:t xml:space="preserve">We’ve introduced a new activity statement lodgment reminder for employers who report PAYG withholding through Single Touch Payroll (currently undergoing a pilot). See: </w:t>
      </w:r>
      <w:hyperlink r:id="rId33" w:history="1">
        <w:r w:rsidR="009773FE" w:rsidRPr="00EB5562">
          <w:rPr>
            <w:rStyle w:val="Hyperlink"/>
            <w:noProof w:val="0"/>
          </w:rPr>
          <w:t>Lodgment reminder pilot</w:t>
        </w:r>
      </w:hyperlink>
      <w:r w:rsidRPr="00EB5562">
        <w:rPr>
          <w:u w:val="single"/>
        </w:rPr>
        <w:t xml:space="preserve"> </w:t>
      </w:r>
      <w:r w:rsidRPr="00EB5562">
        <w:t>for more information.</w:t>
      </w:r>
      <w:r w:rsidR="00EF3DE9" w:rsidRPr="00EB5562">
        <w:br/>
      </w:r>
    </w:p>
    <w:p w14:paraId="66F8DB06" w14:textId="6074F10B" w:rsidR="00A147C2" w:rsidRPr="00EB5562" w:rsidRDefault="00A147C2" w:rsidP="00A147C2">
      <w:pPr>
        <w:rPr>
          <w:b/>
          <w:bCs/>
        </w:rPr>
      </w:pPr>
      <w:r w:rsidRPr="00EB5562">
        <w:rPr>
          <w:b/>
          <w:bCs/>
        </w:rPr>
        <w:t>ATO finalised – review and revise if required:</w:t>
      </w:r>
    </w:p>
    <w:p w14:paraId="73F75742" w14:textId="77777777" w:rsidR="00A147C2" w:rsidRPr="00EB5562" w:rsidRDefault="00A147C2" w:rsidP="00A147C2">
      <w:r w:rsidRPr="00EB5562">
        <w:t xml:space="preserve">The </w:t>
      </w:r>
      <w:proofErr w:type="spellStart"/>
      <w:r w:rsidRPr="00EB5562">
        <w:t>LDG.list</w:t>
      </w:r>
      <w:proofErr w:type="spellEnd"/>
      <w:r w:rsidRPr="00EB5562">
        <w:t xml:space="preserve"> service may be used to provide an employer or their agent visibility of Activity Statements the ATO has finalised in ATO systems, using PAYG withholding amounts reported through STP and any pre-filled instalment amounts (GSTI or PAYGI amount method only): </w:t>
      </w:r>
    </w:p>
    <w:p w14:paraId="72DB7642" w14:textId="77777777" w:rsidR="00A147C2" w:rsidRPr="00EB5562" w:rsidRDefault="00A147C2" w:rsidP="00A147C2">
      <w:pPr>
        <w:pStyle w:val="DotPointsList"/>
      </w:pPr>
      <w:r w:rsidRPr="00EB5562">
        <w:t>[LDG31] Lodgment status is returned as ‘Lodged’</w:t>
      </w:r>
    </w:p>
    <w:p w14:paraId="6854C8C5" w14:textId="77777777" w:rsidR="00A147C2" w:rsidRPr="00EB5562" w:rsidRDefault="00A147C2" w:rsidP="00A147C2">
      <w:pPr>
        <w:pStyle w:val="DotPointsList"/>
      </w:pPr>
      <w:r w:rsidRPr="00EB5562">
        <w:t>[LDG59] Form processing status is returned as Processed’</w:t>
      </w:r>
    </w:p>
    <w:p w14:paraId="02463F3E" w14:textId="727C3D81" w:rsidR="00A147C2" w:rsidRPr="00EB5562" w:rsidRDefault="00A147C2" w:rsidP="00A147C2">
      <w:pPr>
        <w:pStyle w:val="DotPointsList"/>
      </w:pPr>
      <w:r w:rsidRPr="00EB5562">
        <w:t>[LDG75] Lodgment channel is returned as ‘STP Reporter Finalised’</w:t>
      </w:r>
      <w:r w:rsidR="003B3B3B" w:rsidRPr="00EB5562">
        <w:t>.</w:t>
      </w:r>
    </w:p>
    <w:p w14:paraId="5EC02788" w14:textId="6404DDE6" w:rsidR="00A147C2" w:rsidRPr="00EB5562" w:rsidRDefault="00A147C2" w:rsidP="00A147C2">
      <w:r w:rsidRPr="00EB5562">
        <w:t xml:space="preserve">The ATO will consider the Activity Statement finalised and the employer should pay any amounts outstanding. If required employers can revise their Activity Statement to </w:t>
      </w:r>
      <w:hyperlink r:id="rId34" w:history="1">
        <w:r w:rsidRPr="00EB5562">
          <w:rPr>
            <w:rStyle w:val="Hyperlink"/>
            <w:noProof w:val="0"/>
          </w:rPr>
          <w:t>fix BAS mistakes or make adjustments</w:t>
        </w:r>
      </w:hyperlink>
      <w:r w:rsidRPr="00EB5562">
        <w:rPr>
          <w:u w:val="single"/>
        </w:rPr>
        <w:t xml:space="preserve">. </w:t>
      </w:r>
      <w:r w:rsidRPr="00EB5562">
        <w:t xml:space="preserve">DSPs should refer to </w:t>
      </w:r>
      <w:hyperlink r:id="rId35" w:history="1">
        <w:r w:rsidRPr="00EB5562">
          <w:rPr>
            <w:rStyle w:val="Hyperlink"/>
            <w:noProof w:val="0"/>
          </w:rPr>
          <w:t xml:space="preserve">AS </w:t>
        </w:r>
        <w:r w:rsidR="00EF3DE9" w:rsidRPr="00EB5562">
          <w:rPr>
            <w:rStyle w:val="Hyperlink"/>
            <w:noProof w:val="0"/>
          </w:rPr>
          <w:t>2023</w:t>
        </w:r>
        <w:r w:rsidRPr="00EB5562">
          <w:rPr>
            <w:rStyle w:val="Hyperlink"/>
            <w:noProof w:val="0"/>
          </w:rPr>
          <w:t xml:space="preserve"> Business implementation guide</w:t>
        </w:r>
      </w:hyperlink>
      <w:r w:rsidRPr="00EB5562">
        <w:t xml:space="preserve"> for further information.</w:t>
      </w:r>
      <w:r w:rsidR="00EF3DE9" w:rsidRPr="00EB5562">
        <w:br/>
      </w:r>
    </w:p>
    <w:p w14:paraId="0CB97B01" w14:textId="77777777" w:rsidR="00A147C2" w:rsidRPr="00EB5562" w:rsidRDefault="00A147C2" w:rsidP="00A147C2">
      <w:pPr>
        <w:rPr>
          <w:b/>
          <w:bCs/>
        </w:rPr>
      </w:pPr>
      <w:r w:rsidRPr="00EB5562">
        <w:rPr>
          <w:b/>
          <w:bCs/>
        </w:rPr>
        <w:t>ATO processed - requires action – review and lodge to complete:</w:t>
      </w:r>
    </w:p>
    <w:p w14:paraId="42B08CBC" w14:textId="77777777" w:rsidR="00A147C2" w:rsidRPr="00EB5562" w:rsidRDefault="00A147C2" w:rsidP="00A147C2">
      <w:r w:rsidRPr="00EB5562">
        <w:t xml:space="preserve">The Lodgment List service may be used to provide an employer or their agent visibility of outstanding and overdue activity statements where the ATO has added amounts we have on record, to the client’s integrated account: </w:t>
      </w:r>
    </w:p>
    <w:p w14:paraId="0A13EB0E" w14:textId="77777777" w:rsidR="00A147C2" w:rsidRPr="00EB5562" w:rsidRDefault="00A147C2" w:rsidP="00A147C2">
      <w:pPr>
        <w:pStyle w:val="DotPointsList"/>
      </w:pPr>
      <w:r w:rsidRPr="00EB5562">
        <w:t>[LDG31] Lodgment status is returned as ‘Not Lodged’</w:t>
      </w:r>
    </w:p>
    <w:p w14:paraId="392D3AFF" w14:textId="77777777" w:rsidR="00A147C2" w:rsidRPr="00EB5562" w:rsidRDefault="00A147C2" w:rsidP="00A147C2">
      <w:pPr>
        <w:pStyle w:val="DotPointsList"/>
      </w:pPr>
      <w:r w:rsidRPr="00EB5562">
        <w:t>[LDG59] Form processing status is not returned</w:t>
      </w:r>
    </w:p>
    <w:p w14:paraId="208E466A" w14:textId="1D301029" w:rsidR="00A147C2" w:rsidRPr="00EB5562" w:rsidRDefault="00A147C2" w:rsidP="00A147C2">
      <w:pPr>
        <w:pStyle w:val="DotPointsList"/>
      </w:pPr>
      <w:r w:rsidRPr="00EB5562">
        <w:t>[LDG77] ATO processed liabilities for an STP reporter’s Activity Statements – ‘True’</w:t>
      </w:r>
      <w:r w:rsidR="003B3B3B" w:rsidRPr="00EB5562">
        <w:t>.</w:t>
      </w:r>
    </w:p>
    <w:p w14:paraId="0D301F30" w14:textId="77777777" w:rsidR="00A147C2" w:rsidRPr="00EB5562" w:rsidRDefault="00A147C2" w:rsidP="00A147C2">
      <w:r w:rsidRPr="00EB5562">
        <w:t>Amounts we have on record may include PAYG withholding reported through STP and any pre-filled instalment amounts (GSTI or PAYGI amount method only).</w:t>
      </w:r>
    </w:p>
    <w:p w14:paraId="0A291D47" w14:textId="77777777" w:rsidR="00A147C2" w:rsidRPr="00EB5562" w:rsidRDefault="00A147C2" w:rsidP="00A147C2">
      <w:r w:rsidRPr="00EB5562">
        <w:t>The employer must complete their activity statement, correct amounts if required and lodge. When editing activity statement amounts, employers should ensure they report their complete, correct amounts (not adjustments). When the activity statement is successfully lodged, the ATO will update their integrated client account to reflect the correct amount.</w:t>
      </w:r>
    </w:p>
    <w:p w14:paraId="11AB2EB6" w14:textId="6F2BAA32" w:rsidR="00A147C2" w:rsidRPr="00EB5562" w:rsidRDefault="00A147C2" w:rsidP="00A147C2"/>
    <w:p w14:paraId="792D3533" w14:textId="565EDB3D" w:rsidR="00A147C2" w:rsidRPr="00EB5562" w:rsidRDefault="00A147C2" w:rsidP="00A147C2"/>
    <w:p w14:paraId="100D9ACA" w14:textId="77777777" w:rsidR="00A147C2" w:rsidRPr="00EB5562" w:rsidRDefault="00A147C2" w:rsidP="00A147C2"/>
    <w:p w14:paraId="6F2AD801" w14:textId="06C43965" w:rsidR="006F22A5" w:rsidRPr="00EB5562" w:rsidRDefault="00092323" w:rsidP="00092323">
      <w:pPr>
        <w:pStyle w:val="Heading1"/>
      </w:pPr>
      <w:bookmarkStart w:id="13" w:name="_Toc170983940"/>
      <w:r w:rsidRPr="00EB5562">
        <w:lastRenderedPageBreak/>
        <w:t xml:space="preserve">3. </w:t>
      </w:r>
      <w:r w:rsidR="006F22A5" w:rsidRPr="00EB5562">
        <w:t>Authorisation</w:t>
      </w:r>
      <w:bookmarkEnd w:id="13"/>
    </w:p>
    <w:p w14:paraId="59ADA30F" w14:textId="32DBDB85" w:rsidR="006F22A5" w:rsidRPr="00EB5562" w:rsidRDefault="00092323" w:rsidP="00092323">
      <w:pPr>
        <w:pStyle w:val="Heading2"/>
      </w:pPr>
      <w:bookmarkStart w:id="14" w:name="_Toc170983941"/>
      <w:r w:rsidRPr="00EB5562">
        <w:t xml:space="preserve">3.1 </w:t>
      </w:r>
      <w:r w:rsidR="006F22A5" w:rsidRPr="00EB5562">
        <w:t>Intermediary relationship</w:t>
      </w:r>
      <w:bookmarkEnd w:id="14"/>
    </w:p>
    <w:p w14:paraId="05DE3F58" w14:textId="6A85F1A8" w:rsidR="00A147C2" w:rsidRPr="00EB5562" w:rsidRDefault="00A147C2" w:rsidP="00A147C2">
      <w:r w:rsidRPr="00EB5562">
        <w:t>The type of SBR services an intermediary can use on behalf of their clients depends on the activity being undertaken and whether the intermediary has a</w:t>
      </w:r>
      <w:r w:rsidR="00EF3DE9" w:rsidRPr="00EB5562">
        <w:t xml:space="preserve"> </w:t>
      </w:r>
      <w:r w:rsidR="00EA13D6" w:rsidRPr="00EB5562">
        <w:t>recognised</w:t>
      </w:r>
      <w:r w:rsidR="00EF3DE9" w:rsidRPr="00EB5562">
        <w:t xml:space="preserve"> </w:t>
      </w:r>
      <w:r w:rsidRPr="00EB5562">
        <w:t>relationship with the client. That is, an intermediary has the appropriate authorisation for the interaction being performed on behalf of the taxpayer, as recorded in ATO systems.</w:t>
      </w:r>
    </w:p>
    <w:p w14:paraId="7833A3CA" w14:textId="176111C5" w:rsidR="00A147C2" w:rsidRPr="00EB5562" w:rsidRDefault="00EF3DE9" w:rsidP="00A147C2">
      <w:r w:rsidRPr="00EB5562">
        <w:t xml:space="preserve">For </w:t>
      </w:r>
      <w:r w:rsidR="00A147C2" w:rsidRPr="00EB5562">
        <w:t>lodgment interactions, a business intermediary must be appointed by the business in Access Manager to use the available services on their behalf.</w:t>
      </w:r>
      <w:r w:rsidRPr="00EB5562">
        <w:t xml:space="preserve"> </w:t>
      </w:r>
      <w:r w:rsidR="00A147C2" w:rsidRPr="00EB5562">
        <w:t>The tax agent to taxpayer relationship is a fundamental precondition to interacting with SBR for ATO lodgment service interactions.</w:t>
      </w:r>
    </w:p>
    <w:p w14:paraId="48E42A8F" w14:textId="3ECF3EB9" w:rsidR="00A147C2" w:rsidRPr="00EB5562" w:rsidRDefault="00A147C2" w:rsidP="00421CF4">
      <w:r w:rsidRPr="00EB5562">
        <w:rPr>
          <w:b/>
        </w:rPr>
        <w:t>Note</w:t>
      </w:r>
      <w:r w:rsidRPr="00EB5562">
        <w:t xml:space="preserve">: If the relationship doesn’t exist, the Client Update Relationship (CUREL) service can be used to establish the relationship between the intermediary and the taxpayer. See the </w:t>
      </w:r>
      <w:hyperlink r:id="rId36" w:history="1">
        <w:r w:rsidRPr="00EB5562">
          <w:rPr>
            <w:rStyle w:val="Hyperlink"/>
            <w:noProof w:val="0"/>
          </w:rPr>
          <w:t>Client Update Relationship Business Implementation Guide</w:t>
        </w:r>
      </w:hyperlink>
      <w:r w:rsidR="0003089C" w:rsidRPr="00EB5562">
        <w:t xml:space="preserve">, </w:t>
      </w:r>
      <w:r w:rsidRPr="00EB5562">
        <w:t xml:space="preserve">the </w:t>
      </w:r>
      <w:hyperlink r:id="rId37" w:history="1">
        <w:r w:rsidRPr="00EB5562">
          <w:rPr>
            <w:rStyle w:val="Hyperlink"/>
            <w:noProof w:val="0"/>
          </w:rPr>
          <w:t>ATO SBR Service Registry</w:t>
        </w:r>
      </w:hyperlink>
      <w:r w:rsidRPr="00EB5562">
        <w:t xml:space="preserve"> </w:t>
      </w:r>
      <w:r w:rsidR="0003089C" w:rsidRPr="00EB5562">
        <w:t xml:space="preserve">and </w:t>
      </w:r>
      <w:hyperlink r:id="rId38" w:history="1">
        <w:r w:rsidR="0003089C" w:rsidRPr="00EB5562">
          <w:rPr>
            <w:rStyle w:val="Hyperlink"/>
            <w:noProof w:val="0"/>
          </w:rPr>
          <w:t>SBR website</w:t>
        </w:r>
      </w:hyperlink>
      <w:r w:rsidR="0003089C" w:rsidRPr="00EB5562">
        <w:t xml:space="preserve"> for more information. </w:t>
      </w:r>
    </w:p>
    <w:p w14:paraId="4E6E2D50" w14:textId="77777777" w:rsidR="00A147C2" w:rsidRPr="00EB5562" w:rsidRDefault="00A147C2" w:rsidP="00A147C2"/>
    <w:p w14:paraId="6DC2FFC2" w14:textId="63001D03" w:rsidR="006F22A5" w:rsidRPr="00EB5562" w:rsidRDefault="00092323" w:rsidP="00092323">
      <w:pPr>
        <w:pStyle w:val="Heading1"/>
      </w:pPr>
      <w:bookmarkStart w:id="15" w:name="_Toc170983942"/>
      <w:r w:rsidRPr="00EB5562">
        <w:lastRenderedPageBreak/>
        <w:t xml:space="preserve">4. </w:t>
      </w:r>
      <w:r w:rsidR="006F22A5" w:rsidRPr="00EB5562">
        <w:t>Constraints and known issues</w:t>
      </w:r>
      <w:bookmarkEnd w:id="15"/>
    </w:p>
    <w:p w14:paraId="6CDAB11B" w14:textId="22141EB0" w:rsidR="006F22A5" w:rsidRPr="00EB5562" w:rsidRDefault="00092323" w:rsidP="00092323">
      <w:pPr>
        <w:pStyle w:val="Heading2"/>
      </w:pPr>
      <w:bookmarkStart w:id="16" w:name="_Toc170983943"/>
      <w:r w:rsidRPr="00EB5562">
        <w:t>4.</w:t>
      </w:r>
      <w:r w:rsidR="00F7608A" w:rsidRPr="00EB5562">
        <w:t>1</w:t>
      </w:r>
      <w:r w:rsidRPr="00EB5562">
        <w:t xml:space="preserve"> </w:t>
      </w:r>
      <w:r w:rsidR="006F22A5" w:rsidRPr="00EB5562">
        <w:t>Usage restrictions</w:t>
      </w:r>
      <w:bookmarkEnd w:id="16"/>
    </w:p>
    <w:p w14:paraId="1CC94DED" w14:textId="4ACE4785" w:rsidR="006F22A5" w:rsidRPr="00EB5562" w:rsidRDefault="006F22A5" w:rsidP="006F22A5">
      <w:r w:rsidRPr="00EB5562">
        <w:t xml:space="preserve">Digital Service Providers (DSPs) must be aware of the usage restrictions, which are described within the </w:t>
      </w:r>
      <w:hyperlink r:id="rId39" w:history="1">
        <w:r w:rsidRPr="00EB5562">
          <w:rPr>
            <w:rStyle w:val="Hyperlink"/>
            <w:noProof w:val="0"/>
          </w:rPr>
          <w:t>Reasonable Use policy</w:t>
        </w:r>
      </w:hyperlink>
      <w:r w:rsidRPr="00EB5562">
        <w:t>. The ATO actively monitors the use of services and will notify DSPs that contravene this policy. Continued breaches may result in de-whitelisting.</w:t>
      </w:r>
    </w:p>
    <w:p w14:paraId="669AA61C" w14:textId="524D778C" w:rsidR="00A147C2" w:rsidRPr="00EB5562" w:rsidRDefault="00A147C2" w:rsidP="00E21113">
      <w:pPr>
        <w:pStyle w:val="Heading2"/>
      </w:pPr>
      <w:bookmarkStart w:id="17" w:name="_Toc170983944"/>
      <w:r w:rsidRPr="00EB5562">
        <w:t>4.2 Known Issues</w:t>
      </w:r>
      <w:bookmarkEnd w:id="17"/>
    </w:p>
    <w:p w14:paraId="404902C7" w14:textId="51653A7D" w:rsidR="00E21113" w:rsidRPr="00EB5562" w:rsidRDefault="00E21113" w:rsidP="00A147C2">
      <w:r w:rsidRPr="00EB5562">
        <w:t>There are no known issues when using this service.</w:t>
      </w:r>
    </w:p>
    <w:p w14:paraId="194CFC28" w14:textId="2FA61347" w:rsidR="006F22A5" w:rsidRPr="00EB5562" w:rsidRDefault="00B27870" w:rsidP="00E21113">
      <w:pPr>
        <w:pStyle w:val="Heading1"/>
      </w:pPr>
      <w:bookmarkStart w:id="18" w:name="_Toc170983945"/>
      <w:r w:rsidRPr="00EB5562">
        <w:lastRenderedPageBreak/>
        <w:t>5</w:t>
      </w:r>
      <w:r w:rsidR="00092323" w:rsidRPr="00EB5562">
        <w:t xml:space="preserve">. </w:t>
      </w:r>
      <w:r w:rsidR="00E21113" w:rsidRPr="00EB5562">
        <w:t>G</w:t>
      </w:r>
      <w:r w:rsidR="00185EA1" w:rsidRPr="00EB5562">
        <w:t>uidance</w:t>
      </w:r>
      <w:bookmarkEnd w:id="18"/>
    </w:p>
    <w:p w14:paraId="1C3F40F9" w14:textId="0AB581BC" w:rsidR="00E21113" w:rsidRPr="00EB5562" w:rsidRDefault="00E21113" w:rsidP="00E21113">
      <w:r w:rsidRPr="00EB5562">
        <w:br/>
        <w:t xml:space="preserve">Additional guidance is currently not required for this service; please provide any feedback via </w:t>
      </w:r>
      <w:hyperlink r:id="rId40" w:history="1">
        <w:r w:rsidRPr="00EB5562">
          <w:rPr>
            <w:rStyle w:val="Hyperlink"/>
            <w:noProof w:val="0"/>
          </w:rPr>
          <w:t>SBRServiceDesk@sbr.gov.au</w:t>
        </w:r>
      </w:hyperlink>
      <w:r w:rsidRPr="00EB5562">
        <w:rPr>
          <w:u w:val="single"/>
        </w:rPr>
        <w:t>.</w:t>
      </w:r>
    </w:p>
    <w:p w14:paraId="6F1643BB" w14:textId="72864371" w:rsidR="00FB4562" w:rsidRPr="00EB5562" w:rsidRDefault="00FB4562" w:rsidP="00E21113">
      <w:pPr>
        <w:pStyle w:val="ListBullet"/>
        <w:numPr>
          <w:ilvl w:val="0"/>
          <w:numId w:val="0"/>
        </w:numPr>
      </w:pPr>
    </w:p>
    <w:sectPr w:rsidR="00FB4562" w:rsidRPr="00EB5562" w:rsidSect="000939A5">
      <w:headerReference w:type="default" r:id="rId41"/>
      <w:footerReference w:type="default" r:id="rId4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B362" w14:textId="77777777" w:rsidR="005C3513" w:rsidRDefault="005C3513" w:rsidP="000939A5">
      <w:pPr>
        <w:spacing w:before="0" w:after="0" w:line="240" w:lineRule="auto"/>
      </w:pPr>
      <w:r>
        <w:separator/>
      </w:r>
    </w:p>
  </w:endnote>
  <w:endnote w:type="continuationSeparator" w:id="0">
    <w:p w14:paraId="3D0A965B" w14:textId="77777777" w:rsidR="005C3513" w:rsidRDefault="005C3513" w:rsidP="000939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921A" w14:textId="4CF1B579" w:rsidR="000939A5" w:rsidRDefault="000939A5" w:rsidP="000939A5">
    <w:pPr>
      <w:pStyle w:val="Footer"/>
      <w:pBdr>
        <w:top w:val="single" w:sz="4" w:space="1" w:color="0E8387"/>
      </w:pBdr>
    </w:pPr>
    <w:r w:rsidRPr="009E2CEE">
      <w:rPr>
        <w:sz w:val="18"/>
        <w:szCs w:val="18"/>
      </w:rPr>
      <w:t xml:space="preserve">Version </w:t>
    </w:r>
    <w:r w:rsidR="004845EF">
      <w:rPr>
        <w:sz w:val="18"/>
        <w:szCs w:val="18"/>
      </w:rPr>
      <w:t>1</w:t>
    </w:r>
    <w:r w:rsidR="005A6A09">
      <w:rPr>
        <w:sz w:val="18"/>
        <w:szCs w:val="18"/>
      </w:rPr>
      <w:t>.</w:t>
    </w:r>
    <w:r w:rsidR="00AA1520">
      <w:rPr>
        <w:sz w:val="18"/>
        <w:szCs w:val="18"/>
      </w:rPr>
      <w:t>1</w:t>
    </w:r>
    <w:r w:rsidRPr="009E2CEE">
      <w:rPr>
        <w:sz w:val="18"/>
        <w:szCs w:val="18"/>
      </w:rPr>
      <w:tab/>
    </w:r>
    <w:r>
      <w:rPr>
        <w:sz w:val="18"/>
        <w:szCs w:val="18"/>
      </w:rPr>
      <w:t>Official</w:t>
    </w:r>
    <w:r w:rsidRPr="009E2CEE">
      <w:rPr>
        <w:sz w:val="18"/>
        <w:szCs w:val="18"/>
      </w:rPr>
      <w:tab/>
      <w:t>Page</w:t>
    </w:r>
    <w:r w:rsidRPr="009E2CEE">
      <w:rPr>
        <w:spacing w:val="20"/>
        <w:sz w:val="18"/>
        <w:szCs w:val="18"/>
      </w:rPr>
      <w:t xml:space="preserve"> </w:t>
    </w:r>
    <w:r w:rsidRPr="009E2CEE">
      <w:rPr>
        <w:sz w:val="18"/>
        <w:szCs w:val="18"/>
      </w:rPr>
      <w:fldChar w:fldCharType="begin"/>
    </w:r>
    <w:r w:rsidRPr="009E2CEE">
      <w:rPr>
        <w:sz w:val="18"/>
        <w:szCs w:val="18"/>
      </w:rPr>
      <w:instrText xml:space="preserve"> PAGE   \* MERGEFORMAT </w:instrText>
    </w:r>
    <w:r w:rsidRPr="009E2CEE">
      <w:rPr>
        <w:sz w:val="18"/>
        <w:szCs w:val="18"/>
      </w:rPr>
      <w:fldChar w:fldCharType="separate"/>
    </w:r>
    <w:r>
      <w:rPr>
        <w:sz w:val="18"/>
        <w:szCs w:val="18"/>
      </w:rPr>
      <w:t>14</w:t>
    </w:r>
    <w:r w:rsidRPr="009E2CEE">
      <w:rPr>
        <w:sz w:val="18"/>
        <w:szCs w:val="18"/>
      </w:rPr>
      <w:fldChar w:fldCharType="end"/>
    </w:r>
    <w:r w:rsidRPr="009E2CEE">
      <w:rPr>
        <w:sz w:val="18"/>
        <w:szCs w:val="18"/>
      </w:rPr>
      <w:t xml:space="preserve"> of </w:t>
    </w:r>
    <w:r w:rsidRPr="009E2CEE">
      <w:rPr>
        <w:sz w:val="18"/>
        <w:szCs w:val="18"/>
      </w:rPr>
      <w:fldChar w:fldCharType="begin"/>
    </w:r>
    <w:r w:rsidRPr="009E2CEE">
      <w:rPr>
        <w:sz w:val="18"/>
        <w:szCs w:val="18"/>
      </w:rPr>
      <w:instrText xml:space="preserve"> NUMPAGES   \* MERGEFORMAT </w:instrText>
    </w:r>
    <w:r w:rsidRPr="009E2CEE">
      <w:rPr>
        <w:sz w:val="18"/>
        <w:szCs w:val="18"/>
      </w:rPr>
      <w:fldChar w:fldCharType="separate"/>
    </w:r>
    <w:r>
      <w:rPr>
        <w:sz w:val="18"/>
        <w:szCs w:val="18"/>
      </w:rPr>
      <w:t>14</w:t>
    </w:r>
    <w:r w:rsidRPr="009E2CE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0F4AF" w14:textId="77777777" w:rsidR="005C3513" w:rsidRDefault="005C3513" w:rsidP="000939A5">
      <w:pPr>
        <w:spacing w:before="0" w:after="0" w:line="240" w:lineRule="auto"/>
      </w:pPr>
      <w:r>
        <w:separator/>
      </w:r>
    </w:p>
  </w:footnote>
  <w:footnote w:type="continuationSeparator" w:id="0">
    <w:p w14:paraId="6725E4A1" w14:textId="77777777" w:rsidR="005C3513" w:rsidRDefault="005C3513" w:rsidP="000939A5">
      <w:pPr>
        <w:spacing w:before="0" w:after="0" w:line="240" w:lineRule="auto"/>
      </w:pPr>
      <w:r>
        <w:continuationSeparator/>
      </w:r>
    </w:p>
  </w:footnote>
  <w:footnote w:id="1">
    <w:p w14:paraId="5CA9DEA3" w14:textId="46A664D6" w:rsidR="003B3B3B" w:rsidRPr="00421CF4" w:rsidRDefault="003B3B3B">
      <w:pPr>
        <w:pStyle w:val="FootnoteText"/>
      </w:pPr>
      <w:r>
        <w:rPr>
          <w:rStyle w:val="FootnoteReference"/>
        </w:rPr>
        <w:footnoteRef/>
      </w:r>
      <w:r>
        <w:t xml:space="preserve"> Not for profit.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4F53" w14:textId="43F8898F" w:rsidR="000939A5" w:rsidRPr="00934139" w:rsidRDefault="000939A5" w:rsidP="005A6A09">
    <w:pPr>
      <w:pStyle w:val="Header"/>
      <w:pBdr>
        <w:bottom w:val="single" w:sz="4" w:space="1" w:color="04545D"/>
      </w:pBdr>
      <w:tabs>
        <w:tab w:val="clear" w:pos="4513"/>
        <w:tab w:val="left" w:pos="0"/>
        <w:tab w:val="left" w:pos="4820"/>
        <w:tab w:val="center" w:pos="5245"/>
        <w:tab w:val="right" w:pos="9299"/>
      </w:tabs>
      <w:rPr>
        <w:sz w:val="18"/>
        <w:szCs w:val="18"/>
      </w:rPr>
    </w:pPr>
    <w:r w:rsidRPr="00934139">
      <w:rPr>
        <w:sz w:val="18"/>
        <w:szCs w:val="18"/>
      </w:rPr>
      <w:t xml:space="preserve">Standard </w:t>
    </w:r>
    <w:r w:rsidR="00D26D12">
      <w:rPr>
        <w:sz w:val="18"/>
        <w:szCs w:val="18"/>
      </w:rPr>
      <w:t>B</w:t>
    </w:r>
    <w:r w:rsidRPr="00934139">
      <w:rPr>
        <w:sz w:val="18"/>
        <w:szCs w:val="18"/>
      </w:rPr>
      <w:t xml:space="preserve">usiness </w:t>
    </w:r>
    <w:r w:rsidR="00D26D12">
      <w:rPr>
        <w:sz w:val="18"/>
        <w:szCs w:val="18"/>
      </w:rPr>
      <w:t>R</w:t>
    </w:r>
    <w:r w:rsidRPr="00934139">
      <w:rPr>
        <w:sz w:val="18"/>
        <w:szCs w:val="18"/>
      </w:rPr>
      <w:t>eporting</w:t>
    </w:r>
    <w:r w:rsidR="005A6A09">
      <w:rPr>
        <w:sz w:val="18"/>
        <w:szCs w:val="18"/>
      </w:rPr>
      <w:t xml:space="preserve">                                       </w:t>
    </w:r>
    <w:r w:rsidR="008117FD" w:rsidRPr="008117FD">
      <w:rPr>
        <w:sz w:val="18"/>
        <w:szCs w:val="18"/>
      </w:rPr>
      <w:t xml:space="preserve">ATO </w:t>
    </w:r>
    <w:r w:rsidR="004845EF">
      <w:rPr>
        <w:sz w:val="18"/>
        <w:szCs w:val="18"/>
      </w:rPr>
      <w:t>LDG</w:t>
    </w:r>
    <w:r w:rsidR="00AA1520">
      <w:rPr>
        <w:sz w:val="18"/>
        <w:szCs w:val="18"/>
      </w:rPr>
      <w:t xml:space="preserve"> </w:t>
    </w:r>
    <w:r w:rsidR="008117FD" w:rsidRPr="008117FD">
      <w:rPr>
        <w:sz w:val="18"/>
        <w:szCs w:val="18"/>
      </w:rPr>
      <w:t>000</w:t>
    </w:r>
    <w:r w:rsidR="002E24FF">
      <w:rPr>
        <w:sz w:val="18"/>
        <w:szCs w:val="18"/>
      </w:rPr>
      <w:t>5</w:t>
    </w:r>
    <w:r w:rsidR="00AA1520">
      <w:rPr>
        <w:sz w:val="18"/>
        <w:szCs w:val="18"/>
      </w:rPr>
      <w:t>.</w:t>
    </w:r>
    <w:r w:rsidR="004845EF">
      <w:rPr>
        <w:sz w:val="18"/>
        <w:szCs w:val="18"/>
      </w:rPr>
      <w:t>202</w:t>
    </w:r>
    <w:r w:rsidR="00AC6BAD">
      <w:rPr>
        <w:sz w:val="18"/>
        <w:szCs w:val="18"/>
      </w:rPr>
      <w:t>3</w:t>
    </w:r>
    <w:r w:rsidR="004845EF">
      <w:rPr>
        <w:sz w:val="18"/>
        <w:szCs w:val="18"/>
      </w:rPr>
      <w:t xml:space="preserve"> </w:t>
    </w:r>
    <w:r w:rsidR="007E4A9F">
      <w:rPr>
        <w:sz w:val="18"/>
        <w:szCs w:val="18"/>
      </w:rPr>
      <w:t>L</w:t>
    </w:r>
    <w:r w:rsidR="00E66669">
      <w:rPr>
        <w:sz w:val="18"/>
        <w:szCs w:val="18"/>
      </w:rPr>
      <w:t>I</w:t>
    </w:r>
    <w:r w:rsidR="007E4A9F">
      <w:rPr>
        <w:sz w:val="18"/>
        <w:szCs w:val="18"/>
      </w:rPr>
      <w:t xml:space="preserve">ST </w:t>
    </w:r>
    <w:r w:rsidR="008117FD" w:rsidRPr="008117FD">
      <w:rPr>
        <w:sz w:val="18"/>
        <w:szCs w:val="18"/>
      </w:rPr>
      <w:t>Business Implementation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AEB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6AA8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029B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C2A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AA99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C8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141C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887554"/>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4BE85F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9AD4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66512"/>
    <w:multiLevelType w:val="hybridMultilevel"/>
    <w:tmpl w:val="7ADE1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E67D61"/>
    <w:multiLevelType w:val="multilevel"/>
    <w:tmpl w:val="0C09001D"/>
    <w:styleLink w:val="Style4"/>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307E25"/>
    <w:multiLevelType w:val="multilevel"/>
    <w:tmpl w:val="2A04549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8054EFB"/>
    <w:multiLevelType w:val="multilevel"/>
    <w:tmpl w:val="27F8B40A"/>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2C68AE"/>
    <w:multiLevelType w:val="hybridMultilevel"/>
    <w:tmpl w:val="BA1675D4"/>
    <w:lvl w:ilvl="0" w:tplc="AD4CC3A6">
      <w:start w:val="1"/>
      <w:numFmt w:val="decimal"/>
      <w:lvlText w:val="%1."/>
      <w:lvlJc w:val="left"/>
      <w:pPr>
        <w:ind w:left="720" w:hanging="360"/>
      </w:pPr>
      <w:rPr>
        <w:b/>
        <w:bCs/>
        <w:color w:val="222A35" w:themeColor="text2" w:themeShade="8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3196C9B"/>
    <w:multiLevelType w:val="multilevel"/>
    <w:tmpl w:val="8E584732"/>
    <w:lvl w:ilvl="0">
      <w:start w:val="1"/>
      <w:numFmt w:val="decimal"/>
      <w:lvlText w:val="%1."/>
      <w:lvlJc w:val="left"/>
      <w:pPr>
        <w:ind w:left="360" w:hanging="360"/>
      </w:pPr>
      <w:rPr>
        <w:rFonts w:hint="default"/>
        <w:b w:val="0"/>
        <w:bCs/>
        <w:i w:val="0"/>
        <w:iCs w:val="0"/>
        <w:caps w:val="0"/>
        <w:smallCaps w:val="0"/>
        <w:strike w:val="0"/>
        <w:dstrike w:val="0"/>
        <w:noProof w:val="0"/>
        <w:vanish w:val="0"/>
        <w:color w:val="04545D"/>
        <w:spacing w:val="0"/>
        <w:kern w:val="0"/>
        <w:position w:val="0"/>
        <w:sz w:val="56"/>
        <w:szCs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1.%2"/>
      <w:lvlJc w:val="left"/>
      <w:pPr>
        <w:ind w:left="352" w:hanging="352"/>
      </w:pPr>
      <w:rPr>
        <w:rFonts w:hint="default"/>
        <w:color w:val="0E8387"/>
        <w:sz w:val="42"/>
        <w:szCs w:val="42"/>
      </w:rPr>
    </w:lvl>
    <w:lvl w:ilvl="2">
      <w:start w:val="1"/>
      <w:numFmt w:val="decimal"/>
      <w:isLgl/>
      <w:suff w:val="space"/>
      <w:lvlText w:val="%1.%2.%3"/>
      <w:lvlJc w:val="left"/>
      <w:pPr>
        <w:ind w:left="862" w:hanging="720"/>
      </w:pPr>
      <w:rPr>
        <w:rFonts w:hint="default"/>
        <w:b w:val="0"/>
        <w:bCs w:val="0"/>
        <w:color w:val="0E8387"/>
        <w:sz w:val="34"/>
        <w:szCs w:val="3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3C06E04"/>
    <w:multiLevelType w:val="multilevel"/>
    <w:tmpl w:val="83443508"/>
    <w:styleLink w:val="Style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6322B9E"/>
    <w:multiLevelType w:val="multilevel"/>
    <w:tmpl w:val="068C679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2F24FD"/>
    <w:multiLevelType w:val="hybridMultilevel"/>
    <w:tmpl w:val="5EA448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FA10C23"/>
    <w:multiLevelType w:val="multilevel"/>
    <w:tmpl w:val="83443508"/>
    <w:numStyleLink w:val="Style2"/>
  </w:abstractNum>
  <w:abstractNum w:abstractNumId="20" w15:restartNumberingAfterBreak="0">
    <w:nsid w:val="20A17331"/>
    <w:multiLevelType w:val="multilevel"/>
    <w:tmpl w:val="5DAE496A"/>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B55589"/>
    <w:multiLevelType w:val="hybridMultilevel"/>
    <w:tmpl w:val="AA8A11BA"/>
    <w:lvl w:ilvl="0" w:tplc="6B6A2F5C">
      <w:start w:val="1"/>
      <w:numFmt w:val="bullet"/>
      <w:lvlText w:val=""/>
      <w:lvlJc w:val="left"/>
      <w:pPr>
        <w:ind w:left="927" w:hanging="360"/>
      </w:pPr>
      <w:rPr>
        <w:rFonts w:ascii="Symbol" w:hAnsi="Symbol" w:hint="default"/>
        <w:color w:val="8496B0"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7C13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737A86"/>
    <w:multiLevelType w:val="hybridMultilevel"/>
    <w:tmpl w:val="6DCE1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F65F8A"/>
    <w:multiLevelType w:val="hybridMultilevel"/>
    <w:tmpl w:val="CBD8CB1C"/>
    <w:lvl w:ilvl="0" w:tplc="6F301D8E">
      <w:start w:val="1"/>
      <w:numFmt w:val="bullet"/>
      <w:lvlText w:val=""/>
      <w:lvlJc w:val="left"/>
      <w:pPr>
        <w:ind w:left="815" w:hanging="360"/>
      </w:pPr>
      <w:rPr>
        <w:rFonts w:ascii="Symbol" w:hAnsi="Symbol" w:hint="default"/>
        <w:color w:val="8496B0" w:themeColor="text2" w:themeTint="99"/>
      </w:rPr>
    </w:lvl>
    <w:lvl w:ilvl="1" w:tplc="0C090003">
      <w:start w:val="1"/>
      <w:numFmt w:val="bullet"/>
      <w:lvlText w:val="o"/>
      <w:lvlJc w:val="left"/>
      <w:pPr>
        <w:ind w:left="1535" w:hanging="360"/>
      </w:pPr>
      <w:rPr>
        <w:rFonts w:ascii="Courier New" w:hAnsi="Courier New" w:cs="Courier New" w:hint="default"/>
      </w:rPr>
    </w:lvl>
    <w:lvl w:ilvl="2" w:tplc="0C090005">
      <w:start w:val="1"/>
      <w:numFmt w:val="bullet"/>
      <w:lvlText w:val=""/>
      <w:lvlJc w:val="left"/>
      <w:pPr>
        <w:ind w:left="2255" w:hanging="360"/>
      </w:pPr>
      <w:rPr>
        <w:rFonts w:ascii="Wingdings" w:hAnsi="Wingdings" w:hint="default"/>
      </w:rPr>
    </w:lvl>
    <w:lvl w:ilvl="3" w:tplc="0C090001">
      <w:start w:val="1"/>
      <w:numFmt w:val="bullet"/>
      <w:lvlText w:val=""/>
      <w:lvlJc w:val="left"/>
      <w:pPr>
        <w:ind w:left="2975" w:hanging="360"/>
      </w:pPr>
      <w:rPr>
        <w:rFonts w:ascii="Symbol" w:hAnsi="Symbol" w:hint="default"/>
      </w:rPr>
    </w:lvl>
    <w:lvl w:ilvl="4" w:tplc="0C090003">
      <w:start w:val="1"/>
      <w:numFmt w:val="bullet"/>
      <w:lvlText w:val="o"/>
      <w:lvlJc w:val="left"/>
      <w:pPr>
        <w:ind w:left="3695" w:hanging="360"/>
      </w:pPr>
      <w:rPr>
        <w:rFonts w:ascii="Courier New" w:hAnsi="Courier New" w:cs="Courier New" w:hint="default"/>
      </w:rPr>
    </w:lvl>
    <w:lvl w:ilvl="5" w:tplc="0C090005">
      <w:start w:val="1"/>
      <w:numFmt w:val="bullet"/>
      <w:lvlText w:val=""/>
      <w:lvlJc w:val="left"/>
      <w:pPr>
        <w:ind w:left="4415" w:hanging="360"/>
      </w:pPr>
      <w:rPr>
        <w:rFonts w:ascii="Wingdings" w:hAnsi="Wingdings" w:hint="default"/>
      </w:rPr>
    </w:lvl>
    <w:lvl w:ilvl="6" w:tplc="0C090001">
      <w:start w:val="1"/>
      <w:numFmt w:val="bullet"/>
      <w:lvlText w:val=""/>
      <w:lvlJc w:val="left"/>
      <w:pPr>
        <w:ind w:left="5135" w:hanging="360"/>
      </w:pPr>
      <w:rPr>
        <w:rFonts w:ascii="Symbol" w:hAnsi="Symbol" w:hint="default"/>
      </w:rPr>
    </w:lvl>
    <w:lvl w:ilvl="7" w:tplc="0C090003">
      <w:start w:val="1"/>
      <w:numFmt w:val="bullet"/>
      <w:lvlText w:val="o"/>
      <w:lvlJc w:val="left"/>
      <w:pPr>
        <w:ind w:left="5855" w:hanging="360"/>
      </w:pPr>
      <w:rPr>
        <w:rFonts w:ascii="Courier New" w:hAnsi="Courier New" w:cs="Courier New" w:hint="default"/>
      </w:rPr>
    </w:lvl>
    <w:lvl w:ilvl="8" w:tplc="0C090005">
      <w:start w:val="1"/>
      <w:numFmt w:val="bullet"/>
      <w:lvlText w:val=""/>
      <w:lvlJc w:val="left"/>
      <w:pPr>
        <w:ind w:left="6575" w:hanging="360"/>
      </w:pPr>
      <w:rPr>
        <w:rFonts w:ascii="Wingdings" w:hAnsi="Wingdings" w:hint="default"/>
      </w:rPr>
    </w:lvl>
  </w:abstractNum>
  <w:abstractNum w:abstractNumId="25" w15:restartNumberingAfterBreak="0">
    <w:nsid w:val="2EC334A7"/>
    <w:multiLevelType w:val="hybridMultilevel"/>
    <w:tmpl w:val="44C49D8C"/>
    <w:lvl w:ilvl="0" w:tplc="824ACD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F520DAB"/>
    <w:multiLevelType w:val="hybridMultilevel"/>
    <w:tmpl w:val="1BE0CD76"/>
    <w:lvl w:ilvl="0" w:tplc="3990C0A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2454B16"/>
    <w:multiLevelType w:val="multilevel"/>
    <w:tmpl w:val="4FA6F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3D95807"/>
    <w:multiLevelType w:val="hybridMultilevel"/>
    <w:tmpl w:val="0B003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ED0369"/>
    <w:multiLevelType w:val="hybridMultilevel"/>
    <w:tmpl w:val="072A3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F1F5B70"/>
    <w:multiLevelType w:val="multilevel"/>
    <w:tmpl w:val="83443508"/>
    <w:styleLink w:val="Style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B71200"/>
    <w:multiLevelType w:val="hybridMultilevel"/>
    <w:tmpl w:val="70109CA0"/>
    <w:lvl w:ilvl="0" w:tplc="0E2642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ED11C8"/>
    <w:multiLevelType w:val="multilevel"/>
    <w:tmpl w:val="8E584732"/>
    <w:lvl w:ilvl="0">
      <w:start w:val="1"/>
      <w:numFmt w:val="decimal"/>
      <w:lvlText w:val="%1."/>
      <w:lvlJc w:val="left"/>
      <w:pPr>
        <w:ind w:left="360" w:hanging="360"/>
      </w:pPr>
      <w:rPr>
        <w:rFonts w:hint="default"/>
        <w:b w:val="0"/>
        <w:bCs/>
        <w:i w:val="0"/>
        <w:iCs w:val="0"/>
        <w:caps w:val="0"/>
        <w:smallCaps w:val="0"/>
        <w:strike w:val="0"/>
        <w:dstrike w:val="0"/>
        <w:noProof w:val="0"/>
        <w:vanish w:val="0"/>
        <w:color w:val="04545D"/>
        <w:spacing w:val="0"/>
        <w:kern w:val="0"/>
        <w:position w:val="0"/>
        <w:sz w:val="56"/>
        <w:szCs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1.%2"/>
      <w:lvlJc w:val="left"/>
      <w:pPr>
        <w:ind w:left="352" w:hanging="352"/>
      </w:pPr>
      <w:rPr>
        <w:rFonts w:hint="default"/>
        <w:color w:val="0E8387"/>
        <w:sz w:val="42"/>
        <w:szCs w:val="42"/>
      </w:rPr>
    </w:lvl>
    <w:lvl w:ilvl="2">
      <w:start w:val="1"/>
      <w:numFmt w:val="decimal"/>
      <w:isLgl/>
      <w:suff w:val="space"/>
      <w:lvlText w:val="%1.%2.%3"/>
      <w:lvlJc w:val="left"/>
      <w:pPr>
        <w:ind w:left="862" w:hanging="720"/>
      </w:pPr>
      <w:rPr>
        <w:rFonts w:hint="default"/>
        <w:b w:val="0"/>
        <w:bCs w:val="0"/>
        <w:color w:val="0E8387"/>
        <w:sz w:val="34"/>
        <w:szCs w:val="3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E6B2D2F"/>
    <w:multiLevelType w:val="hybridMultilevel"/>
    <w:tmpl w:val="ED9AC6C0"/>
    <w:lvl w:ilvl="0" w:tplc="6082DBEE">
      <w:start w:val="1"/>
      <w:numFmt w:val="bullet"/>
      <w:lvlText w:val=""/>
      <w:lvlJc w:val="left"/>
      <w:pPr>
        <w:ind w:left="360" w:hanging="360"/>
      </w:pPr>
      <w:rPr>
        <w:rFonts w:ascii="Symbol" w:hAnsi="Symbol" w:hint="default"/>
        <w:color w:val="auto"/>
      </w:rPr>
    </w:lvl>
    <w:lvl w:ilvl="1" w:tplc="DA50D97E">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7D0782"/>
    <w:multiLevelType w:val="hybridMultilevel"/>
    <w:tmpl w:val="93C22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041486"/>
    <w:multiLevelType w:val="multilevel"/>
    <w:tmpl w:val="D2AA47F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5B337004"/>
    <w:multiLevelType w:val="hybridMultilevel"/>
    <w:tmpl w:val="F0BAB4A6"/>
    <w:lvl w:ilvl="0" w:tplc="CE8A03A8">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8E5D4D"/>
    <w:multiLevelType w:val="multilevel"/>
    <w:tmpl w:val="356E28CC"/>
    <w:lvl w:ilvl="0">
      <w:start w:val="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9" w15:restartNumberingAfterBreak="0">
    <w:nsid w:val="6A755090"/>
    <w:multiLevelType w:val="multilevel"/>
    <w:tmpl w:val="0C09001D"/>
    <w:styleLink w:val="Style5"/>
    <w:lvl w:ilvl="0">
      <w:start w:val="8"/>
      <w:numFmt w:val="decimal"/>
      <w:lvlText w:val="%1)"/>
      <w:lvlJc w:val="left"/>
      <w:pPr>
        <w:ind w:left="360" w:hanging="360"/>
      </w:pPr>
    </w:lvl>
    <w:lvl w:ilvl="1">
      <w:start w:val="1"/>
      <w:numFmt w:val="n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211490"/>
    <w:multiLevelType w:val="multilevel"/>
    <w:tmpl w:val="0C09001D"/>
    <w:numStyleLink w:val="Style5"/>
  </w:abstractNum>
  <w:abstractNum w:abstractNumId="41" w15:restartNumberingAfterBreak="0">
    <w:nsid w:val="6DC30FC1"/>
    <w:multiLevelType w:val="hybridMultilevel"/>
    <w:tmpl w:val="F0EC47EA"/>
    <w:lvl w:ilvl="0" w:tplc="ACB6389E">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ACB6389E">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FA0AC5"/>
    <w:multiLevelType w:val="hybridMultilevel"/>
    <w:tmpl w:val="0BC6F526"/>
    <w:lvl w:ilvl="0" w:tplc="32AA27C6">
      <w:start w:val="1"/>
      <w:numFmt w:val="bullet"/>
      <w:lvlText w:val=""/>
      <w:lvlJc w:val="left"/>
      <w:pPr>
        <w:ind w:left="720" w:hanging="360"/>
      </w:pPr>
      <w:rPr>
        <w:rFonts w:ascii="Symbol" w:hAnsi="Symbol" w:hint="default"/>
        <w:color w:val="8496B0"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4F1663"/>
    <w:multiLevelType w:val="hybridMultilevel"/>
    <w:tmpl w:val="27900366"/>
    <w:lvl w:ilvl="0" w:tplc="A3382106">
      <w:start w:val="1"/>
      <w:numFmt w:val="decimal"/>
      <w:lvlText w:val="%1."/>
      <w:lvlJc w:val="left"/>
      <w:pPr>
        <w:ind w:left="720" w:hanging="360"/>
      </w:pPr>
      <w:rPr>
        <w:rFonts w:eastAsia="Times New Roman" w:hint="default"/>
        <w:b/>
        <w:bCs/>
        <w:color w:val="222A35" w:themeColor="text2"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7F01109"/>
    <w:multiLevelType w:val="hybridMultilevel"/>
    <w:tmpl w:val="F208C35A"/>
    <w:lvl w:ilvl="0" w:tplc="0C090001">
      <w:start w:val="1"/>
      <w:numFmt w:val="bullet"/>
      <w:lvlText w:val=""/>
      <w:lvlJc w:val="left"/>
      <w:pPr>
        <w:ind w:left="720" w:hanging="360"/>
      </w:pPr>
      <w:rPr>
        <w:rFonts w:ascii="Symbol" w:hAnsi="Symbol" w:hint="default"/>
      </w:rPr>
    </w:lvl>
    <w:lvl w:ilvl="1" w:tplc="ACB6389E">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1E7955"/>
    <w:multiLevelType w:val="hybridMultilevel"/>
    <w:tmpl w:val="2BF6C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A67390"/>
    <w:multiLevelType w:val="hybridMultilevel"/>
    <w:tmpl w:val="426EF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532C90"/>
    <w:multiLevelType w:val="hybridMultilevel"/>
    <w:tmpl w:val="924032EC"/>
    <w:lvl w:ilvl="0" w:tplc="0C090001">
      <w:start w:val="1"/>
      <w:numFmt w:val="bullet"/>
      <w:lvlText w:val=""/>
      <w:lvlJc w:val="left"/>
      <w:pPr>
        <w:ind w:left="720" w:hanging="360"/>
      </w:pPr>
      <w:rPr>
        <w:rFonts w:ascii="Symbol" w:hAnsi="Symbol" w:hint="default"/>
      </w:rPr>
    </w:lvl>
    <w:lvl w:ilvl="1" w:tplc="ACB6389E">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420ACE"/>
    <w:multiLevelType w:val="hybridMultilevel"/>
    <w:tmpl w:val="6204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793B4C"/>
    <w:multiLevelType w:val="hybridMultilevel"/>
    <w:tmpl w:val="B1EEA2A2"/>
    <w:lvl w:ilvl="0" w:tplc="95F8D9D4">
      <w:start w:val="1"/>
      <w:numFmt w:val="bullet"/>
      <w:lvlText w:val=""/>
      <w:lvlJc w:val="left"/>
      <w:pPr>
        <w:ind w:left="720" w:hanging="360"/>
      </w:pPr>
      <w:rPr>
        <w:rFonts w:ascii="Symbol" w:hAnsi="Symbol" w:hint="default"/>
        <w:color w:val="8496B0"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78256035">
    <w:abstractNumId w:val="27"/>
  </w:num>
  <w:num w:numId="2" w16cid:durableId="1468358460">
    <w:abstractNumId w:val="12"/>
  </w:num>
  <w:num w:numId="3" w16cid:durableId="1888299087">
    <w:abstractNumId w:val="9"/>
  </w:num>
  <w:num w:numId="4" w16cid:durableId="1466851029">
    <w:abstractNumId w:val="7"/>
  </w:num>
  <w:num w:numId="5" w16cid:durableId="1473787935">
    <w:abstractNumId w:val="6"/>
  </w:num>
  <w:num w:numId="6" w16cid:durableId="2081705505">
    <w:abstractNumId w:val="5"/>
  </w:num>
  <w:num w:numId="7" w16cid:durableId="1810973889">
    <w:abstractNumId w:val="4"/>
  </w:num>
  <w:num w:numId="8" w16cid:durableId="1734230572">
    <w:abstractNumId w:val="8"/>
  </w:num>
  <w:num w:numId="9" w16cid:durableId="818959205">
    <w:abstractNumId w:val="3"/>
  </w:num>
  <w:num w:numId="10" w16cid:durableId="2037997093">
    <w:abstractNumId w:val="2"/>
  </w:num>
  <w:num w:numId="11" w16cid:durableId="1994285530">
    <w:abstractNumId w:val="1"/>
  </w:num>
  <w:num w:numId="12" w16cid:durableId="1351302332">
    <w:abstractNumId w:val="0"/>
  </w:num>
  <w:num w:numId="13" w16cid:durableId="547110240">
    <w:abstractNumId w:val="25"/>
  </w:num>
  <w:num w:numId="14" w16cid:durableId="1426152579">
    <w:abstractNumId w:val="31"/>
  </w:num>
  <w:num w:numId="15" w16cid:durableId="1937131785">
    <w:abstractNumId w:val="25"/>
  </w:num>
  <w:num w:numId="16" w16cid:durableId="1921984024">
    <w:abstractNumId w:val="37"/>
  </w:num>
  <w:num w:numId="17" w16cid:durableId="1486969786">
    <w:abstractNumId w:val="36"/>
  </w:num>
  <w:num w:numId="18" w16cid:durableId="480732763">
    <w:abstractNumId w:val="42"/>
  </w:num>
  <w:num w:numId="19" w16cid:durableId="1981880286">
    <w:abstractNumId w:val="20"/>
  </w:num>
  <w:num w:numId="20" w16cid:durableId="1406803209">
    <w:abstractNumId w:val="13"/>
  </w:num>
  <w:num w:numId="21" w16cid:durableId="2018340484">
    <w:abstractNumId w:val="12"/>
  </w:num>
  <w:num w:numId="22" w16cid:durableId="412430058">
    <w:abstractNumId w:val="12"/>
  </w:num>
  <w:num w:numId="23" w16cid:durableId="1248349023">
    <w:abstractNumId w:val="48"/>
  </w:num>
  <w:num w:numId="24" w16cid:durableId="1253078230">
    <w:abstractNumId w:val="47"/>
  </w:num>
  <w:num w:numId="25" w16cid:durableId="868028375">
    <w:abstractNumId w:val="28"/>
  </w:num>
  <w:num w:numId="26" w16cid:durableId="1709185918">
    <w:abstractNumId w:val="44"/>
  </w:num>
  <w:num w:numId="27" w16cid:durableId="1089427694">
    <w:abstractNumId w:val="37"/>
  </w:num>
  <w:num w:numId="28" w16cid:durableId="1899513989">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6554872">
    <w:abstractNumId w:val="12"/>
  </w:num>
  <w:num w:numId="30" w16cid:durableId="1898126209">
    <w:abstractNumId w:val="35"/>
  </w:num>
  <w:num w:numId="31" w16cid:durableId="263613528">
    <w:abstractNumId w:val="12"/>
  </w:num>
  <w:num w:numId="32" w16cid:durableId="1339389083">
    <w:abstractNumId w:val="41"/>
  </w:num>
  <w:num w:numId="33" w16cid:durableId="1079475405">
    <w:abstractNumId w:val="40"/>
  </w:num>
  <w:num w:numId="34" w16cid:durableId="1946844600">
    <w:abstractNumId w:val="30"/>
  </w:num>
  <w:num w:numId="35" w16cid:durableId="809135795">
    <w:abstractNumId w:val="19"/>
  </w:num>
  <w:num w:numId="36" w16cid:durableId="1414474487">
    <w:abstractNumId w:val="40"/>
  </w:num>
  <w:num w:numId="37" w16cid:durableId="847252555">
    <w:abstractNumId w:val="16"/>
  </w:num>
  <w:num w:numId="38" w16cid:durableId="1940021397">
    <w:abstractNumId w:val="22"/>
  </w:num>
  <w:num w:numId="39" w16cid:durableId="2058889504">
    <w:abstractNumId w:val="11"/>
  </w:num>
  <w:num w:numId="40" w16cid:durableId="1351494726">
    <w:abstractNumId w:val="39"/>
  </w:num>
  <w:num w:numId="41" w16cid:durableId="681248037">
    <w:abstractNumId w:val="38"/>
  </w:num>
  <w:num w:numId="42" w16cid:durableId="699402640">
    <w:abstractNumId w:val="43"/>
  </w:num>
  <w:num w:numId="43" w16cid:durableId="10050167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2133900">
    <w:abstractNumId w:val="49"/>
  </w:num>
  <w:num w:numId="45" w16cid:durableId="706680110">
    <w:abstractNumId w:val="24"/>
  </w:num>
  <w:num w:numId="46" w16cid:durableId="399057863">
    <w:abstractNumId w:val="21"/>
  </w:num>
  <w:num w:numId="47" w16cid:durableId="798766998">
    <w:abstractNumId w:val="14"/>
  </w:num>
  <w:num w:numId="48" w16cid:durableId="1895773791">
    <w:abstractNumId w:val="33"/>
  </w:num>
  <w:num w:numId="49" w16cid:durableId="1476681491">
    <w:abstractNumId w:val="37"/>
  </w:num>
  <w:num w:numId="50" w16cid:durableId="1858108253">
    <w:abstractNumId w:val="37"/>
  </w:num>
  <w:num w:numId="51" w16cid:durableId="1700352125">
    <w:abstractNumId w:val="10"/>
  </w:num>
  <w:num w:numId="52" w16cid:durableId="1919514780">
    <w:abstractNumId w:val="34"/>
  </w:num>
  <w:num w:numId="53" w16cid:durableId="1114714332">
    <w:abstractNumId w:val="46"/>
  </w:num>
  <w:num w:numId="54" w16cid:durableId="819155897">
    <w:abstractNumId w:val="29"/>
  </w:num>
  <w:num w:numId="55" w16cid:durableId="1227103886">
    <w:abstractNumId w:val="18"/>
  </w:num>
  <w:num w:numId="56" w16cid:durableId="1488279505">
    <w:abstractNumId w:val="32"/>
  </w:num>
  <w:num w:numId="57" w16cid:durableId="1145316009">
    <w:abstractNumId w:val="32"/>
    <w:lvlOverride w:ilvl="0">
      <w:startOverride w:val="2"/>
    </w:lvlOverride>
    <w:lvlOverride w:ilvl="1">
      <w:startOverride w:val="2"/>
    </w:lvlOverride>
    <w:lvlOverride w:ilvl="2">
      <w:startOverride w:val="2"/>
    </w:lvlOverride>
  </w:num>
  <w:num w:numId="58" w16cid:durableId="1371229164">
    <w:abstractNumId w:val="15"/>
  </w:num>
  <w:num w:numId="59" w16cid:durableId="813332222">
    <w:abstractNumId w:val="17"/>
  </w:num>
  <w:num w:numId="60" w16cid:durableId="819812971">
    <w:abstractNumId w:val="45"/>
  </w:num>
  <w:num w:numId="61" w16cid:durableId="1983657535">
    <w:abstractNumId w:val="23"/>
  </w:num>
  <w:num w:numId="62" w16cid:durableId="1047727925">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70"/>
    <w:rsid w:val="00020823"/>
    <w:rsid w:val="0003089C"/>
    <w:rsid w:val="000400D2"/>
    <w:rsid w:val="000569F3"/>
    <w:rsid w:val="00060CED"/>
    <w:rsid w:val="00084E99"/>
    <w:rsid w:val="00092323"/>
    <w:rsid w:val="000939A5"/>
    <w:rsid w:val="000E0211"/>
    <w:rsid w:val="000E78F4"/>
    <w:rsid w:val="000F230A"/>
    <w:rsid w:val="00115749"/>
    <w:rsid w:val="0013279F"/>
    <w:rsid w:val="00151BED"/>
    <w:rsid w:val="001832DC"/>
    <w:rsid w:val="00185EA1"/>
    <w:rsid w:val="001A5AD9"/>
    <w:rsid w:val="001C28C7"/>
    <w:rsid w:val="001C2EFD"/>
    <w:rsid w:val="001C71CD"/>
    <w:rsid w:val="002113FC"/>
    <w:rsid w:val="0023330F"/>
    <w:rsid w:val="00234F55"/>
    <w:rsid w:val="0025487A"/>
    <w:rsid w:val="00280F0B"/>
    <w:rsid w:val="002C2355"/>
    <w:rsid w:val="002E24FF"/>
    <w:rsid w:val="002F76FF"/>
    <w:rsid w:val="00300090"/>
    <w:rsid w:val="003164B9"/>
    <w:rsid w:val="00321039"/>
    <w:rsid w:val="00336F68"/>
    <w:rsid w:val="0034793C"/>
    <w:rsid w:val="003641EE"/>
    <w:rsid w:val="00365642"/>
    <w:rsid w:val="00366493"/>
    <w:rsid w:val="00371F50"/>
    <w:rsid w:val="00390074"/>
    <w:rsid w:val="003902AB"/>
    <w:rsid w:val="00392DBD"/>
    <w:rsid w:val="003964A7"/>
    <w:rsid w:val="00396F00"/>
    <w:rsid w:val="003A5523"/>
    <w:rsid w:val="003B1FDF"/>
    <w:rsid w:val="003B3B3B"/>
    <w:rsid w:val="003D18E9"/>
    <w:rsid w:val="003D7375"/>
    <w:rsid w:val="003F0F1A"/>
    <w:rsid w:val="003F7A86"/>
    <w:rsid w:val="0040276B"/>
    <w:rsid w:val="004057EB"/>
    <w:rsid w:val="00405CD2"/>
    <w:rsid w:val="00421CF4"/>
    <w:rsid w:val="0044244D"/>
    <w:rsid w:val="00465E10"/>
    <w:rsid w:val="004845EF"/>
    <w:rsid w:val="004B179F"/>
    <w:rsid w:val="004C684F"/>
    <w:rsid w:val="004F2684"/>
    <w:rsid w:val="004F2E00"/>
    <w:rsid w:val="00505C03"/>
    <w:rsid w:val="00532664"/>
    <w:rsid w:val="005352AA"/>
    <w:rsid w:val="00555B8E"/>
    <w:rsid w:val="005615F6"/>
    <w:rsid w:val="0056232E"/>
    <w:rsid w:val="00571F36"/>
    <w:rsid w:val="00576EFC"/>
    <w:rsid w:val="005A6A09"/>
    <w:rsid w:val="005C3513"/>
    <w:rsid w:val="005D0B2B"/>
    <w:rsid w:val="005F51DB"/>
    <w:rsid w:val="00601A5D"/>
    <w:rsid w:val="00602D13"/>
    <w:rsid w:val="00614CDB"/>
    <w:rsid w:val="0063597D"/>
    <w:rsid w:val="0065060F"/>
    <w:rsid w:val="00662370"/>
    <w:rsid w:val="00684285"/>
    <w:rsid w:val="006A3CD6"/>
    <w:rsid w:val="006A6C82"/>
    <w:rsid w:val="006C576F"/>
    <w:rsid w:val="006D309B"/>
    <w:rsid w:val="006F22A5"/>
    <w:rsid w:val="00710C6A"/>
    <w:rsid w:val="00710ECD"/>
    <w:rsid w:val="00713E28"/>
    <w:rsid w:val="00715725"/>
    <w:rsid w:val="0073577C"/>
    <w:rsid w:val="00751EBD"/>
    <w:rsid w:val="00756A98"/>
    <w:rsid w:val="00776E1F"/>
    <w:rsid w:val="007859F4"/>
    <w:rsid w:val="007A3D1F"/>
    <w:rsid w:val="007C5E4F"/>
    <w:rsid w:val="007D59FE"/>
    <w:rsid w:val="007E4A9F"/>
    <w:rsid w:val="007E4E3C"/>
    <w:rsid w:val="00801666"/>
    <w:rsid w:val="008117FD"/>
    <w:rsid w:val="008128B4"/>
    <w:rsid w:val="00816991"/>
    <w:rsid w:val="008265FD"/>
    <w:rsid w:val="00837403"/>
    <w:rsid w:val="008865BC"/>
    <w:rsid w:val="00894784"/>
    <w:rsid w:val="008B40FF"/>
    <w:rsid w:val="008C2B44"/>
    <w:rsid w:val="008D0895"/>
    <w:rsid w:val="008F3242"/>
    <w:rsid w:val="00936C55"/>
    <w:rsid w:val="009773FE"/>
    <w:rsid w:val="00983844"/>
    <w:rsid w:val="009B2172"/>
    <w:rsid w:val="009C213E"/>
    <w:rsid w:val="00A147C2"/>
    <w:rsid w:val="00A27164"/>
    <w:rsid w:val="00A35725"/>
    <w:rsid w:val="00A41885"/>
    <w:rsid w:val="00A4526D"/>
    <w:rsid w:val="00A53F4D"/>
    <w:rsid w:val="00A55D4C"/>
    <w:rsid w:val="00A57322"/>
    <w:rsid w:val="00AA1520"/>
    <w:rsid w:val="00AB00C6"/>
    <w:rsid w:val="00AC6BAD"/>
    <w:rsid w:val="00AE07CA"/>
    <w:rsid w:val="00B226B7"/>
    <w:rsid w:val="00B27870"/>
    <w:rsid w:val="00B30282"/>
    <w:rsid w:val="00B32F28"/>
    <w:rsid w:val="00B33D2D"/>
    <w:rsid w:val="00B559C5"/>
    <w:rsid w:val="00B55B62"/>
    <w:rsid w:val="00B56E06"/>
    <w:rsid w:val="00B57E86"/>
    <w:rsid w:val="00B60A8A"/>
    <w:rsid w:val="00B66D52"/>
    <w:rsid w:val="00B74235"/>
    <w:rsid w:val="00B85AD9"/>
    <w:rsid w:val="00B92F4D"/>
    <w:rsid w:val="00BA04C2"/>
    <w:rsid w:val="00BB4C88"/>
    <w:rsid w:val="00BB6BAB"/>
    <w:rsid w:val="00BC4C59"/>
    <w:rsid w:val="00BE5F06"/>
    <w:rsid w:val="00C04138"/>
    <w:rsid w:val="00C41E54"/>
    <w:rsid w:val="00C772E4"/>
    <w:rsid w:val="00C8461D"/>
    <w:rsid w:val="00C96D31"/>
    <w:rsid w:val="00CA07B4"/>
    <w:rsid w:val="00CA7555"/>
    <w:rsid w:val="00CD2432"/>
    <w:rsid w:val="00CD30A5"/>
    <w:rsid w:val="00CE3C34"/>
    <w:rsid w:val="00CF40C0"/>
    <w:rsid w:val="00D06808"/>
    <w:rsid w:val="00D21CD8"/>
    <w:rsid w:val="00D26D12"/>
    <w:rsid w:val="00D3652D"/>
    <w:rsid w:val="00D42C82"/>
    <w:rsid w:val="00D4731A"/>
    <w:rsid w:val="00D5567C"/>
    <w:rsid w:val="00D81F03"/>
    <w:rsid w:val="00D91073"/>
    <w:rsid w:val="00DA6B4F"/>
    <w:rsid w:val="00DB69A0"/>
    <w:rsid w:val="00DD4153"/>
    <w:rsid w:val="00DF0446"/>
    <w:rsid w:val="00E21113"/>
    <w:rsid w:val="00E66669"/>
    <w:rsid w:val="00E73612"/>
    <w:rsid w:val="00E91ADF"/>
    <w:rsid w:val="00E92DF1"/>
    <w:rsid w:val="00EA0343"/>
    <w:rsid w:val="00EA13D6"/>
    <w:rsid w:val="00EB494C"/>
    <w:rsid w:val="00EB5562"/>
    <w:rsid w:val="00EE76D9"/>
    <w:rsid w:val="00EF3DE9"/>
    <w:rsid w:val="00F05184"/>
    <w:rsid w:val="00F1123E"/>
    <w:rsid w:val="00F55CCB"/>
    <w:rsid w:val="00F71E70"/>
    <w:rsid w:val="00F7608A"/>
    <w:rsid w:val="00FA289C"/>
    <w:rsid w:val="00FB4562"/>
    <w:rsid w:val="00FD37F9"/>
    <w:rsid w:val="00FE1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ECA2"/>
  <w15:chartTrackingRefBased/>
  <w15:docId w15:val="{33A3888B-6782-47A4-9584-BA2DD112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6B7"/>
    <w:pPr>
      <w:spacing w:before="120" w:after="120" w:line="320" w:lineRule="exact"/>
    </w:pPr>
    <w:rPr>
      <w:rFonts w:ascii="Arial" w:hAnsi="Arial" w:cs="Arial"/>
    </w:rPr>
  </w:style>
  <w:style w:type="paragraph" w:styleId="Heading1">
    <w:name w:val="heading 1"/>
    <w:basedOn w:val="Normal"/>
    <w:next w:val="Normal"/>
    <w:link w:val="Heading1Char"/>
    <w:uiPriority w:val="9"/>
    <w:qFormat/>
    <w:rsid w:val="00092323"/>
    <w:pPr>
      <w:pageBreakBefore/>
      <w:spacing w:line="240" w:lineRule="auto"/>
      <w:ind w:left="709" w:hanging="709"/>
      <w:outlineLvl w:val="0"/>
    </w:pPr>
    <w:rPr>
      <w:color w:val="04545D"/>
      <w:sz w:val="56"/>
      <w:szCs w:val="56"/>
    </w:rPr>
  </w:style>
  <w:style w:type="paragraph" w:styleId="Heading2">
    <w:name w:val="heading 2"/>
    <w:basedOn w:val="ListParagraph"/>
    <w:next w:val="Normal"/>
    <w:link w:val="Heading2Char"/>
    <w:uiPriority w:val="9"/>
    <w:unhideWhenUsed/>
    <w:qFormat/>
    <w:rsid w:val="00662370"/>
    <w:pPr>
      <w:keepNext/>
      <w:spacing w:before="440" w:after="220" w:line="240" w:lineRule="auto"/>
      <w:ind w:left="0"/>
      <w:contextualSpacing w:val="0"/>
      <w:outlineLvl w:val="1"/>
    </w:pPr>
    <w:rPr>
      <w:color w:val="0E8387"/>
      <w:sz w:val="40"/>
      <w:szCs w:val="40"/>
    </w:rPr>
  </w:style>
  <w:style w:type="paragraph" w:styleId="Heading3">
    <w:name w:val="heading 3"/>
    <w:basedOn w:val="Heading2"/>
    <w:next w:val="Normal"/>
    <w:link w:val="Heading3Char"/>
    <w:uiPriority w:val="99"/>
    <w:unhideWhenUsed/>
    <w:qFormat/>
    <w:rsid w:val="00C8461D"/>
    <w:pPr>
      <w:numPr>
        <w:ilvl w:val="2"/>
      </w:numPr>
      <w:outlineLvl w:val="2"/>
    </w:pPr>
    <w:rPr>
      <w:color w:val="auto"/>
      <w:sz w:val="32"/>
      <w:szCs w:val="32"/>
    </w:rPr>
  </w:style>
  <w:style w:type="paragraph" w:styleId="Heading4">
    <w:name w:val="heading 4"/>
    <w:basedOn w:val="Normal"/>
    <w:next w:val="Normal"/>
    <w:link w:val="Heading4Char"/>
    <w:uiPriority w:val="9"/>
    <w:unhideWhenUsed/>
    <w:qFormat/>
    <w:rsid w:val="008F324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Rtitle">
    <w:name w:val="SBR title"/>
    <w:basedOn w:val="Normal"/>
    <w:qFormat/>
    <w:rsid w:val="00662370"/>
    <w:pPr>
      <w:spacing w:after="2160" w:line="240" w:lineRule="auto"/>
    </w:pPr>
    <w:rPr>
      <w:color w:val="04545D"/>
      <w:sz w:val="56"/>
      <w:szCs w:val="56"/>
    </w:rPr>
  </w:style>
  <w:style w:type="paragraph" w:customStyle="1" w:styleId="BIGtitle">
    <w:name w:val="BIG title"/>
    <w:basedOn w:val="Normal"/>
    <w:qFormat/>
    <w:rsid w:val="005615F6"/>
    <w:pPr>
      <w:spacing w:before="240" w:line="240" w:lineRule="auto"/>
    </w:pPr>
    <w:rPr>
      <w:color w:val="000000" w:themeColor="text1"/>
      <w:sz w:val="36"/>
      <w:szCs w:val="36"/>
    </w:rPr>
  </w:style>
  <w:style w:type="character" w:customStyle="1" w:styleId="Heading1Char">
    <w:name w:val="Heading 1 Char"/>
    <w:basedOn w:val="DefaultParagraphFont"/>
    <w:link w:val="Heading1"/>
    <w:uiPriority w:val="9"/>
    <w:rsid w:val="00092323"/>
    <w:rPr>
      <w:rFonts w:ascii="Arial" w:hAnsi="Arial" w:cs="Arial"/>
      <w:color w:val="04545D"/>
      <w:sz w:val="56"/>
      <w:szCs w:val="56"/>
      <w:lang w:val="en-US"/>
    </w:rPr>
  </w:style>
  <w:style w:type="paragraph" w:styleId="ListParagraph">
    <w:name w:val="List Paragraph"/>
    <w:aliases w:val="Table Dots,List Paragraph1,List Paragraph11,Recommendation"/>
    <w:basedOn w:val="Normal"/>
    <w:link w:val="ListParagraphChar"/>
    <w:uiPriority w:val="34"/>
    <w:qFormat/>
    <w:rsid w:val="00662370"/>
    <w:pPr>
      <w:ind w:left="720"/>
      <w:contextualSpacing/>
    </w:pPr>
  </w:style>
  <w:style w:type="character" w:customStyle="1" w:styleId="Heading2Char">
    <w:name w:val="Heading 2 Char"/>
    <w:basedOn w:val="DefaultParagraphFont"/>
    <w:link w:val="Heading2"/>
    <w:uiPriority w:val="9"/>
    <w:rsid w:val="00662370"/>
    <w:rPr>
      <w:rFonts w:ascii="Arial" w:hAnsi="Arial" w:cs="Arial"/>
      <w:color w:val="0E8387"/>
      <w:sz w:val="40"/>
      <w:szCs w:val="40"/>
      <w:lang w:val="en-US"/>
    </w:rPr>
  </w:style>
  <w:style w:type="paragraph" w:styleId="Caption">
    <w:name w:val="caption"/>
    <w:basedOn w:val="Normal"/>
    <w:next w:val="Normal"/>
    <w:unhideWhenUsed/>
    <w:qFormat/>
    <w:rsid w:val="0065060F"/>
    <w:pPr>
      <w:keepNext/>
    </w:pPr>
    <w:rPr>
      <w:b/>
      <w:bCs/>
    </w:rPr>
  </w:style>
  <w:style w:type="paragraph" w:styleId="ListBullet">
    <w:name w:val="List Bullet"/>
    <w:basedOn w:val="ListParagraph"/>
    <w:link w:val="ListBulletChar"/>
    <w:uiPriority w:val="99"/>
    <w:unhideWhenUsed/>
    <w:rsid w:val="00321039"/>
    <w:pPr>
      <w:numPr>
        <w:numId w:val="16"/>
      </w:numPr>
      <w:spacing w:before="60" w:after="60"/>
      <w:ind w:left="720"/>
      <w:contextualSpacing w:val="0"/>
    </w:pPr>
  </w:style>
  <w:style w:type="paragraph" w:styleId="ListBullet2">
    <w:name w:val="List Bullet 2"/>
    <w:basedOn w:val="Normal"/>
    <w:uiPriority w:val="99"/>
    <w:unhideWhenUsed/>
    <w:rsid w:val="0065060F"/>
    <w:pPr>
      <w:numPr>
        <w:numId w:val="4"/>
      </w:numPr>
      <w:spacing w:before="60" w:after="60"/>
      <w:ind w:left="850" w:hanging="425"/>
    </w:pPr>
  </w:style>
  <w:style w:type="paragraph" w:customStyle="1" w:styleId="Openingadminheading">
    <w:name w:val="Opening admin heading"/>
    <w:qFormat/>
    <w:rsid w:val="00300090"/>
    <w:pPr>
      <w:spacing w:before="360"/>
    </w:pPr>
    <w:rPr>
      <w:rFonts w:ascii="Arial" w:hAnsi="Arial" w:cs="Arial"/>
      <w:color w:val="04545D"/>
      <w:sz w:val="56"/>
      <w:szCs w:val="56"/>
      <w:lang w:val="en-US"/>
    </w:rPr>
  </w:style>
  <w:style w:type="paragraph" w:customStyle="1" w:styleId="Tabletext">
    <w:name w:val="Table text"/>
    <w:basedOn w:val="Normal"/>
    <w:qFormat/>
    <w:rsid w:val="00D5567C"/>
  </w:style>
  <w:style w:type="paragraph" w:styleId="NoSpacing">
    <w:name w:val="No Spacing"/>
    <w:uiPriority w:val="1"/>
    <w:rsid w:val="00D5567C"/>
    <w:pPr>
      <w:spacing w:after="0" w:line="240" w:lineRule="auto"/>
    </w:pPr>
    <w:rPr>
      <w:rFonts w:ascii="Arial" w:hAnsi="Arial" w:cs="Arial"/>
      <w:lang w:val="en-US"/>
    </w:rPr>
  </w:style>
  <w:style w:type="character" w:styleId="IntenseReference">
    <w:name w:val="Intense Reference"/>
    <w:basedOn w:val="DefaultParagraphFont"/>
    <w:uiPriority w:val="32"/>
    <w:rsid w:val="003F0F1A"/>
    <w:rPr>
      <w:b/>
      <w:bCs/>
      <w:smallCaps/>
      <w:color w:val="4472C4" w:themeColor="accent1"/>
      <w:spacing w:val="5"/>
    </w:rPr>
  </w:style>
  <w:style w:type="character" w:customStyle="1" w:styleId="Heading3Char">
    <w:name w:val="Heading 3 Char"/>
    <w:basedOn w:val="DefaultParagraphFont"/>
    <w:link w:val="Heading3"/>
    <w:uiPriority w:val="9"/>
    <w:rsid w:val="00C8461D"/>
    <w:rPr>
      <w:rFonts w:ascii="Arial" w:hAnsi="Arial" w:cs="Arial"/>
      <w:sz w:val="32"/>
      <w:szCs w:val="32"/>
      <w:lang w:val="en-US"/>
    </w:rPr>
  </w:style>
  <w:style w:type="paragraph" w:styleId="Header">
    <w:name w:val="header"/>
    <w:basedOn w:val="Normal"/>
    <w:link w:val="HeaderChar"/>
    <w:uiPriority w:val="99"/>
    <w:unhideWhenUsed/>
    <w:rsid w:val="000939A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939A5"/>
    <w:rPr>
      <w:rFonts w:ascii="Arial" w:hAnsi="Arial" w:cs="Arial"/>
      <w:lang w:val="en-US"/>
    </w:rPr>
  </w:style>
  <w:style w:type="paragraph" w:styleId="Footer">
    <w:name w:val="footer"/>
    <w:basedOn w:val="Normal"/>
    <w:link w:val="FooterChar"/>
    <w:uiPriority w:val="99"/>
    <w:unhideWhenUsed/>
    <w:rsid w:val="000939A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939A5"/>
    <w:rPr>
      <w:rFonts w:ascii="Arial" w:hAnsi="Arial" w:cs="Arial"/>
      <w:lang w:val="en-US"/>
    </w:rPr>
  </w:style>
  <w:style w:type="character" w:styleId="Hyperlink">
    <w:name w:val="Hyperlink"/>
    <w:basedOn w:val="DefaultParagraphFont"/>
    <w:uiPriority w:val="99"/>
    <w:rsid w:val="00B226B7"/>
    <w:rPr>
      <w:bCs/>
      <w:noProof/>
      <w:color w:val="0000FF"/>
      <w:u w:val="single"/>
    </w:rPr>
  </w:style>
  <w:style w:type="table" w:styleId="TableGrid">
    <w:name w:val="Table Grid"/>
    <w:basedOn w:val="TableNormal"/>
    <w:uiPriority w:val="39"/>
    <w:rsid w:val="004B179F"/>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link w:val="MaintextCharChar"/>
    <w:qFormat/>
    <w:rsid w:val="00B226B7"/>
    <w:pPr>
      <w:spacing w:before="0" w:after="0" w:line="240" w:lineRule="auto"/>
    </w:pPr>
    <w:rPr>
      <w:rFonts w:eastAsia="Times New Roman" w:cs="Times New Roman"/>
      <w:szCs w:val="24"/>
      <w:lang w:eastAsia="en-AU"/>
    </w:rPr>
  </w:style>
  <w:style w:type="character" w:customStyle="1" w:styleId="MaintextCharChar">
    <w:name w:val="Main text Char Char"/>
    <w:basedOn w:val="DefaultParagraphFont"/>
    <w:link w:val="Maintext"/>
    <w:rsid w:val="00B226B7"/>
    <w:rPr>
      <w:rFonts w:ascii="Arial" w:eastAsia="Times New Roman" w:hAnsi="Arial" w:cs="Times New Roman"/>
      <w:szCs w:val="24"/>
      <w:lang w:eastAsia="en-AU"/>
    </w:rPr>
  </w:style>
  <w:style w:type="paragraph" w:customStyle="1" w:styleId="ListText">
    <w:name w:val="List Text"/>
    <w:basedOn w:val="Normal"/>
    <w:rsid w:val="00A4526D"/>
    <w:pPr>
      <w:spacing w:before="60" w:after="60" w:line="240" w:lineRule="auto"/>
    </w:pPr>
    <w:rPr>
      <w:rFonts w:eastAsia="Times New Roman" w:cs="Times New Roman"/>
      <w:szCs w:val="24"/>
      <w:lang w:eastAsia="en-AU"/>
    </w:rPr>
  </w:style>
  <w:style w:type="table" w:customStyle="1" w:styleId="ATOTable">
    <w:name w:val="ATOTable"/>
    <w:basedOn w:val="TableGrid"/>
    <w:rsid w:val="00A4526D"/>
    <w:pPr>
      <w:spacing w:before="60" w:after="60"/>
    </w:pPr>
    <w:tblPr>
      <w:tblCellMar>
        <w:left w:w="170" w:type="dxa"/>
        <w:right w:w="170" w:type="dxa"/>
      </w:tblCellMar>
    </w:tblPr>
  </w:style>
  <w:style w:type="paragraph" w:customStyle="1" w:styleId="Bullet1">
    <w:name w:val="Bullet 1"/>
    <w:basedOn w:val="ListText"/>
    <w:rsid w:val="00A4526D"/>
    <w:pPr>
      <w:numPr>
        <w:numId w:val="17"/>
      </w:numPr>
    </w:pPr>
  </w:style>
  <w:style w:type="paragraph" w:customStyle="1" w:styleId="Bullet2">
    <w:name w:val="Bullet 2"/>
    <w:basedOn w:val="ListText"/>
    <w:link w:val="Bullet2Char"/>
    <w:rsid w:val="00A4526D"/>
    <w:pPr>
      <w:numPr>
        <w:ilvl w:val="1"/>
        <w:numId w:val="17"/>
      </w:numPr>
    </w:pPr>
  </w:style>
  <w:style w:type="character" w:customStyle="1" w:styleId="BodyTextChar1">
    <w:name w:val="Body Text Char1"/>
    <w:aliases w:val="Char Char"/>
    <w:link w:val="BodyText"/>
    <w:rsid w:val="00A4526D"/>
    <w:rPr>
      <w:rFonts w:ascii="Arial" w:hAnsi="Arial"/>
      <w:szCs w:val="24"/>
      <w:lang w:val="en-US"/>
    </w:rPr>
  </w:style>
  <w:style w:type="paragraph" w:styleId="BodyText">
    <w:name w:val="Body Text"/>
    <w:aliases w:val="Char"/>
    <w:basedOn w:val="Normal"/>
    <w:link w:val="BodyTextChar1"/>
    <w:autoRedefine/>
    <w:rsid w:val="00A4526D"/>
    <w:pPr>
      <w:spacing w:line="240" w:lineRule="auto"/>
    </w:pPr>
    <w:rPr>
      <w:rFonts w:cstheme="minorBidi"/>
      <w:szCs w:val="24"/>
    </w:rPr>
  </w:style>
  <w:style w:type="character" w:customStyle="1" w:styleId="BodyTextChar">
    <w:name w:val="Body Text Char"/>
    <w:basedOn w:val="DefaultParagraphFont"/>
    <w:uiPriority w:val="99"/>
    <w:semiHidden/>
    <w:rsid w:val="00A4526D"/>
    <w:rPr>
      <w:rFonts w:ascii="Arial" w:hAnsi="Arial" w:cs="Arial"/>
      <w:lang w:val="en-US"/>
    </w:rPr>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A4526D"/>
    <w:rPr>
      <w:rFonts w:ascii="Arial" w:hAnsi="Arial" w:cs="Arial"/>
      <w:lang w:val="en-US"/>
    </w:rPr>
  </w:style>
  <w:style w:type="character" w:customStyle="1" w:styleId="Bullet2Char">
    <w:name w:val="Bullet 2 Char"/>
    <w:basedOn w:val="DefaultParagraphFont"/>
    <w:link w:val="Bullet2"/>
    <w:locked/>
    <w:rsid w:val="00A4526D"/>
    <w:rPr>
      <w:rFonts w:ascii="Arial" w:eastAsia="Times New Roman" w:hAnsi="Arial" w:cs="Times New Roman"/>
      <w:szCs w:val="24"/>
      <w:lang w:eastAsia="en-AU"/>
    </w:rPr>
  </w:style>
  <w:style w:type="numbering" w:customStyle="1" w:styleId="Style1">
    <w:name w:val="Style1"/>
    <w:uiPriority w:val="99"/>
    <w:rsid w:val="00366493"/>
    <w:pPr>
      <w:numPr>
        <w:numId w:val="19"/>
      </w:numPr>
    </w:pPr>
  </w:style>
  <w:style w:type="paragraph" w:customStyle="1" w:styleId="Content">
    <w:name w:val="Content"/>
    <w:basedOn w:val="Normal"/>
    <w:semiHidden/>
    <w:rsid w:val="006F22A5"/>
    <w:pPr>
      <w:spacing w:before="20" w:after="20" w:line="240" w:lineRule="auto"/>
    </w:pPr>
    <w:rPr>
      <w:rFonts w:eastAsia="Times New Roman"/>
      <w:sz w:val="20"/>
      <w:lang w:eastAsia="en-AU"/>
    </w:rPr>
  </w:style>
  <w:style w:type="numbering" w:customStyle="1" w:styleId="Style2">
    <w:name w:val="Style2"/>
    <w:uiPriority w:val="99"/>
    <w:rsid w:val="006F22A5"/>
    <w:pPr>
      <w:numPr>
        <w:numId w:val="34"/>
      </w:numPr>
    </w:pPr>
  </w:style>
  <w:style w:type="numbering" w:customStyle="1" w:styleId="Style3">
    <w:name w:val="Style3"/>
    <w:uiPriority w:val="99"/>
    <w:rsid w:val="00185EA1"/>
    <w:pPr>
      <w:numPr>
        <w:numId w:val="37"/>
      </w:numPr>
    </w:pPr>
  </w:style>
  <w:style w:type="numbering" w:customStyle="1" w:styleId="Style4">
    <w:name w:val="Style4"/>
    <w:uiPriority w:val="99"/>
    <w:rsid w:val="00092323"/>
    <w:pPr>
      <w:numPr>
        <w:numId w:val="39"/>
      </w:numPr>
    </w:pPr>
  </w:style>
  <w:style w:type="numbering" w:customStyle="1" w:styleId="Style5">
    <w:name w:val="Style5"/>
    <w:uiPriority w:val="99"/>
    <w:rsid w:val="00092323"/>
    <w:pPr>
      <w:numPr>
        <w:numId w:val="40"/>
      </w:numPr>
    </w:pPr>
  </w:style>
  <w:style w:type="character" w:styleId="UnresolvedMention">
    <w:name w:val="Unresolved Mention"/>
    <w:basedOn w:val="DefaultParagraphFont"/>
    <w:uiPriority w:val="99"/>
    <w:semiHidden/>
    <w:unhideWhenUsed/>
    <w:rsid w:val="00936C55"/>
    <w:rPr>
      <w:color w:val="605E5C"/>
      <w:shd w:val="clear" w:color="auto" w:fill="E1DFDD"/>
    </w:rPr>
  </w:style>
  <w:style w:type="table" w:customStyle="1" w:styleId="TableGrid2">
    <w:name w:val="Table Grid2"/>
    <w:basedOn w:val="TableNormal"/>
    <w:next w:val="TableGrid"/>
    <w:uiPriority w:val="59"/>
    <w:rsid w:val="00936C5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265FD"/>
    <w:pPr>
      <w:tabs>
        <w:tab w:val="right" w:leader="dot" w:pos="9016"/>
      </w:tabs>
      <w:spacing w:after="100"/>
    </w:pPr>
  </w:style>
  <w:style w:type="paragraph" w:styleId="TOC2">
    <w:name w:val="toc 2"/>
    <w:basedOn w:val="Normal"/>
    <w:next w:val="Normal"/>
    <w:autoRedefine/>
    <w:uiPriority w:val="39"/>
    <w:unhideWhenUsed/>
    <w:rsid w:val="0013279F"/>
    <w:pPr>
      <w:tabs>
        <w:tab w:val="right" w:leader="dot" w:pos="9016"/>
      </w:tabs>
      <w:spacing w:after="100" w:line="276" w:lineRule="auto"/>
      <w:ind w:left="220"/>
    </w:pPr>
  </w:style>
  <w:style w:type="paragraph" w:styleId="TableofFigures">
    <w:name w:val="table of figures"/>
    <w:basedOn w:val="Normal"/>
    <w:next w:val="Normal"/>
    <w:uiPriority w:val="99"/>
    <w:unhideWhenUsed/>
    <w:rsid w:val="00F7608A"/>
    <w:pPr>
      <w:spacing w:after="0"/>
    </w:pPr>
  </w:style>
  <w:style w:type="character" w:styleId="CommentReference">
    <w:name w:val="annotation reference"/>
    <w:basedOn w:val="DefaultParagraphFont"/>
    <w:uiPriority w:val="99"/>
    <w:semiHidden/>
    <w:unhideWhenUsed/>
    <w:rsid w:val="002113FC"/>
    <w:rPr>
      <w:sz w:val="16"/>
      <w:szCs w:val="16"/>
    </w:rPr>
  </w:style>
  <w:style w:type="paragraph" w:styleId="CommentText">
    <w:name w:val="annotation text"/>
    <w:basedOn w:val="Normal"/>
    <w:link w:val="CommentTextChar"/>
    <w:uiPriority w:val="99"/>
    <w:unhideWhenUsed/>
    <w:rsid w:val="002113FC"/>
    <w:pPr>
      <w:spacing w:line="240" w:lineRule="auto"/>
    </w:pPr>
    <w:rPr>
      <w:sz w:val="20"/>
      <w:szCs w:val="20"/>
    </w:rPr>
  </w:style>
  <w:style w:type="character" w:customStyle="1" w:styleId="CommentTextChar">
    <w:name w:val="Comment Text Char"/>
    <w:basedOn w:val="DefaultParagraphFont"/>
    <w:link w:val="CommentText"/>
    <w:uiPriority w:val="99"/>
    <w:rsid w:val="002113FC"/>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2113FC"/>
    <w:rPr>
      <w:b/>
      <w:bCs/>
    </w:rPr>
  </w:style>
  <w:style w:type="character" w:customStyle="1" w:styleId="CommentSubjectChar">
    <w:name w:val="Comment Subject Char"/>
    <w:basedOn w:val="CommentTextChar"/>
    <w:link w:val="CommentSubject"/>
    <w:uiPriority w:val="99"/>
    <w:semiHidden/>
    <w:rsid w:val="002113FC"/>
    <w:rPr>
      <w:rFonts w:ascii="Arial" w:hAnsi="Arial" w:cs="Arial"/>
      <w:b/>
      <w:bCs/>
      <w:sz w:val="20"/>
      <w:szCs w:val="20"/>
      <w:lang w:val="en-US"/>
    </w:rPr>
  </w:style>
  <w:style w:type="character" w:customStyle="1" w:styleId="Heading4Char">
    <w:name w:val="Heading 4 Char"/>
    <w:basedOn w:val="DefaultParagraphFont"/>
    <w:link w:val="Heading4"/>
    <w:uiPriority w:val="9"/>
    <w:rsid w:val="008F3242"/>
    <w:rPr>
      <w:rFonts w:asciiTheme="majorHAnsi" w:eastAsiaTheme="majorEastAsia" w:hAnsiTheme="majorHAnsi" w:cstheme="majorBidi"/>
      <w:i/>
      <w:iCs/>
      <w:color w:val="2F5496" w:themeColor="accent1" w:themeShade="BF"/>
      <w:lang w:val="en-US"/>
    </w:rPr>
  </w:style>
  <w:style w:type="paragraph" w:styleId="Revision">
    <w:name w:val="Revision"/>
    <w:hidden/>
    <w:uiPriority w:val="99"/>
    <w:semiHidden/>
    <w:rsid w:val="00D26D12"/>
    <w:pPr>
      <w:spacing w:after="0" w:line="240" w:lineRule="auto"/>
    </w:pPr>
    <w:rPr>
      <w:rFonts w:ascii="Arial" w:hAnsi="Arial" w:cs="Arial"/>
      <w:lang w:val="en-US"/>
    </w:rPr>
  </w:style>
  <w:style w:type="character" w:styleId="FollowedHyperlink">
    <w:name w:val="FollowedHyperlink"/>
    <w:basedOn w:val="DefaultParagraphFont"/>
    <w:uiPriority w:val="99"/>
    <w:semiHidden/>
    <w:unhideWhenUsed/>
    <w:rsid w:val="003F7A86"/>
    <w:rPr>
      <w:color w:val="954F72" w:themeColor="followedHyperlink"/>
      <w:u w:val="single"/>
    </w:rPr>
  </w:style>
  <w:style w:type="paragraph" w:styleId="TOC3">
    <w:name w:val="toc 3"/>
    <w:basedOn w:val="Normal"/>
    <w:next w:val="Normal"/>
    <w:autoRedefine/>
    <w:uiPriority w:val="39"/>
    <w:unhideWhenUsed/>
    <w:rsid w:val="00390074"/>
    <w:pPr>
      <w:spacing w:after="100"/>
      <w:ind w:left="440"/>
    </w:pPr>
  </w:style>
  <w:style w:type="table" w:customStyle="1" w:styleId="TableGrid11">
    <w:name w:val="Table Grid11"/>
    <w:basedOn w:val="TableNormal"/>
    <w:next w:val="TableGrid"/>
    <w:uiPriority w:val="59"/>
    <w:rsid w:val="00FB4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sList">
    <w:name w:val="Dot Points List"/>
    <w:basedOn w:val="ListBullet"/>
    <w:link w:val="DotPointsListChar"/>
    <w:qFormat/>
    <w:rsid w:val="00816991"/>
    <w:pPr>
      <w:spacing w:line="280" w:lineRule="exact"/>
      <w:ind w:left="360"/>
    </w:pPr>
  </w:style>
  <w:style w:type="character" w:customStyle="1" w:styleId="ListBulletChar">
    <w:name w:val="List Bullet Char"/>
    <w:basedOn w:val="ListParagraphChar"/>
    <w:link w:val="ListBullet"/>
    <w:uiPriority w:val="99"/>
    <w:rsid w:val="00816991"/>
    <w:rPr>
      <w:rFonts w:ascii="Arial" w:hAnsi="Arial" w:cs="Arial"/>
      <w:lang w:val="en-US"/>
    </w:rPr>
  </w:style>
  <w:style w:type="character" w:customStyle="1" w:styleId="DotPointsListChar">
    <w:name w:val="Dot Points List Char"/>
    <w:basedOn w:val="ListBulletChar"/>
    <w:link w:val="DotPointsList"/>
    <w:rsid w:val="00816991"/>
    <w:rPr>
      <w:rFonts w:ascii="Arial" w:hAnsi="Arial" w:cs="Arial"/>
      <w:lang w:val="en-US"/>
    </w:rPr>
  </w:style>
  <w:style w:type="paragraph" w:customStyle="1" w:styleId="Head2">
    <w:name w:val="Head 2"/>
    <w:basedOn w:val="Normal"/>
    <w:next w:val="Normal"/>
    <w:autoRedefine/>
    <w:rsid w:val="00A147C2"/>
    <w:pPr>
      <w:keepNext/>
      <w:keepLines/>
      <w:tabs>
        <w:tab w:val="left" w:pos="6096"/>
      </w:tabs>
      <w:spacing w:before="440" w:after="220" w:line="240" w:lineRule="auto"/>
      <w:ind w:left="352" w:hanging="352"/>
      <w:outlineLvl w:val="1"/>
    </w:pPr>
    <w:rPr>
      <w:rFonts w:eastAsia="Times New Roman"/>
      <w:color w:val="0E8387"/>
      <w:kern w:val="36"/>
      <w:sz w:val="42"/>
      <w:szCs w:val="42"/>
      <w:lang w:eastAsia="en-AU"/>
    </w:rPr>
  </w:style>
  <w:style w:type="paragraph" w:styleId="FootnoteText">
    <w:name w:val="footnote text"/>
    <w:basedOn w:val="Normal"/>
    <w:link w:val="FootnoteTextChar"/>
    <w:uiPriority w:val="99"/>
    <w:semiHidden/>
    <w:unhideWhenUsed/>
    <w:rsid w:val="003B3B3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B3B3B"/>
    <w:rPr>
      <w:rFonts w:ascii="Arial" w:hAnsi="Arial" w:cs="Arial"/>
      <w:sz w:val="20"/>
      <w:szCs w:val="20"/>
      <w:lang w:val="en-US"/>
    </w:rPr>
  </w:style>
  <w:style w:type="character" w:styleId="FootnoteReference">
    <w:name w:val="footnote reference"/>
    <w:basedOn w:val="DefaultParagraphFont"/>
    <w:uiPriority w:val="99"/>
    <w:semiHidden/>
    <w:unhideWhenUsed/>
    <w:rsid w:val="003B3B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0884">
      <w:bodyDiv w:val="1"/>
      <w:marLeft w:val="0"/>
      <w:marRight w:val="0"/>
      <w:marTop w:val="0"/>
      <w:marBottom w:val="0"/>
      <w:divBdr>
        <w:top w:val="none" w:sz="0" w:space="0" w:color="auto"/>
        <w:left w:val="none" w:sz="0" w:space="0" w:color="auto"/>
        <w:bottom w:val="none" w:sz="0" w:space="0" w:color="auto"/>
        <w:right w:val="none" w:sz="0" w:space="0" w:color="auto"/>
      </w:divBdr>
    </w:div>
    <w:div w:id="683244544">
      <w:bodyDiv w:val="1"/>
      <w:marLeft w:val="0"/>
      <w:marRight w:val="0"/>
      <w:marTop w:val="0"/>
      <w:marBottom w:val="0"/>
      <w:divBdr>
        <w:top w:val="none" w:sz="0" w:space="0" w:color="auto"/>
        <w:left w:val="none" w:sz="0" w:space="0" w:color="auto"/>
        <w:bottom w:val="none" w:sz="0" w:space="0" w:color="auto"/>
        <w:right w:val="none" w:sz="0" w:space="0" w:color="auto"/>
      </w:divBdr>
    </w:div>
    <w:div w:id="932664906">
      <w:bodyDiv w:val="1"/>
      <w:marLeft w:val="0"/>
      <w:marRight w:val="0"/>
      <w:marTop w:val="0"/>
      <w:marBottom w:val="0"/>
      <w:divBdr>
        <w:top w:val="none" w:sz="0" w:space="0" w:color="auto"/>
        <w:left w:val="none" w:sz="0" w:space="0" w:color="auto"/>
        <w:bottom w:val="none" w:sz="0" w:space="0" w:color="auto"/>
        <w:right w:val="none" w:sz="0" w:space="0" w:color="auto"/>
      </w:divBdr>
    </w:div>
    <w:div w:id="1134445758">
      <w:bodyDiv w:val="1"/>
      <w:marLeft w:val="0"/>
      <w:marRight w:val="0"/>
      <w:marTop w:val="0"/>
      <w:marBottom w:val="0"/>
      <w:divBdr>
        <w:top w:val="none" w:sz="0" w:space="0" w:color="auto"/>
        <w:left w:val="none" w:sz="0" w:space="0" w:color="auto"/>
        <w:bottom w:val="none" w:sz="0" w:space="0" w:color="auto"/>
        <w:right w:val="none" w:sz="0" w:space="0" w:color="auto"/>
      </w:divBdr>
    </w:div>
    <w:div w:id="1237133071">
      <w:bodyDiv w:val="1"/>
      <w:marLeft w:val="0"/>
      <w:marRight w:val="0"/>
      <w:marTop w:val="0"/>
      <w:marBottom w:val="0"/>
      <w:divBdr>
        <w:top w:val="none" w:sz="0" w:space="0" w:color="auto"/>
        <w:left w:val="none" w:sz="0" w:space="0" w:color="auto"/>
        <w:bottom w:val="none" w:sz="0" w:space="0" w:color="auto"/>
        <w:right w:val="none" w:sz="0" w:space="0" w:color="auto"/>
      </w:divBdr>
    </w:div>
    <w:div w:id="177366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oftwaredevelopers.ato.gov.au/OnlineservicesforDSPs" TargetMode="External"/><Relationship Id="rId18" Type="http://schemas.openxmlformats.org/officeDocument/2006/relationships/hyperlink" Target="https://www.ato.gov.au/Definitions/?anchor=top" TargetMode="External"/><Relationship Id="rId26" Type="http://schemas.openxmlformats.org/officeDocument/2006/relationships/hyperlink" Target="https://www.sbr.gov.au/digital-service-providers/developer-tools/australian-taxation-office-ato/non-individual-income-tax-return-nitr" TargetMode="External"/><Relationship Id="rId39" Type="http://schemas.openxmlformats.org/officeDocument/2006/relationships/hyperlink" Target="https://softwaredevelopers.ato.gov.au/sites/default/files/2020-06/Reasonable_use_of_ATO_digital_wholesale_services.pdf" TargetMode="External"/><Relationship Id="rId3" Type="http://schemas.openxmlformats.org/officeDocument/2006/relationships/customXml" Target="../customXml/item3.xml"/><Relationship Id="rId21" Type="http://schemas.openxmlformats.org/officeDocument/2006/relationships/hyperlink" Target="https://www.sbr.gov.au/digital-service-providers/developer-tools/australian-taxation-office-ato/activity-statements" TargetMode="External"/><Relationship Id="rId34" Type="http://schemas.openxmlformats.org/officeDocument/2006/relationships/hyperlink" Target="https://www.ato.gov.au/businesses-and-organisations/preparing-lodging-and-paying/business-activity-statements-bas/fixing-bas-mistakes-or-making-adjustments"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br.gov.au/digital-service-providers/developer-tools/glossary" TargetMode="External"/><Relationship Id="rId25" Type="http://schemas.openxmlformats.org/officeDocument/2006/relationships/hyperlink" Target="https://www.sbr.gov.au/digital-service-providers/developer-tools/australian-taxation-office-ato/non-individual-income-tax-return-nitr" TargetMode="External"/><Relationship Id="rId33" Type="http://schemas.openxmlformats.org/officeDocument/2006/relationships/hyperlink" Target="https://www.ato.gov.au/businesses-and-organisations/hiring-and-paying-your-workers/single-touch-payroll/lodgment-reminder-pilot" TargetMode="External"/><Relationship Id="rId38" Type="http://schemas.openxmlformats.org/officeDocument/2006/relationships/hyperlink" Target="https://www.sbr.gov.au/" TargetMode="External"/><Relationship Id="rId2" Type="http://schemas.openxmlformats.org/officeDocument/2006/relationships/customXml" Target="../customXml/item2.xml"/><Relationship Id="rId16" Type="http://schemas.openxmlformats.org/officeDocument/2006/relationships/hyperlink" Target="https://www.sbr.gov.au/sites/default/files/ato_common_business_implementation_and_taxpayer_declaration_guide_v1.1.docx" TargetMode="External"/><Relationship Id="rId20" Type="http://schemas.openxmlformats.org/officeDocument/2006/relationships/hyperlink" Target="https://www.sbr.gov.au/sites/default/files/2024-03/ATO_LDG_GET_0002.2019_Business_Implementation_Guide.docx" TargetMode="External"/><Relationship Id="rId29" Type="http://schemas.openxmlformats.org/officeDocument/2006/relationships/hyperlink" Target="https://www.sbr.gov.au/digital-service-providers/developer-tools/australian-taxation-office-ato/non-individual-income-tax-return-nit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br.gov.au/digital-service-providers/developer-tools/australian-taxation-office-ato/income-tax-returns-itr/individual-income-tax-returns-iitr" TargetMode="External"/><Relationship Id="rId32" Type="http://schemas.openxmlformats.org/officeDocument/2006/relationships/hyperlink" Target="https://www.ato.gov.au/businesses-and-organisations/preparing-lodging-and-paying/business-activity-statements-bas/in-detail/activity-statement-generate-dates" TargetMode="External"/><Relationship Id="rId37" Type="http://schemas.openxmlformats.org/officeDocument/2006/relationships/hyperlink" Target="https://www.sbr.gov.au/digital-service-providers/developer-tools/australian-taxation-office-ato/ato-common-artefacts-and-reference-documents" TargetMode="External"/><Relationship Id="rId40" Type="http://schemas.openxmlformats.org/officeDocument/2006/relationships/hyperlink" Target="mailto:SBRServiceDesk@sbr.gov.au" TargetMode="External"/><Relationship Id="rId5" Type="http://schemas.openxmlformats.org/officeDocument/2006/relationships/customXml" Target="../customXml/item5.xml"/><Relationship Id="rId15" Type="http://schemas.openxmlformats.org/officeDocument/2006/relationships/hyperlink" Target="http://www.sbr.gov.au" TargetMode="External"/><Relationship Id="rId23" Type="http://schemas.openxmlformats.org/officeDocument/2006/relationships/hyperlink" Target="https://www.sbr.gov.au/digital-service-providers/developer-tools/australian-taxation-office-ato/activity-statements" TargetMode="External"/><Relationship Id="rId28" Type="http://schemas.openxmlformats.org/officeDocument/2006/relationships/hyperlink" Target="https://www.sbr.gov.au/digital-service-providers/developer-tools/australian-taxation-office-ato/non-individual-income-tax-return-nitr" TargetMode="External"/><Relationship Id="rId36" Type="http://schemas.openxmlformats.org/officeDocument/2006/relationships/hyperlink" Target="https://www.sbr.gov.au/digital-service-providers/developer-tools/australian-taxation-office-ato/obligation-management-oblmgt/client-management-clntmgt" TargetMode="External"/><Relationship Id="rId10" Type="http://schemas.openxmlformats.org/officeDocument/2006/relationships/footnotes" Target="footnotes.xml"/><Relationship Id="rId19" Type="http://schemas.openxmlformats.org/officeDocument/2006/relationships/hyperlink" Target="https://www.sbr.gov.au/sites/default/files/2024-03/ATO_LDG_GET_0002.2019_Business_Implementation_Guide.docx" TargetMode="External"/><Relationship Id="rId31" Type="http://schemas.openxmlformats.org/officeDocument/2006/relationships/hyperlink" Target="https://www.sbr.gov.au/digital-service-providers/developer-tools/australian-taxation-office-ato/non-individual-income-tax-return-nitr"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hyperlink" Target="https://www.sbr.gov.au/digital-service-providers/developer-tools/australian-taxation-office-ato/income-tax-returns-itr/individual-income-tax-returns-iitr" TargetMode="External"/><Relationship Id="rId27" Type="http://schemas.openxmlformats.org/officeDocument/2006/relationships/hyperlink" Target="https://www.sbr.gov.au/digital-service-providers/developer-tools/australian-taxation-office-ato/non-individual-income-tax-return-nitr" TargetMode="External"/><Relationship Id="rId30" Type="http://schemas.openxmlformats.org/officeDocument/2006/relationships/hyperlink" Target="https://www.sbr.gov.au/digital-service-providers/developer-tools/australian-taxation-office-ato/non-individual-income-tax-return-nitr" TargetMode="External"/><Relationship Id="rId35" Type="http://schemas.openxmlformats.org/officeDocument/2006/relationships/hyperlink" Target="https://www.sbr.gov.au/digital-service-providers/developer-tools/australian-taxation-office-ato/activity-statement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1.2</_Version>
    <Document_x0020_Status xmlns="b8f7953d-d14b-4f71-b9e9-b3870bf8f12a">Published Final</Document_x0020_Status>
    <Endorsing_x0020_Officer xmlns="b8f7953d-d14b-4f71-b9e9-b3870bf8f12a">
      <UserInfo>
        <DisplayName>Katrena Cawthorne</DisplayName>
        <AccountId>663</AccountId>
        <AccountType/>
      </UserInfo>
    </Endorsing_x0020_Officer>
    <Publication_x0020_Date xmlns="b8f7953d-d14b-4f71-b9e9-b3870bf8f12a">2024-08-21T14:00:00+00:00</Publication_x0020_Date>
    <Publication_x0020_Site xmlns="b8f7953d-d14b-4f71-b9e9-b3870bf8f12a">sbr.gov.au</Publication_x0020_Site>
    <Project xmlns="b8f7953d-d14b-4f71-b9e9-b3870bf8f12a" xsi:nil="true"/>
    <Audience xmlns="b8f7953d-d14b-4f71-b9e9-b3870bf8f12a">External</Audience>
    <Domain xmlns="b8f7953d-d14b-4f71-b9e9-b3870bf8f12a">Lodgment Management</Domain>
    <_dlc_DocId xmlns="ebcfea33-81e3-40b3-964f-0af249f09b77">ENHAASS3WZA2-2111939726-53301</_dlc_DocId>
    <_dlc_DocIdUrl xmlns="ebcfea33-81e3-40b3-964f-0af249f09b77">
      <Url>https://atooffice.sharepoint.com/sites/DWISDDD/_layouts/15/DocIdRedir.aspx?ID=ENHAASS3WZA2-2111939726-53301</Url>
      <Description>ENHAASS3WZA2-2111939726-53301</Description>
    </_dlc_DocIdUrl>
    <TaxCatchAll xmlns="ebcfea33-81e3-40b3-964f-0af249f09b77" xsi:nil="true"/>
    <_dlc_DocIdPersistId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98D365-3C3D-4D0E-B8E4-5C293ACA1B5D}">
  <ds:schemaRefs>
    <ds:schemaRef ds:uri="http://schemas.microsoft.com/sharepoint/v3/contenttype/forms"/>
  </ds:schemaRefs>
</ds:datastoreItem>
</file>

<file path=customXml/itemProps2.xml><?xml version="1.0" encoding="utf-8"?>
<ds:datastoreItem xmlns:ds="http://schemas.openxmlformats.org/officeDocument/2006/customXml" ds:itemID="{8D73AE10-E3CE-4BF1-B859-02FA77448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FD976-81E7-458E-88CC-D318AE15566B}">
  <ds:schemaRefs>
    <ds:schemaRef ds:uri="http://schemas.microsoft.com/sharepoint/events"/>
  </ds:schemaRefs>
</ds:datastoreItem>
</file>

<file path=customXml/itemProps4.xml><?xml version="1.0" encoding="utf-8"?>
<ds:datastoreItem xmlns:ds="http://schemas.openxmlformats.org/officeDocument/2006/customXml" ds:itemID="{68FAEB15-1F46-4C5A-A8CC-FDC1911209DB}">
  <ds:schemaRefs>
    <ds:schemaRef ds:uri="http://schemas.openxmlformats.org/officeDocument/2006/bibliography"/>
  </ds:schemaRefs>
</ds:datastoreItem>
</file>

<file path=customXml/itemProps5.xml><?xml version="1.0" encoding="utf-8"?>
<ds:datastoreItem xmlns:ds="http://schemas.openxmlformats.org/officeDocument/2006/customXml" ds:itemID="{7F6403ED-2659-4D37-81B3-726EC2D8A033}">
  <ds:schemaRefs>
    <ds:schemaRef ds:uri="http://purl.org/dc/elements/1.1/"/>
    <ds:schemaRef ds:uri="http://schemas.microsoft.com/office/2006/metadata/properties"/>
    <ds:schemaRef ds:uri="http://schemas.microsoft.com/sharepoint/v3/fields"/>
    <ds:schemaRef ds:uri="b8f7953d-d14b-4f71-b9e9-b3870bf8f12a"/>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ebcfea33-81e3-40b3-964f-0af249f09b7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2597</Words>
  <Characters>14804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ATO LDG 0005.2023 LST Business Implementation Guide</vt:lpstr>
    </vt:vector>
  </TitlesOfParts>
  <Company>Australian Taxation Office</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LDG 0005.2023 LIST Business Implementation Guide</dc:title>
  <dc:subject/>
  <dc:creator>Felecity-Ann.Stokes@ato.gov.au</dc:creator>
  <cp:keywords>1.2</cp:keywords>
  <dc:description>Final</dc:description>
  <cp:lastModifiedBy>Michelle Kay</cp:lastModifiedBy>
  <cp:revision>2</cp:revision>
  <dcterms:created xsi:type="dcterms:W3CDTF">2024-08-22T03:22:00Z</dcterms:created>
  <dcterms:modified xsi:type="dcterms:W3CDTF">2024-08-22T03:22:00Z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156e2261-e122-4430-8087-b13e788b696d</vt:lpwstr>
  </property>
  <property fmtid="{D5CDD505-2E9C-101B-9397-08002B2CF9AE}" pid="4" name="IsABRSLetter">
    <vt:bool>false</vt:bool>
  </property>
  <property fmtid="{D5CDD505-2E9C-101B-9397-08002B2CF9AE}" pid="5" name="MediaServiceImageTags">
    <vt:lpwstr/>
  </property>
  <property fmtid="{D5CDD505-2E9C-101B-9397-08002B2CF9AE}" pid="6" name="MSIP_Label_c111c204-3025-4293-a668-517002c3f023_Enabled">
    <vt:lpwstr>True</vt:lpwstr>
  </property>
  <property fmtid="{D5CDD505-2E9C-101B-9397-08002B2CF9AE}" pid="7" name="MSIP_Label_c111c204-3025-4293-a668-517002c3f023_SiteId">
    <vt:lpwstr>8e823e99-cbcb-430f-a0f6-af1365c21e22</vt:lpwstr>
  </property>
  <property fmtid="{D5CDD505-2E9C-101B-9397-08002B2CF9AE}" pid="8" name="MSIP_Label_c111c204-3025-4293-a668-517002c3f023_SetDate">
    <vt:lpwstr>2024-05-09T22:35:40Z</vt:lpwstr>
  </property>
  <property fmtid="{D5CDD505-2E9C-101B-9397-08002B2CF9AE}" pid="9" name="MSIP_Label_c111c204-3025-4293-a668-517002c3f023_Name">
    <vt:lpwstr>OFFICIAL</vt:lpwstr>
  </property>
  <property fmtid="{D5CDD505-2E9C-101B-9397-08002B2CF9AE}" pid="10" name="MSIP_Label_c111c204-3025-4293-a668-517002c3f023_ActionId">
    <vt:lpwstr>da10aca4-6a6a-4a2c-825d-fc269d1cc533</vt:lpwstr>
  </property>
  <property fmtid="{D5CDD505-2E9C-101B-9397-08002B2CF9AE}" pid="11" name="MSIP_Label_c111c204-3025-4293-a668-517002c3f023_Removed">
    <vt:lpwstr>False</vt:lpwstr>
  </property>
  <property fmtid="{D5CDD505-2E9C-101B-9397-08002B2CF9AE}" pid="12" name="MSIP_Label_c111c204-3025-4293-a668-517002c3f023_Extended_MSFT_Method">
    <vt:lpwstr>Privileged</vt:lpwstr>
  </property>
  <property fmtid="{D5CDD505-2E9C-101B-9397-08002B2CF9AE}" pid="13" name="Sensitivity">
    <vt:lpwstr>OFFICIAL</vt:lpwstr>
  </property>
</Properties>
</file>