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198"/>
        <w:gridCol w:w="238"/>
        <w:gridCol w:w="1205"/>
        <w:gridCol w:w="1998"/>
      </w:tblGrid>
      <w:tr w:rsidR="00BA43CC" w:rsidRPr="00542C3D" w14:paraId="6956B2AA" w14:textId="77777777" w:rsidTr="000E5315">
        <w:trPr>
          <w:trHeight w:hRule="exact" w:val="1798"/>
        </w:trPr>
        <w:tc>
          <w:tcPr>
            <w:tcW w:w="9639" w:type="dxa"/>
            <w:gridSpan w:val="4"/>
            <w:vAlign w:val="bottom"/>
          </w:tcPr>
          <w:p w14:paraId="2E14A6FB" w14:textId="77777777" w:rsidR="00BA43CC" w:rsidRPr="00542C3D" w:rsidRDefault="00CB68BB" w:rsidP="00A104FE">
            <w:pPr>
              <w:spacing w:before="60" w:after="60"/>
              <w:jc w:val="center"/>
              <w:rPr>
                <w:rFonts w:cs="Arial"/>
                <w:noProof/>
              </w:rPr>
            </w:pPr>
            <w:bookmarkStart w:id="0" w:name="_Toc228954255"/>
            <w:r>
              <w:rPr>
                <w:rFonts w:cs="Arial"/>
                <w:noProof/>
              </w:rPr>
              <w:drawing>
                <wp:anchor distT="0" distB="0" distL="114300" distR="114300" simplePos="0" relativeHeight="251612672" behindDoc="1" locked="1" layoutInCell="1" allowOverlap="1" wp14:anchorId="776982DA" wp14:editId="25CDEE77">
                  <wp:simplePos x="0" y="0"/>
                  <wp:positionH relativeFrom="page">
                    <wp:align>center</wp:align>
                  </wp:positionH>
                  <wp:positionV relativeFrom="page">
                    <wp:align>top</wp:align>
                  </wp:positionV>
                  <wp:extent cx="7558405" cy="1936115"/>
                  <wp:effectExtent l="19050" t="0" r="4445" b="0"/>
                  <wp:wrapNone/>
                  <wp:docPr id="26"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8" cstate="print"/>
                          <a:srcRect/>
                          <a:stretch>
                            <a:fillRect/>
                          </a:stretch>
                        </pic:blipFill>
                        <pic:spPr bwMode="auto">
                          <a:xfrm>
                            <a:off x="0" y="0"/>
                            <a:ext cx="7558405" cy="1936115"/>
                          </a:xfrm>
                          <a:prstGeom prst="rect">
                            <a:avLst/>
                          </a:prstGeom>
                          <a:noFill/>
                        </pic:spPr>
                      </pic:pic>
                    </a:graphicData>
                  </a:graphic>
                </wp:anchor>
              </w:drawing>
            </w:r>
            <w:r w:rsidR="00B759FC">
              <w:rPr>
                <w:rFonts w:cs="Arial"/>
              </w:rPr>
              <w:t xml:space="preserve">                                               </w:t>
            </w:r>
            <w:r w:rsidR="00BA43CC" w:rsidRPr="00542C3D">
              <w:rPr>
                <w:rFonts w:cs="Arial"/>
              </w:rPr>
              <w:t xml:space="preserve">   </w:t>
            </w:r>
          </w:p>
        </w:tc>
      </w:tr>
      <w:tr w:rsidR="00BA43CC" w:rsidRPr="00542C3D" w14:paraId="65427531" w14:textId="77777777" w:rsidTr="000E5315">
        <w:tc>
          <w:tcPr>
            <w:tcW w:w="6801" w:type="dxa"/>
            <w:gridSpan w:val="2"/>
            <w:vAlign w:val="bottom"/>
          </w:tcPr>
          <w:p w14:paraId="3E110889" w14:textId="77777777" w:rsidR="00BA43CC" w:rsidRPr="001B2A2A" w:rsidRDefault="00BA43CC" w:rsidP="00F54D63">
            <w:pPr>
              <w:spacing w:before="60" w:after="20"/>
              <w:jc w:val="center"/>
              <w:rPr>
                <w:rFonts w:cs="Arial"/>
                <w:b/>
                <w:color w:val="4F81BD"/>
              </w:rPr>
            </w:pPr>
          </w:p>
        </w:tc>
        <w:tc>
          <w:tcPr>
            <w:tcW w:w="1069" w:type="dxa"/>
            <w:tcMar>
              <w:right w:w="0" w:type="dxa"/>
            </w:tcMar>
            <w:vAlign w:val="bottom"/>
          </w:tcPr>
          <w:p w14:paraId="2E815560" w14:textId="77777777" w:rsidR="00BA43CC" w:rsidRPr="00542C3D" w:rsidRDefault="00BA43CC" w:rsidP="000E5315">
            <w:pPr>
              <w:pStyle w:val="FileRefRow"/>
              <w:spacing w:before="60" w:after="60"/>
              <w:jc w:val="right"/>
              <w:rPr>
                <w:rFonts w:cs="Arial"/>
              </w:rPr>
            </w:pPr>
          </w:p>
        </w:tc>
        <w:tc>
          <w:tcPr>
            <w:tcW w:w="1769" w:type="dxa"/>
            <w:tcMar>
              <w:left w:w="0" w:type="dxa"/>
              <w:right w:w="170" w:type="dxa"/>
            </w:tcMar>
            <w:vAlign w:val="bottom"/>
          </w:tcPr>
          <w:p w14:paraId="32B5030A" w14:textId="77777777" w:rsidR="00BA43CC" w:rsidRPr="00542C3D" w:rsidRDefault="00BA43CC" w:rsidP="000E5315">
            <w:pPr>
              <w:pStyle w:val="FileRefRow"/>
              <w:spacing w:before="60" w:after="60"/>
              <w:jc w:val="right"/>
              <w:rPr>
                <w:rFonts w:cs="Arial"/>
              </w:rPr>
            </w:pPr>
          </w:p>
        </w:tc>
      </w:tr>
      <w:tr w:rsidR="00BA43CC" w:rsidRPr="00542C3D" w14:paraId="6BA725C8"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4196BB7B" w14:textId="77777777" w:rsidR="00BA43CC" w:rsidRPr="00542C3D" w:rsidRDefault="00BA43CC" w:rsidP="000E5315">
            <w:pPr>
              <w:pStyle w:val="ReportTitle"/>
              <w:spacing w:before="60"/>
              <w:ind w:left="440"/>
              <w:rPr>
                <w:rFonts w:cs="Arial"/>
              </w:rPr>
            </w:pPr>
            <w:r w:rsidRPr="00542C3D">
              <w:rPr>
                <w:rFonts w:cs="Arial"/>
              </w:rPr>
              <w:t>Standard Business Reporting</w:t>
            </w:r>
          </w:p>
          <w:p w14:paraId="4EA33FFD" w14:textId="52F60049" w:rsidR="00BA43CC" w:rsidRPr="00542C3D" w:rsidRDefault="00FC3CEC" w:rsidP="000E5315">
            <w:pPr>
              <w:pStyle w:val="ReportTitle"/>
              <w:spacing w:before="60"/>
              <w:ind w:left="440"/>
              <w:rPr>
                <w:rFonts w:cs="Arial"/>
                <w:sz w:val="50"/>
                <w:szCs w:val="50"/>
              </w:rPr>
            </w:pPr>
            <w:r>
              <w:rPr>
                <w:rFonts w:cs="Arial"/>
                <w:sz w:val="50"/>
                <w:szCs w:val="50"/>
              </w:rPr>
              <w:t xml:space="preserve">IFRS AU Taxonomy </w:t>
            </w:r>
            <w:r w:rsidR="003124E4">
              <w:rPr>
                <w:rFonts w:cs="Arial"/>
                <w:sz w:val="50"/>
                <w:szCs w:val="50"/>
              </w:rPr>
              <w:t>20</w:t>
            </w:r>
            <w:r w:rsidR="00467D62">
              <w:rPr>
                <w:rFonts w:cs="Arial"/>
                <w:sz w:val="50"/>
                <w:szCs w:val="50"/>
              </w:rPr>
              <w:t>2</w:t>
            </w:r>
            <w:r w:rsidR="008F15FC">
              <w:rPr>
                <w:rFonts w:cs="Arial"/>
                <w:sz w:val="50"/>
                <w:szCs w:val="50"/>
              </w:rPr>
              <w:t>5</w:t>
            </w:r>
            <w:r w:rsidR="00F565E1" w:rsidRPr="00542C3D">
              <w:rPr>
                <w:rFonts w:cs="Arial"/>
                <w:sz w:val="50"/>
                <w:szCs w:val="50"/>
              </w:rPr>
              <w:t xml:space="preserve"> </w:t>
            </w:r>
            <w:r w:rsidR="00BA43CC" w:rsidRPr="00542C3D">
              <w:rPr>
                <w:rFonts w:cs="Arial"/>
                <w:sz w:val="50"/>
                <w:szCs w:val="50"/>
              </w:rPr>
              <w:t>Guide</w:t>
            </w:r>
          </w:p>
          <w:p w14:paraId="67DAB2BC" w14:textId="77777777" w:rsidR="00BA43CC" w:rsidRPr="00542C3D" w:rsidRDefault="00BA43CC" w:rsidP="000E5315">
            <w:pPr>
              <w:pStyle w:val="-subtitle"/>
              <w:tabs>
                <w:tab w:val="left" w:pos="2696"/>
              </w:tabs>
              <w:spacing w:before="240"/>
              <w:ind w:left="425"/>
              <w:rPr>
                <w:rFonts w:ascii="Arial" w:hAnsi="Arial" w:cs="Arial"/>
                <w:sz w:val="28"/>
                <w:szCs w:val="28"/>
              </w:rPr>
            </w:pPr>
            <w:r w:rsidRPr="00542C3D">
              <w:rPr>
                <w:rFonts w:ascii="Arial" w:hAnsi="Arial" w:cs="Arial"/>
                <w:sz w:val="28"/>
                <w:szCs w:val="28"/>
              </w:rPr>
              <w:t>Program name:</w:t>
            </w:r>
            <w:r w:rsidRPr="00542C3D">
              <w:rPr>
                <w:rFonts w:ascii="Arial" w:hAnsi="Arial" w:cs="Arial"/>
                <w:sz w:val="28"/>
                <w:szCs w:val="28"/>
              </w:rPr>
              <w:tab/>
            </w:r>
            <w:r w:rsidRPr="00542C3D">
              <w:rPr>
                <w:rFonts w:ascii="Arial" w:hAnsi="Arial" w:cs="Arial"/>
                <w:i/>
                <w:sz w:val="28"/>
                <w:szCs w:val="28"/>
              </w:rPr>
              <w:t>Standard Business Reporting</w:t>
            </w:r>
          </w:p>
          <w:p w14:paraId="4C07D0BB" w14:textId="1279CAAB" w:rsidR="00BA43CC" w:rsidRDefault="00BA43CC" w:rsidP="00973881">
            <w:pPr>
              <w:pStyle w:val="-subtitle"/>
              <w:spacing w:before="240"/>
              <w:ind w:left="425"/>
              <w:rPr>
                <w:rFonts w:ascii="Arial" w:hAnsi="Arial" w:cs="Arial"/>
                <w:sz w:val="28"/>
                <w:szCs w:val="28"/>
              </w:rPr>
            </w:pPr>
            <w:r w:rsidRPr="00542C3D">
              <w:rPr>
                <w:rFonts w:ascii="Arial" w:hAnsi="Arial" w:cs="Arial"/>
                <w:sz w:val="28"/>
                <w:szCs w:val="28"/>
              </w:rPr>
              <w:t>Date:</w:t>
            </w:r>
            <w:r w:rsidR="00E601F8">
              <w:rPr>
                <w:rFonts w:ascii="Arial" w:hAnsi="Arial" w:cs="Arial"/>
                <w:sz w:val="28"/>
                <w:szCs w:val="28"/>
              </w:rPr>
              <w:t xml:space="preserve"> </w:t>
            </w:r>
            <w:r w:rsidR="00467D62">
              <w:rPr>
                <w:rFonts w:ascii="Arial" w:hAnsi="Arial" w:cs="Arial"/>
                <w:sz w:val="28"/>
                <w:szCs w:val="28"/>
              </w:rPr>
              <w:t>2</w:t>
            </w:r>
            <w:r w:rsidR="008F15FC">
              <w:rPr>
                <w:rFonts w:ascii="Arial" w:hAnsi="Arial" w:cs="Arial"/>
                <w:sz w:val="28"/>
                <w:szCs w:val="28"/>
              </w:rPr>
              <w:t>1</w:t>
            </w:r>
            <w:r w:rsidR="0025065D">
              <w:rPr>
                <w:rFonts w:ascii="Arial" w:hAnsi="Arial" w:cs="Arial"/>
                <w:sz w:val="28"/>
                <w:szCs w:val="28"/>
              </w:rPr>
              <w:t xml:space="preserve"> </w:t>
            </w:r>
            <w:r w:rsidR="008F15FC">
              <w:rPr>
                <w:rFonts w:ascii="Arial" w:hAnsi="Arial" w:cs="Arial"/>
                <w:sz w:val="28"/>
                <w:szCs w:val="28"/>
              </w:rPr>
              <w:t xml:space="preserve">August </w:t>
            </w:r>
            <w:r w:rsidR="0025065D">
              <w:rPr>
                <w:rFonts w:ascii="Arial" w:hAnsi="Arial" w:cs="Arial"/>
                <w:sz w:val="28"/>
                <w:szCs w:val="28"/>
              </w:rPr>
              <w:t>20</w:t>
            </w:r>
            <w:r w:rsidR="00581C74">
              <w:rPr>
                <w:rFonts w:ascii="Arial" w:hAnsi="Arial" w:cs="Arial"/>
                <w:sz w:val="28"/>
                <w:szCs w:val="28"/>
              </w:rPr>
              <w:t>2</w:t>
            </w:r>
            <w:r w:rsidR="008F15FC">
              <w:rPr>
                <w:rFonts w:ascii="Arial" w:hAnsi="Arial" w:cs="Arial"/>
                <w:sz w:val="28"/>
                <w:szCs w:val="28"/>
              </w:rPr>
              <w:t>5</w:t>
            </w:r>
          </w:p>
          <w:p w14:paraId="62DF6821" w14:textId="77777777" w:rsidR="00A46F1E" w:rsidRPr="00A70E54" w:rsidRDefault="00A46F1E" w:rsidP="00973881">
            <w:pPr>
              <w:pStyle w:val="-subtitle"/>
              <w:spacing w:before="240"/>
              <w:ind w:left="425"/>
              <w:rPr>
                <w:rFonts w:ascii="Arial" w:hAnsi="Arial" w:cs="Arial"/>
                <w:i/>
                <w:sz w:val="28"/>
                <w:szCs w:val="28"/>
                <w:highlight w:val="yellow"/>
              </w:rPr>
            </w:pPr>
            <w:r>
              <w:rPr>
                <w:rFonts w:ascii="Arial" w:hAnsi="Arial" w:cs="Arial"/>
                <w:sz w:val="28"/>
                <w:szCs w:val="28"/>
              </w:rPr>
              <w:t>Production Release – suitable for use</w:t>
            </w:r>
          </w:p>
          <w:p w14:paraId="2FAA9DCB" w14:textId="77777777" w:rsidR="00BA43CC" w:rsidRPr="00542C3D" w:rsidRDefault="00BA43CC" w:rsidP="000E5315">
            <w:pPr>
              <w:pStyle w:val="-subtitle"/>
              <w:spacing w:before="240"/>
              <w:ind w:left="425"/>
              <w:rPr>
                <w:rFonts w:ascii="Arial" w:hAnsi="Arial" w:cs="Arial"/>
                <w:sz w:val="28"/>
                <w:szCs w:val="28"/>
              </w:rPr>
            </w:pPr>
          </w:p>
          <w:p w14:paraId="3F744C7D" w14:textId="77777777" w:rsidR="00BA43CC" w:rsidRPr="00542C3D" w:rsidRDefault="00BA43CC" w:rsidP="000E5315">
            <w:pPr>
              <w:pStyle w:val="ReportDescription"/>
              <w:spacing w:before="60" w:after="60"/>
              <w:rPr>
                <w:rFonts w:cs="Arial"/>
              </w:rPr>
            </w:pPr>
          </w:p>
        </w:tc>
      </w:tr>
      <w:tr w:rsidR="00BA43CC" w:rsidRPr="00542C3D" w14:paraId="62212EED"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066169B6" w14:textId="77777777" w:rsidR="00BA43CC" w:rsidRPr="00542C3D" w:rsidRDefault="00BA43CC" w:rsidP="000E5315">
            <w:pPr>
              <w:pBdr>
                <w:bottom w:val="single" w:sz="4" w:space="0" w:color="auto"/>
              </w:pBdr>
              <w:rPr>
                <w:rFonts w:cs="Arial"/>
              </w:rPr>
            </w:pPr>
          </w:p>
        </w:tc>
      </w:tr>
      <w:tr w:rsidR="00BA43CC" w:rsidRPr="00542C3D" w14:paraId="12E1E155"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2E1222B3" w14:textId="77777777" w:rsidR="00BA43CC" w:rsidRDefault="00CB68BB" w:rsidP="000E5315">
            <w:pPr>
              <w:spacing w:before="60" w:after="60"/>
              <w:rPr>
                <w:rFonts w:cs="Arial"/>
                <w:b/>
              </w:rPr>
            </w:pPr>
            <w:r>
              <w:rPr>
                <w:rFonts w:cs="Arial"/>
                <w:noProof/>
              </w:rPr>
              <w:drawing>
                <wp:inline distT="0" distB="0" distL="0" distR="0" wp14:anchorId="68421C13" wp14:editId="4B3C04BB">
                  <wp:extent cx="170180" cy="170180"/>
                  <wp:effectExtent l="19050" t="0" r="127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9" cstate="print"/>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00BA43CC">
              <w:rPr>
                <w:rFonts w:cs="Arial"/>
              </w:rPr>
              <w:t xml:space="preserve">  This document and its attachments are </w:t>
            </w:r>
            <w:r w:rsidR="0057724D">
              <w:rPr>
                <w:rFonts w:cs="Arial"/>
                <w:b/>
              </w:rPr>
              <w:fldChar w:fldCharType="begin">
                <w:ffData>
                  <w:name w:val=""/>
                  <w:enabled/>
                  <w:calcOnExit w:val="0"/>
                  <w:textInput>
                    <w:default w:val="Unclassified"/>
                  </w:textInput>
                </w:ffData>
              </w:fldChar>
            </w:r>
            <w:r w:rsidR="00BA43CC">
              <w:rPr>
                <w:rFonts w:cs="Arial"/>
                <w:b/>
              </w:rPr>
              <w:instrText xml:space="preserve"> FORMTEXT </w:instrText>
            </w:r>
            <w:r w:rsidR="0057724D">
              <w:rPr>
                <w:rFonts w:cs="Arial"/>
                <w:b/>
              </w:rPr>
            </w:r>
            <w:r w:rsidR="0057724D">
              <w:rPr>
                <w:rFonts w:cs="Arial"/>
                <w:b/>
              </w:rPr>
              <w:fldChar w:fldCharType="separate"/>
            </w:r>
            <w:r w:rsidR="00BA43CC">
              <w:rPr>
                <w:rFonts w:cs="Arial"/>
                <w:b/>
                <w:noProof/>
              </w:rPr>
              <w:t>Unclassified</w:t>
            </w:r>
            <w:r w:rsidR="0057724D">
              <w:rPr>
                <w:rFonts w:cs="Arial"/>
                <w:b/>
              </w:rPr>
              <w:fldChar w:fldCharType="end"/>
            </w:r>
          </w:p>
          <w:p w14:paraId="08C9F663" w14:textId="77777777" w:rsidR="00BA43CC" w:rsidRDefault="00BA43CC" w:rsidP="000E5315">
            <w:pPr>
              <w:spacing w:before="60" w:after="60"/>
              <w:rPr>
                <w:rFonts w:cs="Arial"/>
              </w:rPr>
            </w:pPr>
          </w:p>
          <w:p w14:paraId="46FDE0C6" w14:textId="77777777" w:rsidR="00BA43CC" w:rsidRDefault="00BA43CC" w:rsidP="000E5315">
            <w:pPr>
              <w:spacing w:before="60" w:after="60"/>
            </w:pPr>
          </w:p>
        </w:tc>
        <w:tc>
          <w:tcPr>
            <w:tcW w:w="2979" w:type="dxa"/>
            <w:gridSpan w:val="3"/>
            <w:vAlign w:val="bottom"/>
          </w:tcPr>
          <w:p w14:paraId="14A4D73C" w14:textId="77777777" w:rsidR="00BA43CC" w:rsidRDefault="00CB68BB" w:rsidP="000E5315">
            <w:pPr>
              <w:spacing w:before="60" w:after="60"/>
            </w:pPr>
            <w:r>
              <w:rPr>
                <w:noProof/>
              </w:rPr>
              <w:drawing>
                <wp:inline distT="0" distB="0" distL="0" distR="0" wp14:anchorId="588E4F20" wp14:editId="667E6C9E">
                  <wp:extent cx="170180" cy="170180"/>
                  <wp:effectExtent l="19050" t="0" r="127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0" cstate="print"/>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BA43CC" w:rsidRPr="00542C3D" w14:paraId="60A2F218" w14:textId="77777777" w:rsidTr="00265AA7">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999"/>
        </w:trPr>
        <w:tc>
          <w:tcPr>
            <w:tcW w:w="6660" w:type="dxa"/>
          </w:tcPr>
          <w:p w14:paraId="7E8E26C2" w14:textId="77777777" w:rsidR="00BA43CC" w:rsidRDefault="00BA43CC" w:rsidP="000E5315">
            <w:pPr>
              <w:pStyle w:val="Maintext"/>
              <w:spacing w:before="60" w:after="60"/>
              <w:rPr>
                <w:rStyle w:val="Classification"/>
                <w:caps w:val="0"/>
              </w:rPr>
            </w:pPr>
          </w:p>
        </w:tc>
        <w:tc>
          <w:tcPr>
            <w:tcW w:w="2979" w:type="dxa"/>
            <w:gridSpan w:val="3"/>
          </w:tcPr>
          <w:p w14:paraId="2E71D91D" w14:textId="18879674" w:rsidR="00BA43CC" w:rsidRDefault="00265AA7" w:rsidP="00A46F1E">
            <w:pPr>
              <w:spacing w:before="60" w:after="60"/>
            </w:pPr>
            <w:r w:rsidRPr="00265AA7">
              <w:t xml:space="preserve">For further information or questions, contact the SBR Service Desk at </w:t>
            </w:r>
            <w:hyperlink r:id="rId11" w:history="1">
              <w:r w:rsidRPr="00265AA7">
                <w:rPr>
                  <w:rStyle w:val="Hyperlink"/>
                  <w:noProof w:val="0"/>
                </w:rPr>
                <w:t>SBRServiceDesk@</w:t>
              </w:r>
              <w:r w:rsidR="00DF0400">
                <w:rPr>
                  <w:rStyle w:val="Hyperlink"/>
                  <w:noProof w:val="0"/>
                </w:rPr>
                <w:t>sbr</w:t>
              </w:r>
              <w:r w:rsidRPr="00265AA7">
                <w:rPr>
                  <w:rStyle w:val="Hyperlink"/>
                  <w:noProof w:val="0"/>
                </w:rPr>
                <w:t>.gov.au</w:t>
              </w:r>
            </w:hyperlink>
            <w:r w:rsidRPr="00265AA7">
              <w:t xml:space="preserve"> </w:t>
            </w:r>
          </w:p>
        </w:tc>
      </w:tr>
    </w:tbl>
    <w:p w14:paraId="5D9EB84B" w14:textId="77777777" w:rsidR="00BA43CC" w:rsidRDefault="00BA43CC" w:rsidP="00BA43CC">
      <w:pPr>
        <w:pStyle w:val="HEADAA"/>
        <w:rPr>
          <w:caps w:val="0"/>
          <w:kern w:val="0"/>
          <w:sz w:val="22"/>
          <w:szCs w:val="22"/>
        </w:rPr>
      </w:pPr>
    </w:p>
    <w:p w14:paraId="662E6446" w14:textId="4A8B5091" w:rsidR="00AD27B6" w:rsidRPr="00AD27B6" w:rsidRDefault="00AD27B6" w:rsidP="001156E8">
      <w:pPr>
        <w:rPr>
          <w:caps/>
        </w:rPr>
        <w:sectPr w:rsidR="00AD27B6" w:rsidRPr="00AD27B6" w:rsidSect="0098332A">
          <w:headerReference w:type="even" r:id="rId12"/>
          <w:headerReference w:type="default" r:id="rId13"/>
          <w:footerReference w:type="even" r:id="rId14"/>
          <w:footerReference w:type="default" r:id="rId15"/>
          <w:headerReference w:type="first" r:id="rId16"/>
          <w:footerReference w:type="first" r:id="rId17"/>
          <w:pgSz w:w="11906" w:h="16838" w:code="9"/>
          <w:pgMar w:top="1020" w:right="1304" w:bottom="360" w:left="1304" w:header="709" w:footer="317" w:gutter="0"/>
          <w:cols w:space="708"/>
          <w:titlePg/>
          <w:docGrid w:linePitch="360"/>
        </w:sectPr>
      </w:pPr>
    </w:p>
    <w:p w14:paraId="1CC9BE4E" w14:textId="77777777" w:rsidR="00994810" w:rsidRDefault="00B5695A" w:rsidP="00994810">
      <w:pPr>
        <w:pStyle w:val="VersionHeadA"/>
      </w:pPr>
      <w:r>
        <w:lastRenderedPageBreak/>
        <w:t>VERSION CONTROL</w:t>
      </w:r>
    </w:p>
    <w:p w14:paraId="029666E5" w14:textId="77777777" w:rsidR="00B5695A" w:rsidRDefault="00B5695A" w:rsidP="00B5695A">
      <w:pPr>
        <w:rPr>
          <w:lang w:val="fr-FR"/>
        </w:rPr>
      </w:pPr>
    </w:p>
    <w:tbl>
      <w:tblPr>
        <w:tblW w:w="907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70"/>
        <w:gridCol w:w="1908"/>
        <w:gridCol w:w="5497"/>
      </w:tblGrid>
      <w:tr w:rsidR="00994810" w:rsidRPr="00065D6E" w14:paraId="64A50A6A" w14:textId="77777777" w:rsidTr="00CB0773">
        <w:tc>
          <w:tcPr>
            <w:tcW w:w="1670" w:type="dxa"/>
          </w:tcPr>
          <w:p w14:paraId="5EF60747" w14:textId="77777777" w:rsidR="00994810" w:rsidRPr="00065D6E" w:rsidRDefault="00994810" w:rsidP="005709D0">
            <w:pPr>
              <w:pStyle w:val="VersionHead"/>
              <w:spacing w:before="120" w:after="120"/>
              <w:rPr>
                <w:b/>
              </w:rPr>
            </w:pPr>
            <w:bookmarkStart w:id="1" w:name="_Hlk230516160"/>
            <w:r w:rsidRPr="00065D6E">
              <w:rPr>
                <w:b/>
              </w:rPr>
              <w:t>Version</w:t>
            </w:r>
          </w:p>
        </w:tc>
        <w:tc>
          <w:tcPr>
            <w:tcW w:w="1908" w:type="dxa"/>
          </w:tcPr>
          <w:p w14:paraId="1F820F75" w14:textId="77777777" w:rsidR="00994810" w:rsidRPr="00065D6E" w:rsidRDefault="00994810" w:rsidP="005709D0">
            <w:pPr>
              <w:pStyle w:val="VersionHead"/>
              <w:spacing w:before="120" w:after="120"/>
              <w:rPr>
                <w:b/>
              </w:rPr>
            </w:pPr>
            <w:r w:rsidRPr="00065D6E">
              <w:rPr>
                <w:b/>
              </w:rPr>
              <w:t>Release date</w:t>
            </w:r>
          </w:p>
        </w:tc>
        <w:tc>
          <w:tcPr>
            <w:tcW w:w="5497" w:type="dxa"/>
          </w:tcPr>
          <w:p w14:paraId="5B97ABC2" w14:textId="77777777" w:rsidR="00994810" w:rsidRPr="00065D6E" w:rsidRDefault="00994810" w:rsidP="005709D0">
            <w:pPr>
              <w:pStyle w:val="VersionHead"/>
              <w:spacing w:before="120" w:after="120"/>
              <w:rPr>
                <w:b/>
              </w:rPr>
            </w:pPr>
            <w:r w:rsidRPr="00065D6E">
              <w:rPr>
                <w:b/>
              </w:rPr>
              <w:t>Description of changes</w:t>
            </w:r>
          </w:p>
        </w:tc>
      </w:tr>
      <w:tr w:rsidR="008C770E" w:rsidRPr="000F7906" w14:paraId="0DB60A67" w14:textId="77777777" w:rsidTr="00CB0773">
        <w:tc>
          <w:tcPr>
            <w:tcW w:w="1670" w:type="dxa"/>
          </w:tcPr>
          <w:p w14:paraId="2A8D75A7" w14:textId="77777777" w:rsidR="008C770E" w:rsidRPr="00142B3B" w:rsidRDefault="00E601F8" w:rsidP="0004097D">
            <w:pPr>
              <w:pStyle w:val="Version2"/>
              <w:spacing w:before="120" w:after="120"/>
            </w:pPr>
            <w:r>
              <w:t>2011</w:t>
            </w:r>
          </w:p>
        </w:tc>
        <w:tc>
          <w:tcPr>
            <w:tcW w:w="1908" w:type="dxa"/>
          </w:tcPr>
          <w:p w14:paraId="0FE745C9" w14:textId="77777777" w:rsidR="008C770E" w:rsidRPr="00142B3B" w:rsidRDefault="00E601F8" w:rsidP="0004097D">
            <w:pPr>
              <w:pStyle w:val="Version2"/>
              <w:spacing w:before="120" w:after="120"/>
            </w:pPr>
            <w:r>
              <w:t>29 July 2011</w:t>
            </w:r>
          </w:p>
        </w:tc>
        <w:tc>
          <w:tcPr>
            <w:tcW w:w="5497" w:type="dxa"/>
          </w:tcPr>
          <w:p w14:paraId="366CF9C0" w14:textId="77777777" w:rsidR="008C770E" w:rsidRPr="000F7906" w:rsidRDefault="00E601F8" w:rsidP="00E601F8">
            <w:pPr>
              <w:pStyle w:val="Version2"/>
              <w:spacing w:before="120" w:after="120"/>
              <w:rPr>
                <w:lang w:val="fr-FR"/>
              </w:rPr>
            </w:pPr>
            <w:r>
              <w:rPr>
                <w:lang w:val="fr-FR"/>
              </w:rPr>
              <w:t xml:space="preserve">The release of the IFRS AU </w:t>
            </w:r>
            <w:r w:rsidR="00786C17">
              <w:rPr>
                <w:lang w:val="fr-FR"/>
              </w:rPr>
              <w:t>Taxonomy</w:t>
            </w:r>
            <w:r>
              <w:rPr>
                <w:lang w:val="fr-FR"/>
              </w:rPr>
              <w:t xml:space="preserve"> 2011 Guide </w:t>
            </w:r>
          </w:p>
        </w:tc>
      </w:tr>
      <w:tr w:rsidR="00994810" w:rsidRPr="000F7906" w14:paraId="153174CB" w14:textId="77777777" w:rsidTr="00CB0773">
        <w:tc>
          <w:tcPr>
            <w:tcW w:w="1670" w:type="dxa"/>
          </w:tcPr>
          <w:p w14:paraId="1BB9C81E" w14:textId="77777777" w:rsidR="00994810" w:rsidRPr="005A4695" w:rsidRDefault="00586324" w:rsidP="008C770E">
            <w:pPr>
              <w:pStyle w:val="Version2"/>
              <w:spacing w:before="120" w:after="120"/>
            </w:pPr>
            <w:r w:rsidRPr="005A4695">
              <w:t>2012</w:t>
            </w:r>
          </w:p>
        </w:tc>
        <w:tc>
          <w:tcPr>
            <w:tcW w:w="1908" w:type="dxa"/>
          </w:tcPr>
          <w:p w14:paraId="413EF14D" w14:textId="77777777" w:rsidR="00994810" w:rsidRPr="005A4695" w:rsidRDefault="001A3E4D" w:rsidP="0076615C">
            <w:pPr>
              <w:pStyle w:val="Version2"/>
              <w:spacing w:before="120" w:after="120"/>
            </w:pPr>
            <w:r w:rsidRPr="005A4695">
              <w:t>26</w:t>
            </w:r>
            <w:r w:rsidR="00586324" w:rsidRPr="005A4695">
              <w:t xml:space="preserve"> July 2012</w:t>
            </w:r>
          </w:p>
        </w:tc>
        <w:tc>
          <w:tcPr>
            <w:tcW w:w="5497" w:type="dxa"/>
          </w:tcPr>
          <w:p w14:paraId="26BBFEFA" w14:textId="77777777" w:rsidR="008240FF" w:rsidRPr="00A469E8" w:rsidRDefault="00586324" w:rsidP="003D3ABE">
            <w:pPr>
              <w:pStyle w:val="Version2"/>
              <w:spacing w:before="120" w:after="120"/>
            </w:pPr>
            <w:r w:rsidRPr="00A5449B">
              <w:t xml:space="preserve">The release of the </w:t>
            </w:r>
            <w:r w:rsidR="005A4695" w:rsidRPr="00A5449B">
              <w:t>taxonomy guide for the IFRS AU Taxonomy 2012.  This version of the taxonomy includes the IFRS Taxonomy 2012 (as released by the IFRS Foundation on 29 March 2012) and other updates to the AU Extension.</w:t>
            </w:r>
          </w:p>
        </w:tc>
      </w:tr>
      <w:tr w:rsidR="00254B3E" w:rsidRPr="000F7906" w14:paraId="2F120AE3" w14:textId="77777777" w:rsidTr="00CB0773">
        <w:tc>
          <w:tcPr>
            <w:tcW w:w="1670" w:type="dxa"/>
          </w:tcPr>
          <w:p w14:paraId="255A5D86" w14:textId="77777777" w:rsidR="00254B3E" w:rsidRDefault="003D3ABE" w:rsidP="008C770E">
            <w:pPr>
              <w:pStyle w:val="Version2"/>
              <w:spacing w:before="120" w:after="120"/>
            </w:pPr>
            <w:r>
              <w:t>2013</w:t>
            </w:r>
          </w:p>
        </w:tc>
        <w:tc>
          <w:tcPr>
            <w:tcW w:w="1908" w:type="dxa"/>
          </w:tcPr>
          <w:p w14:paraId="16C2A5FD" w14:textId="77777777" w:rsidR="00254B3E" w:rsidRPr="003D3ABE" w:rsidRDefault="00FF124D" w:rsidP="003D3ABE">
            <w:pPr>
              <w:pStyle w:val="Version2"/>
              <w:spacing w:before="120" w:after="120"/>
              <w:rPr>
                <w:highlight w:val="yellow"/>
              </w:rPr>
            </w:pPr>
            <w:r w:rsidRPr="001B1E65">
              <w:t>20 June 2013</w:t>
            </w:r>
          </w:p>
        </w:tc>
        <w:tc>
          <w:tcPr>
            <w:tcW w:w="5497" w:type="dxa"/>
          </w:tcPr>
          <w:p w14:paraId="44669940" w14:textId="77777777" w:rsidR="005F457B" w:rsidRPr="000034BB" w:rsidRDefault="003D3ABE" w:rsidP="005F457B">
            <w:pPr>
              <w:pStyle w:val="Version2"/>
              <w:spacing w:before="120" w:after="120"/>
              <w:ind w:left="0"/>
              <w:rPr>
                <w:bCs/>
              </w:rPr>
            </w:pPr>
            <w:r w:rsidRPr="003D3ABE">
              <w:rPr>
                <w:bCs/>
              </w:rPr>
              <w:t>The release of the taxonomy guide for the IFRS AU Taxonomy 2013.  This version of the taxonomy includes the IFRS Taxonomy 2013 (as released by the IFRS Foundation on 27 March 201</w:t>
            </w:r>
            <w:r w:rsidR="00E46F91">
              <w:rPr>
                <w:bCs/>
              </w:rPr>
              <w:t>3</w:t>
            </w:r>
            <w:r w:rsidRPr="003D3ABE">
              <w:rPr>
                <w:bCs/>
              </w:rPr>
              <w:t>) and other updates to the AU Extension.</w:t>
            </w:r>
          </w:p>
        </w:tc>
      </w:tr>
      <w:tr w:rsidR="00891456" w:rsidRPr="000F7906" w14:paraId="6D146017" w14:textId="77777777" w:rsidTr="00CB0773">
        <w:tc>
          <w:tcPr>
            <w:tcW w:w="1670" w:type="dxa"/>
          </w:tcPr>
          <w:p w14:paraId="623869C0" w14:textId="77777777" w:rsidR="00891456" w:rsidRPr="00142B3B" w:rsidRDefault="00E16B57" w:rsidP="00A93A26">
            <w:pPr>
              <w:pStyle w:val="Version2"/>
              <w:spacing w:before="120" w:after="120"/>
            </w:pPr>
            <w:r>
              <w:t>2014</w:t>
            </w:r>
          </w:p>
        </w:tc>
        <w:tc>
          <w:tcPr>
            <w:tcW w:w="1908" w:type="dxa"/>
          </w:tcPr>
          <w:p w14:paraId="293DC8F0" w14:textId="77777777" w:rsidR="00891456" w:rsidRPr="00142B3B" w:rsidRDefault="00E16B57" w:rsidP="00A93A26">
            <w:pPr>
              <w:pStyle w:val="Version2"/>
              <w:spacing w:before="120" w:after="120"/>
            </w:pPr>
            <w:r>
              <w:t>19 June 2014</w:t>
            </w:r>
          </w:p>
        </w:tc>
        <w:tc>
          <w:tcPr>
            <w:tcW w:w="5497" w:type="dxa"/>
          </w:tcPr>
          <w:p w14:paraId="42525F07" w14:textId="77777777" w:rsidR="00891456" w:rsidRPr="00A469E8" w:rsidRDefault="00E16B57" w:rsidP="00E16B57">
            <w:pPr>
              <w:pStyle w:val="Version2"/>
              <w:spacing w:before="120" w:after="120"/>
              <w:ind w:left="0"/>
            </w:pPr>
            <w:r w:rsidRPr="003D3ABE">
              <w:rPr>
                <w:bCs/>
              </w:rPr>
              <w:t>The release of the taxonomy gui</w:t>
            </w:r>
            <w:r>
              <w:rPr>
                <w:bCs/>
              </w:rPr>
              <w:t>de for the IFRS AU Taxonomy 2014</w:t>
            </w:r>
            <w:r w:rsidRPr="003D3ABE">
              <w:rPr>
                <w:bCs/>
              </w:rPr>
              <w:t>.  This version of the taxonomy includes the IFRS Taxonomy 201</w:t>
            </w:r>
            <w:r>
              <w:rPr>
                <w:bCs/>
              </w:rPr>
              <w:t>4</w:t>
            </w:r>
            <w:r w:rsidRPr="003D3ABE">
              <w:rPr>
                <w:bCs/>
              </w:rPr>
              <w:t xml:space="preserve"> (as released by the IFRS Foundation on </w:t>
            </w:r>
            <w:r>
              <w:rPr>
                <w:bCs/>
              </w:rPr>
              <w:t>5</w:t>
            </w:r>
            <w:r w:rsidRPr="003D3ABE">
              <w:rPr>
                <w:bCs/>
              </w:rPr>
              <w:t xml:space="preserve"> March 201</w:t>
            </w:r>
            <w:r>
              <w:rPr>
                <w:bCs/>
              </w:rPr>
              <w:t>4</w:t>
            </w:r>
            <w:r w:rsidRPr="003D3ABE">
              <w:rPr>
                <w:bCs/>
              </w:rPr>
              <w:t>) and other updates to the AU Extension.</w:t>
            </w:r>
          </w:p>
        </w:tc>
      </w:tr>
      <w:tr w:rsidR="00C06785" w:rsidRPr="000F7906" w14:paraId="184947BC" w14:textId="77777777" w:rsidTr="00CB0773">
        <w:tc>
          <w:tcPr>
            <w:tcW w:w="1670" w:type="dxa"/>
          </w:tcPr>
          <w:p w14:paraId="41B7364F" w14:textId="77777777" w:rsidR="00C06785" w:rsidRDefault="00C06785" w:rsidP="00A93A26">
            <w:pPr>
              <w:pStyle w:val="Version2"/>
              <w:spacing w:before="120" w:after="120"/>
            </w:pPr>
            <w:r>
              <w:t>2015</w:t>
            </w:r>
          </w:p>
        </w:tc>
        <w:tc>
          <w:tcPr>
            <w:tcW w:w="1908" w:type="dxa"/>
          </w:tcPr>
          <w:p w14:paraId="2CAB5A87" w14:textId="77777777" w:rsidR="00C06785" w:rsidRDefault="00C06785" w:rsidP="00A93A26">
            <w:pPr>
              <w:pStyle w:val="Version2"/>
              <w:spacing w:before="120" w:after="120"/>
            </w:pPr>
            <w:r>
              <w:t>28 February 2015</w:t>
            </w:r>
          </w:p>
        </w:tc>
        <w:tc>
          <w:tcPr>
            <w:tcW w:w="5497" w:type="dxa"/>
          </w:tcPr>
          <w:p w14:paraId="44BCC11D" w14:textId="77777777" w:rsidR="00C06785" w:rsidRPr="003D3ABE" w:rsidRDefault="00C06785" w:rsidP="00E16B57">
            <w:pPr>
              <w:pStyle w:val="Version2"/>
              <w:spacing w:before="120" w:after="120"/>
              <w:ind w:left="0"/>
              <w:rPr>
                <w:bCs/>
              </w:rPr>
            </w:pPr>
            <w:r>
              <w:rPr>
                <w:bCs/>
              </w:rPr>
              <w:t>This version provides updates to the taxonomy guide in relation to the lodgement of digital financial reports in inline XBRL format.</w:t>
            </w:r>
          </w:p>
        </w:tc>
      </w:tr>
      <w:tr w:rsidR="001C3ACF" w:rsidRPr="000F7906" w14:paraId="6B07EC6F" w14:textId="77777777" w:rsidTr="00CB0773">
        <w:tc>
          <w:tcPr>
            <w:tcW w:w="1670" w:type="dxa"/>
          </w:tcPr>
          <w:p w14:paraId="4E51B4BD" w14:textId="77777777" w:rsidR="001C3ACF" w:rsidRDefault="001C3ACF" w:rsidP="00A93A26">
            <w:pPr>
              <w:pStyle w:val="Version2"/>
              <w:spacing w:before="120" w:after="120"/>
            </w:pPr>
            <w:r>
              <w:t>2015</w:t>
            </w:r>
          </w:p>
        </w:tc>
        <w:tc>
          <w:tcPr>
            <w:tcW w:w="1908" w:type="dxa"/>
          </w:tcPr>
          <w:p w14:paraId="2F8F8E67" w14:textId="77777777" w:rsidR="001C3ACF" w:rsidRDefault="001C3ACF" w:rsidP="00A93A26">
            <w:pPr>
              <w:pStyle w:val="Version2"/>
              <w:spacing w:before="120" w:after="120"/>
            </w:pPr>
            <w:r>
              <w:t>18 June 2015</w:t>
            </w:r>
          </w:p>
        </w:tc>
        <w:tc>
          <w:tcPr>
            <w:tcW w:w="5497" w:type="dxa"/>
          </w:tcPr>
          <w:p w14:paraId="3156D3CB" w14:textId="77777777" w:rsidR="001C3ACF" w:rsidRDefault="001C3ACF" w:rsidP="001C3ACF">
            <w:pPr>
              <w:pStyle w:val="Version2"/>
              <w:spacing w:before="120" w:after="120"/>
              <w:ind w:left="0"/>
              <w:rPr>
                <w:bCs/>
              </w:rPr>
            </w:pPr>
            <w:r w:rsidRPr="003D3ABE">
              <w:rPr>
                <w:bCs/>
              </w:rPr>
              <w:t>The release of the taxonomy gui</w:t>
            </w:r>
            <w:r>
              <w:rPr>
                <w:bCs/>
              </w:rPr>
              <w:t>de for the IFRS AU Taxonomy 2015</w:t>
            </w:r>
            <w:r w:rsidRPr="003D3ABE">
              <w:rPr>
                <w:bCs/>
              </w:rPr>
              <w:t>.  This version of the taxonomy includes the IFRS Taxonomy 201</w:t>
            </w:r>
            <w:r>
              <w:rPr>
                <w:bCs/>
              </w:rPr>
              <w:t>5</w:t>
            </w:r>
            <w:r w:rsidRPr="003D3ABE">
              <w:rPr>
                <w:bCs/>
              </w:rPr>
              <w:t xml:space="preserve"> (as released by the IFRS Foundation on </w:t>
            </w:r>
            <w:r>
              <w:rPr>
                <w:bCs/>
              </w:rPr>
              <w:t>11</w:t>
            </w:r>
            <w:r w:rsidRPr="003D3ABE">
              <w:rPr>
                <w:bCs/>
              </w:rPr>
              <w:t xml:space="preserve"> March 201</w:t>
            </w:r>
            <w:r>
              <w:rPr>
                <w:bCs/>
              </w:rPr>
              <w:t>5</w:t>
            </w:r>
            <w:r w:rsidRPr="003D3ABE">
              <w:rPr>
                <w:bCs/>
              </w:rPr>
              <w:t>) and other updates to the AU Extension.</w:t>
            </w:r>
          </w:p>
        </w:tc>
      </w:tr>
      <w:tr w:rsidR="00E858C4" w:rsidRPr="000F7906" w14:paraId="127B206D" w14:textId="77777777" w:rsidTr="00CB0773">
        <w:tc>
          <w:tcPr>
            <w:tcW w:w="1670" w:type="dxa"/>
          </w:tcPr>
          <w:p w14:paraId="2A06486D" w14:textId="77777777" w:rsidR="00E858C4" w:rsidRDefault="00E858C4" w:rsidP="00A93A26">
            <w:pPr>
              <w:pStyle w:val="Version2"/>
              <w:spacing w:before="120" w:after="120"/>
            </w:pPr>
            <w:r>
              <w:t>2016</w:t>
            </w:r>
          </w:p>
        </w:tc>
        <w:tc>
          <w:tcPr>
            <w:tcW w:w="1908" w:type="dxa"/>
          </w:tcPr>
          <w:p w14:paraId="4E1538DE" w14:textId="77777777" w:rsidR="00E858C4" w:rsidRDefault="00E858C4" w:rsidP="00A93A26">
            <w:pPr>
              <w:pStyle w:val="Version2"/>
              <w:spacing w:before="120" w:after="120"/>
            </w:pPr>
            <w:r>
              <w:t>21 July 2016</w:t>
            </w:r>
          </w:p>
        </w:tc>
        <w:tc>
          <w:tcPr>
            <w:tcW w:w="5497" w:type="dxa"/>
          </w:tcPr>
          <w:p w14:paraId="1F336A20" w14:textId="77777777" w:rsidR="00E858C4" w:rsidRPr="003D3ABE" w:rsidRDefault="00E858C4" w:rsidP="00E858C4">
            <w:pPr>
              <w:pStyle w:val="Version2"/>
              <w:spacing w:before="120" w:after="120"/>
              <w:ind w:left="0"/>
              <w:rPr>
                <w:bCs/>
              </w:rPr>
            </w:pPr>
            <w:r w:rsidRPr="003D3ABE">
              <w:rPr>
                <w:bCs/>
              </w:rPr>
              <w:t>The release of the taxonomy gui</w:t>
            </w:r>
            <w:r>
              <w:rPr>
                <w:bCs/>
              </w:rPr>
              <w:t>de for the IFRS AU Taxonomy 2016</w:t>
            </w:r>
            <w:r w:rsidRPr="003D3ABE">
              <w:rPr>
                <w:bCs/>
              </w:rPr>
              <w:t>.  This version of the taxonomy includes the IFRS Taxonomy 201</w:t>
            </w:r>
            <w:r>
              <w:rPr>
                <w:bCs/>
              </w:rPr>
              <w:t>6</w:t>
            </w:r>
            <w:r w:rsidRPr="003D3ABE">
              <w:rPr>
                <w:bCs/>
              </w:rPr>
              <w:t xml:space="preserve"> (as released by the IFRS Foundation on </w:t>
            </w:r>
            <w:r>
              <w:rPr>
                <w:bCs/>
              </w:rPr>
              <w:t>31</w:t>
            </w:r>
            <w:r w:rsidRPr="003D3ABE">
              <w:rPr>
                <w:bCs/>
              </w:rPr>
              <w:t xml:space="preserve"> March 201</w:t>
            </w:r>
            <w:r>
              <w:rPr>
                <w:bCs/>
              </w:rPr>
              <w:t>6</w:t>
            </w:r>
            <w:r w:rsidRPr="003D3ABE">
              <w:rPr>
                <w:bCs/>
              </w:rPr>
              <w:t>) and other updates to the AU Extension.</w:t>
            </w:r>
          </w:p>
        </w:tc>
      </w:tr>
      <w:tr w:rsidR="00587A9E" w:rsidRPr="000F7906" w14:paraId="2D1F0459" w14:textId="77777777" w:rsidTr="00CB0773">
        <w:tc>
          <w:tcPr>
            <w:tcW w:w="1670" w:type="dxa"/>
          </w:tcPr>
          <w:p w14:paraId="18979E10" w14:textId="77777777" w:rsidR="00587A9E" w:rsidRDefault="00587A9E" w:rsidP="00A93A26">
            <w:pPr>
              <w:pStyle w:val="Version2"/>
              <w:spacing w:before="120" w:after="120"/>
            </w:pPr>
            <w:r>
              <w:t>2017</w:t>
            </w:r>
          </w:p>
        </w:tc>
        <w:tc>
          <w:tcPr>
            <w:tcW w:w="1908" w:type="dxa"/>
          </w:tcPr>
          <w:p w14:paraId="0B978297" w14:textId="77777777" w:rsidR="00587A9E" w:rsidRDefault="00587A9E" w:rsidP="00A93A26">
            <w:pPr>
              <w:pStyle w:val="Version2"/>
              <w:spacing w:before="120" w:after="120"/>
            </w:pPr>
            <w:r>
              <w:t>20 July 2017</w:t>
            </w:r>
          </w:p>
        </w:tc>
        <w:tc>
          <w:tcPr>
            <w:tcW w:w="5497" w:type="dxa"/>
          </w:tcPr>
          <w:p w14:paraId="4E7985DD" w14:textId="77777777" w:rsidR="00587A9E" w:rsidRDefault="00587A9E" w:rsidP="00587A9E">
            <w:pPr>
              <w:pStyle w:val="Version2"/>
              <w:spacing w:before="120" w:after="120"/>
              <w:ind w:left="0"/>
              <w:rPr>
                <w:bCs/>
              </w:rPr>
            </w:pPr>
            <w:r w:rsidRPr="003D3ABE">
              <w:rPr>
                <w:bCs/>
              </w:rPr>
              <w:t>The release of the taxonomy gui</w:t>
            </w:r>
            <w:r>
              <w:rPr>
                <w:bCs/>
              </w:rPr>
              <w:t>de for the IFRS AU Taxonomy 2017</w:t>
            </w:r>
            <w:r w:rsidRPr="003D3ABE">
              <w:rPr>
                <w:bCs/>
              </w:rPr>
              <w:t>.  This version of the taxonomy includes the IFRS Taxonomy 201</w:t>
            </w:r>
            <w:r>
              <w:rPr>
                <w:bCs/>
              </w:rPr>
              <w:t>7</w:t>
            </w:r>
            <w:r w:rsidRPr="003D3ABE">
              <w:rPr>
                <w:bCs/>
              </w:rPr>
              <w:t xml:space="preserve"> (as released by the IFRS Foundation on </w:t>
            </w:r>
            <w:r>
              <w:rPr>
                <w:bCs/>
              </w:rPr>
              <w:t>9</w:t>
            </w:r>
            <w:r w:rsidRPr="003D3ABE">
              <w:rPr>
                <w:bCs/>
              </w:rPr>
              <w:t xml:space="preserve"> March 201</w:t>
            </w:r>
            <w:r>
              <w:rPr>
                <w:bCs/>
              </w:rPr>
              <w:t>7</w:t>
            </w:r>
            <w:r w:rsidRPr="003D3ABE">
              <w:rPr>
                <w:bCs/>
              </w:rPr>
              <w:t>) and other updates to the AU Extension.</w:t>
            </w:r>
          </w:p>
          <w:p w14:paraId="2711532B" w14:textId="77777777" w:rsidR="00587A9E" w:rsidRDefault="00587A9E" w:rsidP="00587A9E">
            <w:pPr>
              <w:pStyle w:val="Version2"/>
              <w:spacing w:before="120" w:after="120"/>
              <w:ind w:left="0"/>
              <w:rPr>
                <w:bCs/>
              </w:rPr>
            </w:pPr>
          </w:p>
          <w:p w14:paraId="5EB050F7" w14:textId="77777777" w:rsidR="00587A9E" w:rsidRPr="003D3ABE" w:rsidRDefault="00587A9E" w:rsidP="00587A9E">
            <w:pPr>
              <w:pStyle w:val="Version2"/>
              <w:spacing w:before="120" w:after="120"/>
              <w:ind w:left="0"/>
              <w:rPr>
                <w:bCs/>
              </w:rPr>
            </w:pPr>
            <w:r>
              <w:rPr>
                <w:bCs/>
              </w:rPr>
              <w:t>This release discussed some of the changes in the architecture of the IFRS AU Taxonomy.</w:t>
            </w:r>
          </w:p>
        </w:tc>
      </w:tr>
      <w:tr w:rsidR="000F69D8" w:rsidRPr="000F7906" w14:paraId="7269C111" w14:textId="77777777" w:rsidTr="00CB0773">
        <w:tc>
          <w:tcPr>
            <w:tcW w:w="1670" w:type="dxa"/>
          </w:tcPr>
          <w:p w14:paraId="2996D642" w14:textId="77777777" w:rsidR="000F69D8" w:rsidRDefault="000F69D8" w:rsidP="00A93A26">
            <w:pPr>
              <w:pStyle w:val="Version2"/>
              <w:spacing w:before="120" w:after="120"/>
            </w:pPr>
            <w:r>
              <w:t>2017</w:t>
            </w:r>
          </w:p>
          <w:p w14:paraId="7DCF4AC7" w14:textId="77777777" w:rsidR="0020582C" w:rsidRPr="0020582C" w:rsidRDefault="0020582C" w:rsidP="00AD27B6"/>
          <w:p w14:paraId="5CAD58EA" w14:textId="77777777" w:rsidR="0020582C" w:rsidRPr="0020582C" w:rsidRDefault="0020582C" w:rsidP="00AD27B6"/>
          <w:p w14:paraId="7F5205C4" w14:textId="77777777" w:rsidR="0020582C" w:rsidRPr="00AD27B6" w:rsidRDefault="0020582C" w:rsidP="00AD27B6"/>
          <w:p w14:paraId="041C3E36" w14:textId="77777777" w:rsidR="0020582C" w:rsidRPr="00AD27B6" w:rsidRDefault="0020582C" w:rsidP="00AD27B6"/>
          <w:p w14:paraId="19F6A466" w14:textId="08B4332F" w:rsidR="0020582C" w:rsidRPr="00AD27B6" w:rsidRDefault="0020582C" w:rsidP="00AD27B6"/>
        </w:tc>
        <w:tc>
          <w:tcPr>
            <w:tcW w:w="1908" w:type="dxa"/>
          </w:tcPr>
          <w:p w14:paraId="260D9D45" w14:textId="77777777" w:rsidR="000F69D8" w:rsidRDefault="000F69D8" w:rsidP="00A93A26">
            <w:pPr>
              <w:pStyle w:val="Version2"/>
              <w:spacing w:before="120" w:after="120"/>
            </w:pPr>
            <w:r>
              <w:lastRenderedPageBreak/>
              <w:t>21 September 2017</w:t>
            </w:r>
          </w:p>
        </w:tc>
        <w:tc>
          <w:tcPr>
            <w:tcW w:w="5497" w:type="dxa"/>
          </w:tcPr>
          <w:p w14:paraId="73572D17" w14:textId="77777777" w:rsidR="000F69D8" w:rsidRPr="003D3ABE" w:rsidRDefault="000F69D8" w:rsidP="00587A9E">
            <w:pPr>
              <w:pStyle w:val="Version2"/>
              <w:spacing w:before="120" w:after="120"/>
              <w:ind w:left="0"/>
              <w:rPr>
                <w:bCs/>
              </w:rPr>
            </w:pPr>
            <w:r>
              <w:rPr>
                <w:bCs/>
              </w:rPr>
              <w:t>Update the taxonomy guide for guidance on use of IFRS Formula linkbase.</w:t>
            </w:r>
          </w:p>
        </w:tc>
      </w:tr>
      <w:bookmarkEnd w:id="1"/>
      <w:tr w:rsidR="00B57D8C" w:rsidRPr="000F7906" w14:paraId="16FCFD10" w14:textId="77777777" w:rsidTr="00CB0773">
        <w:tc>
          <w:tcPr>
            <w:tcW w:w="1670" w:type="dxa"/>
          </w:tcPr>
          <w:p w14:paraId="5E2090CD" w14:textId="77777777" w:rsidR="00B57D8C" w:rsidRDefault="00B57D8C" w:rsidP="00A93A26">
            <w:pPr>
              <w:pStyle w:val="Version2"/>
              <w:spacing w:before="120" w:after="120"/>
            </w:pPr>
            <w:r>
              <w:t>2018</w:t>
            </w:r>
          </w:p>
        </w:tc>
        <w:tc>
          <w:tcPr>
            <w:tcW w:w="1908" w:type="dxa"/>
          </w:tcPr>
          <w:p w14:paraId="225FEA68" w14:textId="77777777" w:rsidR="00B57D8C" w:rsidRDefault="00B57D8C" w:rsidP="00A93A26">
            <w:pPr>
              <w:pStyle w:val="Version2"/>
              <w:spacing w:before="120" w:after="120"/>
            </w:pPr>
            <w:r>
              <w:t>21 June 2018</w:t>
            </w:r>
          </w:p>
        </w:tc>
        <w:tc>
          <w:tcPr>
            <w:tcW w:w="5497" w:type="dxa"/>
          </w:tcPr>
          <w:p w14:paraId="54B05AC4" w14:textId="77777777" w:rsidR="00B57D8C" w:rsidRDefault="00B57D8C" w:rsidP="00B57D8C">
            <w:pPr>
              <w:pStyle w:val="Version2"/>
              <w:spacing w:before="120" w:after="120"/>
              <w:ind w:left="0"/>
              <w:rPr>
                <w:bCs/>
              </w:rPr>
            </w:pPr>
            <w:r w:rsidRPr="003D3ABE">
              <w:rPr>
                <w:bCs/>
              </w:rPr>
              <w:t>The release of the taxonomy gui</w:t>
            </w:r>
            <w:r>
              <w:rPr>
                <w:bCs/>
              </w:rPr>
              <w:t>de for the IFRS AU Taxonomy 2018</w:t>
            </w:r>
            <w:r w:rsidRPr="003D3ABE">
              <w:rPr>
                <w:bCs/>
              </w:rPr>
              <w:t>.  This version of the taxonomy includes the IFRS Taxonomy 201</w:t>
            </w:r>
            <w:r>
              <w:rPr>
                <w:bCs/>
              </w:rPr>
              <w:t>8</w:t>
            </w:r>
            <w:r w:rsidRPr="003D3ABE">
              <w:rPr>
                <w:bCs/>
              </w:rPr>
              <w:t xml:space="preserve"> (as released by the IFRS Foundation on </w:t>
            </w:r>
            <w:r>
              <w:rPr>
                <w:bCs/>
              </w:rPr>
              <w:t>16</w:t>
            </w:r>
            <w:r w:rsidRPr="003D3ABE">
              <w:rPr>
                <w:bCs/>
              </w:rPr>
              <w:t xml:space="preserve"> March 201</w:t>
            </w:r>
            <w:r>
              <w:rPr>
                <w:bCs/>
              </w:rPr>
              <w:t>8</w:t>
            </w:r>
            <w:r w:rsidRPr="003D3ABE">
              <w:rPr>
                <w:bCs/>
              </w:rPr>
              <w:t>) and other updates to the AU Extension.</w:t>
            </w:r>
          </w:p>
          <w:p w14:paraId="0C96F9E2" w14:textId="77777777" w:rsidR="00B57D8C" w:rsidRDefault="00B57D8C" w:rsidP="00587A9E">
            <w:pPr>
              <w:pStyle w:val="Version2"/>
              <w:spacing w:before="120" w:after="120"/>
              <w:ind w:left="0"/>
              <w:rPr>
                <w:bCs/>
              </w:rPr>
            </w:pPr>
          </w:p>
        </w:tc>
      </w:tr>
      <w:tr w:rsidR="00FC3CEC" w:rsidRPr="000F7906" w14:paraId="1BBF0334" w14:textId="77777777" w:rsidTr="00CB0773">
        <w:tc>
          <w:tcPr>
            <w:tcW w:w="1670" w:type="dxa"/>
          </w:tcPr>
          <w:p w14:paraId="02851DDE" w14:textId="77777777" w:rsidR="00FC3CEC" w:rsidRDefault="00FC3CEC" w:rsidP="00A93A26">
            <w:pPr>
              <w:pStyle w:val="Version2"/>
              <w:spacing w:before="120" w:after="120"/>
            </w:pPr>
            <w:r>
              <w:t>2019</w:t>
            </w:r>
          </w:p>
        </w:tc>
        <w:tc>
          <w:tcPr>
            <w:tcW w:w="1908" w:type="dxa"/>
          </w:tcPr>
          <w:p w14:paraId="47D772F6" w14:textId="77777777" w:rsidR="00FC3CEC" w:rsidRDefault="00FC3CEC" w:rsidP="00A93A26">
            <w:pPr>
              <w:pStyle w:val="Version2"/>
              <w:spacing w:before="120" w:after="120"/>
            </w:pPr>
            <w:r>
              <w:t>20 June 2019</w:t>
            </w:r>
          </w:p>
        </w:tc>
        <w:tc>
          <w:tcPr>
            <w:tcW w:w="5497" w:type="dxa"/>
          </w:tcPr>
          <w:p w14:paraId="2F6232BE" w14:textId="77777777" w:rsidR="00FC3CEC" w:rsidRDefault="00FC3CEC" w:rsidP="00FC3CEC">
            <w:pPr>
              <w:pStyle w:val="Version2"/>
              <w:spacing w:before="120" w:after="120"/>
              <w:ind w:left="0"/>
              <w:rPr>
                <w:bCs/>
              </w:rPr>
            </w:pPr>
            <w:r w:rsidRPr="003D3ABE">
              <w:rPr>
                <w:bCs/>
              </w:rPr>
              <w:t>The release of the taxonomy gui</w:t>
            </w:r>
            <w:r>
              <w:rPr>
                <w:bCs/>
              </w:rPr>
              <w:t>de for the IFRS AU Taxonomy 2019</w:t>
            </w:r>
            <w:r w:rsidRPr="003D3ABE">
              <w:rPr>
                <w:bCs/>
              </w:rPr>
              <w:t>.  This version of the taxonomy includes the IFRS Taxonomy 201</w:t>
            </w:r>
            <w:r>
              <w:rPr>
                <w:bCs/>
              </w:rPr>
              <w:t>9</w:t>
            </w:r>
            <w:r w:rsidRPr="003D3ABE">
              <w:rPr>
                <w:bCs/>
              </w:rPr>
              <w:t xml:space="preserve"> (as released by the IFRS Foundation on </w:t>
            </w:r>
            <w:r>
              <w:rPr>
                <w:bCs/>
              </w:rPr>
              <w:t>27</w:t>
            </w:r>
            <w:r w:rsidRPr="003D3ABE">
              <w:rPr>
                <w:bCs/>
              </w:rPr>
              <w:t xml:space="preserve"> March 201</w:t>
            </w:r>
            <w:r>
              <w:rPr>
                <w:bCs/>
              </w:rPr>
              <w:t>9</w:t>
            </w:r>
            <w:r w:rsidRPr="003D3ABE">
              <w:rPr>
                <w:bCs/>
              </w:rPr>
              <w:t>) and other updates to the AU Extension.</w:t>
            </w:r>
          </w:p>
          <w:p w14:paraId="654178AA" w14:textId="77777777" w:rsidR="00FC3CEC" w:rsidRPr="003D3ABE" w:rsidRDefault="00FC3CEC" w:rsidP="00B57D8C">
            <w:pPr>
              <w:pStyle w:val="Version2"/>
              <w:spacing w:before="120" w:after="120"/>
              <w:ind w:left="0"/>
              <w:rPr>
                <w:bCs/>
              </w:rPr>
            </w:pPr>
          </w:p>
        </w:tc>
      </w:tr>
      <w:tr w:rsidR="00581C74" w:rsidRPr="000F7906" w14:paraId="337A47DD" w14:textId="77777777" w:rsidTr="00CB0773">
        <w:tc>
          <w:tcPr>
            <w:tcW w:w="1670" w:type="dxa"/>
          </w:tcPr>
          <w:p w14:paraId="228930C9" w14:textId="2DAB983E" w:rsidR="00581C74" w:rsidRDefault="00581C74" w:rsidP="00A93A26">
            <w:pPr>
              <w:pStyle w:val="Version2"/>
              <w:spacing w:before="120" w:after="120"/>
            </w:pPr>
            <w:r>
              <w:t>2020</w:t>
            </w:r>
          </w:p>
        </w:tc>
        <w:tc>
          <w:tcPr>
            <w:tcW w:w="1908" w:type="dxa"/>
          </w:tcPr>
          <w:p w14:paraId="042152C2" w14:textId="6BE60DAF" w:rsidR="00581C74" w:rsidRDefault="00581C74" w:rsidP="00A93A26">
            <w:pPr>
              <w:pStyle w:val="Version2"/>
              <w:spacing w:before="120" w:after="120"/>
            </w:pPr>
            <w:r>
              <w:t>18 June 2020</w:t>
            </w:r>
          </w:p>
        </w:tc>
        <w:tc>
          <w:tcPr>
            <w:tcW w:w="5497" w:type="dxa"/>
          </w:tcPr>
          <w:p w14:paraId="48BDC4FB" w14:textId="4954EB03" w:rsidR="00581C74" w:rsidRDefault="00581C74" w:rsidP="00581C74">
            <w:pPr>
              <w:pStyle w:val="Version2"/>
              <w:spacing w:before="120" w:after="120"/>
              <w:ind w:left="0"/>
              <w:rPr>
                <w:bCs/>
              </w:rPr>
            </w:pPr>
            <w:r w:rsidRPr="003D3ABE">
              <w:rPr>
                <w:bCs/>
              </w:rPr>
              <w:t>The release of the taxonomy gui</w:t>
            </w:r>
            <w:r>
              <w:rPr>
                <w:bCs/>
              </w:rPr>
              <w:t>de for the IFRS AU Taxonomy 2020</w:t>
            </w:r>
            <w:r w:rsidRPr="003D3ABE">
              <w:rPr>
                <w:bCs/>
              </w:rPr>
              <w:t>.  This version of the taxonomy includes the IFRS Taxonomy 20</w:t>
            </w:r>
            <w:r>
              <w:rPr>
                <w:bCs/>
              </w:rPr>
              <w:t>20</w:t>
            </w:r>
            <w:r w:rsidRPr="003D3ABE">
              <w:rPr>
                <w:bCs/>
              </w:rPr>
              <w:t xml:space="preserve"> (as released by the IFRS Foundation on </w:t>
            </w:r>
            <w:r>
              <w:rPr>
                <w:bCs/>
              </w:rPr>
              <w:t>16</w:t>
            </w:r>
            <w:r w:rsidRPr="003D3ABE">
              <w:rPr>
                <w:bCs/>
              </w:rPr>
              <w:t xml:space="preserve"> March 20</w:t>
            </w:r>
            <w:r>
              <w:rPr>
                <w:bCs/>
              </w:rPr>
              <w:t>20</w:t>
            </w:r>
            <w:r w:rsidRPr="003D3ABE">
              <w:rPr>
                <w:bCs/>
              </w:rPr>
              <w:t>) and other updates to the AU Extension.</w:t>
            </w:r>
          </w:p>
          <w:p w14:paraId="2510DA03" w14:textId="2E6335A2" w:rsidR="00565EB2" w:rsidRPr="00565EB2" w:rsidRDefault="00565EB2" w:rsidP="00565EB2">
            <w:pPr>
              <w:pStyle w:val="Version2"/>
              <w:spacing w:before="120" w:after="120"/>
              <w:ind w:left="0"/>
              <w:rPr>
                <w:bCs/>
              </w:rPr>
            </w:pPr>
            <w:r w:rsidRPr="00565EB2">
              <w:rPr>
                <w:bCs/>
              </w:rPr>
              <w:t xml:space="preserve">This taxonomy guide was updated to remove references to the Message Implementation Guides and </w:t>
            </w:r>
            <w:r>
              <w:rPr>
                <w:bCs/>
              </w:rPr>
              <w:t xml:space="preserve">other </w:t>
            </w:r>
            <w:r w:rsidRPr="00565EB2">
              <w:rPr>
                <w:bCs/>
              </w:rPr>
              <w:t>validation requirements which are no longer supported following the decommissioning of Auskey in March 2020.</w:t>
            </w:r>
          </w:p>
          <w:p w14:paraId="0D7097C0" w14:textId="070EFFC7" w:rsidR="00565EB2" w:rsidRPr="003D3ABE" w:rsidRDefault="00565EB2" w:rsidP="00FC3CEC">
            <w:pPr>
              <w:pStyle w:val="Version2"/>
              <w:spacing w:before="120" w:after="120"/>
              <w:ind w:left="0"/>
              <w:rPr>
                <w:bCs/>
              </w:rPr>
            </w:pPr>
          </w:p>
        </w:tc>
      </w:tr>
      <w:tr w:rsidR="005F4699" w:rsidRPr="000F7906" w14:paraId="338A3F84" w14:textId="77777777" w:rsidTr="00CB0773">
        <w:tc>
          <w:tcPr>
            <w:tcW w:w="1670" w:type="dxa"/>
          </w:tcPr>
          <w:p w14:paraId="22DE1016" w14:textId="5CFB8CC3" w:rsidR="005F4699" w:rsidRDefault="005F4699" w:rsidP="00A93A26">
            <w:pPr>
              <w:pStyle w:val="Version2"/>
              <w:spacing w:before="120" w:after="120"/>
            </w:pPr>
            <w:r>
              <w:t>2021</w:t>
            </w:r>
          </w:p>
        </w:tc>
        <w:tc>
          <w:tcPr>
            <w:tcW w:w="1908" w:type="dxa"/>
          </w:tcPr>
          <w:p w14:paraId="3C1BEF63" w14:textId="60741AAC" w:rsidR="005F4699" w:rsidRDefault="005F4699" w:rsidP="00A93A26">
            <w:pPr>
              <w:pStyle w:val="Version2"/>
              <w:spacing w:before="120" w:after="120"/>
            </w:pPr>
            <w:r>
              <w:t>17 June 2021</w:t>
            </w:r>
          </w:p>
        </w:tc>
        <w:tc>
          <w:tcPr>
            <w:tcW w:w="5497" w:type="dxa"/>
          </w:tcPr>
          <w:p w14:paraId="3F3C4532" w14:textId="65E1B30B" w:rsidR="005F4699" w:rsidRDefault="005F4699" w:rsidP="005F4699">
            <w:pPr>
              <w:pStyle w:val="Version2"/>
              <w:spacing w:before="120" w:after="120"/>
              <w:ind w:left="0"/>
              <w:rPr>
                <w:bCs/>
              </w:rPr>
            </w:pPr>
            <w:r w:rsidRPr="003D3ABE">
              <w:rPr>
                <w:bCs/>
              </w:rPr>
              <w:t>The release of the taxonomy gui</w:t>
            </w:r>
            <w:r>
              <w:rPr>
                <w:bCs/>
              </w:rPr>
              <w:t>de for the IFRS AU Taxonomy 2021</w:t>
            </w:r>
            <w:r w:rsidRPr="003D3ABE">
              <w:rPr>
                <w:bCs/>
              </w:rPr>
              <w:t>.  This version of the taxonomy includes the IFRS Taxonomy 20</w:t>
            </w:r>
            <w:r>
              <w:rPr>
                <w:bCs/>
              </w:rPr>
              <w:t>21</w:t>
            </w:r>
            <w:r w:rsidRPr="003D3ABE">
              <w:rPr>
                <w:bCs/>
              </w:rPr>
              <w:t xml:space="preserve"> (as released by the IFRS Foundation on </w:t>
            </w:r>
            <w:r>
              <w:rPr>
                <w:bCs/>
              </w:rPr>
              <w:t>24</w:t>
            </w:r>
            <w:r w:rsidRPr="003D3ABE">
              <w:rPr>
                <w:bCs/>
              </w:rPr>
              <w:t xml:space="preserve"> March 20</w:t>
            </w:r>
            <w:r>
              <w:rPr>
                <w:bCs/>
              </w:rPr>
              <w:t>21</w:t>
            </w:r>
            <w:r w:rsidRPr="003D3ABE">
              <w:rPr>
                <w:bCs/>
              </w:rPr>
              <w:t>) and other updates to the AU Extension.</w:t>
            </w:r>
          </w:p>
          <w:p w14:paraId="16BB892D" w14:textId="77777777" w:rsidR="005F4699" w:rsidRPr="003D3ABE" w:rsidRDefault="005F4699" w:rsidP="00581C74">
            <w:pPr>
              <w:pStyle w:val="Version2"/>
              <w:spacing w:before="120" w:after="120"/>
              <w:ind w:left="0"/>
              <w:rPr>
                <w:bCs/>
              </w:rPr>
            </w:pPr>
          </w:p>
        </w:tc>
      </w:tr>
      <w:tr w:rsidR="00E92899" w:rsidRPr="000F7906" w14:paraId="5957A560" w14:textId="77777777" w:rsidTr="00CB0773">
        <w:tc>
          <w:tcPr>
            <w:tcW w:w="1670" w:type="dxa"/>
          </w:tcPr>
          <w:p w14:paraId="0CD7B5AF" w14:textId="37A4CA76" w:rsidR="00E92899" w:rsidRDefault="00E92899" w:rsidP="00A93A26">
            <w:pPr>
              <w:pStyle w:val="Version2"/>
              <w:spacing w:before="120" w:after="120"/>
            </w:pPr>
            <w:r>
              <w:t>2022</w:t>
            </w:r>
          </w:p>
        </w:tc>
        <w:tc>
          <w:tcPr>
            <w:tcW w:w="1908" w:type="dxa"/>
          </w:tcPr>
          <w:p w14:paraId="4A61A7AE" w14:textId="230354DD" w:rsidR="00E92899" w:rsidRDefault="00E92899" w:rsidP="00A93A26">
            <w:pPr>
              <w:pStyle w:val="Version2"/>
              <w:spacing w:before="120" w:after="120"/>
            </w:pPr>
            <w:r>
              <w:t>16 June 2022</w:t>
            </w:r>
          </w:p>
        </w:tc>
        <w:tc>
          <w:tcPr>
            <w:tcW w:w="5497" w:type="dxa"/>
          </w:tcPr>
          <w:p w14:paraId="1F6AA564" w14:textId="78F4D444" w:rsidR="00E92899" w:rsidRPr="003D3ABE" w:rsidRDefault="00E92899" w:rsidP="005F4699">
            <w:pPr>
              <w:pStyle w:val="Version2"/>
              <w:spacing w:before="120" w:after="120"/>
              <w:ind w:left="0"/>
              <w:rPr>
                <w:bCs/>
              </w:rPr>
            </w:pPr>
            <w:r w:rsidRPr="003D3ABE">
              <w:rPr>
                <w:bCs/>
              </w:rPr>
              <w:t>The release of the taxonomy gui</w:t>
            </w:r>
            <w:r>
              <w:rPr>
                <w:bCs/>
              </w:rPr>
              <w:t>de for the IFRS AU Taxonomy 2022</w:t>
            </w:r>
            <w:r w:rsidRPr="003D3ABE">
              <w:rPr>
                <w:bCs/>
              </w:rPr>
              <w:t>.  This version of the taxonomy includes the IFRS Taxonomy 20</w:t>
            </w:r>
            <w:r>
              <w:rPr>
                <w:bCs/>
              </w:rPr>
              <w:t>2</w:t>
            </w:r>
            <w:r w:rsidR="00293F4F">
              <w:rPr>
                <w:bCs/>
              </w:rPr>
              <w:t>2</w:t>
            </w:r>
            <w:r w:rsidRPr="003D3ABE">
              <w:rPr>
                <w:bCs/>
              </w:rPr>
              <w:t xml:space="preserve"> (as released by the IFRS Foundation on </w:t>
            </w:r>
            <w:r w:rsidR="00EF2F27">
              <w:rPr>
                <w:bCs/>
              </w:rPr>
              <w:t xml:space="preserve">24 </w:t>
            </w:r>
            <w:r w:rsidRPr="003D3ABE">
              <w:rPr>
                <w:bCs/>
              </w:rPr>
              <w:t>March 20</w:t>
            </w:r>
            <w:r>
              <w:rPr>
                <w:bCs/>
              </w:rPr>
              <w:t>2</w:t>
            </w:r>
            <w:r w:rsidR="00EF2F27">
              <w:rPr>
                <w:bCs/>
              </w:rPr>
              <w:t>2</w:t>
            </w:r>
            <w:r w:rsidRPr="003D3ABE">
              <w:rPr>
                <w:bCs/>
              </w:rPr>
              <w:t>) and other updates to the AU Extension</w:t>
            </w:r>
            <w:r w:rsidR="00F32AE7">
              <w:rPr>
                <w:bCs/>
              </w:rPr>
              <w:t>.</w:t>
            </w:r>
          </w:p>
        </w:tc>
      </w:tr>
      <w:tr w:rsidR="00F32AE7" w:rsidRPr="000F7906" w14:paraId="27308F44" w14:textId="77777777" w:rsidTr="00CB0773">
        <w:tc>
          <w:tcPr>
            <w:tcW w:w="1670" w:type="dxa"/>
          </w:tcPr>
          <w:p w14:paraId="19E6859A" w14:textId="2929C58A" w:rsidR="00F32AE7" w:rsidRDefault="00F32AE7" w:rsidP="00A93A26">
            <w:pPr>
              <w:pStyle w:val="Version2"/>
              <w:spacing w:before="120" w:after="120"/>
            </w:pPr>
            <w:r>
              <w:t>2023</w:t>
            </w:r>
          </w:p>
        </w:tc>
        <w:tc>
          <w:tcPr>
            <w:tcW w:w="1908" w:type="dxa"/>
          </w:tcPr>
          <w:p w14:paraId="3BA01A12" w14:textId="64DF98BC" w:rsidR="00F32AE7" w:rsidRDefault="00F32AE7" w:rsidP="00A93A26">
            <w:pPr>
              <w:pStyle w:val="Version2"/>
              <w:spacing w:before="120" w:after="120"/>
            </w:pPr>
            <w:r>
              <w:t>15 June 2023</w:t>
            </w:r>
          </w:p>
        </w:tc>
        <w:tc>
          <w:tcPr>
            <w:tcW w:w="5497" w:type="dxa"/>
          </w:tcPr>
          <w:p w14:paraId="0814F611" w14:textId="5F57EB68" w:rsidR="00F32AE7" w:rsidRPr="003D3ABE" w:rsidRDefault="00F32AE7" w:rsidP="005F4699">
            <w:pPr>
              <w:pStyle w:val="Version2"/>
              <w:spacing w:before="120" w:after="120"/>
              <w:ind w:left="0"/>
              <w:rPr>
                <w:bCs/>
              </w:rPr>
            </w:pPr>
            <w:r w:rsidRPr="00F32AE7">
              <w:rPr>
                <w:bCs/>
              </w:rPr>
              <w:t>The release of the taxonomy guide for the IFRS AU Taxonomy 202</w:t>
            </w:r>
            <w:r>
              <w:rPr>
                <w:bCs/>
              </w:rPr>
              <w:t>3</w:t>
            </w:r>
            <w:r w:rsidRPr="00F32AE7">
              <w:rPr>
                <w:bCs/>
              </w:rPr>
              <w:t>.  This version of the taxonomy includes the IFRS Taxonomy 202</w:t>
            </w:r>
            <w:r>
              <w:rPr>
                <w:bCs/>
              </w:rPr>
              <w:t>3</w:t>
            </w:r>
            <w:r w:rsidRPr="00F32AE7">
              <w:rPr>
                <w:bCs/>
              </w:rPr>
              <w:t xml:space="preserve"> (as released by the IFRS Foundation on 2</w:t>
            </w:r>
            <w:r>
              <w:rPr>
                <w:bCs/>
              </w:rPr>
              <w:t>3</w:t>
            </w:r>
            <w:r w:rsidRPr="00F32AE7">
              <w:rPr>
                <w:bCs/>
              </w:rPr>
              <w:t xml:space="preserve"> March 202</w:t>
            </w:r>
            <w:r>
              <w:rPr>
                <w:bCs/>
              </w:rPr>
              <w:t>3</w:t>
            </w:r>
            <w:r w:rsidRPr="00F32AE7">
              <w:rPr>
                <w:bCs/>
              </w:rPr>
              <w:t>) and other updates to the AU Extension.</w:t>
            </w:r>
          </w:p>
        </w:tc>
      </w:tr>
      <w:tr w:rsidR="00CB0773" w:rsidRPr="000F7906" w14:paraId="0FEF398E" w14:textId="77777777" w:rsidTr="00CB0773">
        <w:tc>
          <w:tcPr>
            <w:tcW w:w="1670" w:type="dxa"/>
          </w:tcPr>
          <w:p w14:paraId="097BDE2C" w14:textId="1D43F5AB" w:rsidR="00CB0773" w:rsidRDefault="00CB0773" w:rsidP="00A93A26">
            <w:pPr>
              <w:pStyle w:val="Version2"/>
              <w:spacing w:before="120" w:after="120"/>
            </w:pPr>
            <w:r>
              <w:t>2024</w:t>
            </w:r>
          </w:p>
        </w:tc>
        <w:tc>
          <w:tcPr>
            <w:tcW w:w="1908" w:type="dxa"/>
          </w:tcPr>
          <w:p w14:paraId="7006EE03" w14:textId="067DE1D2" w:rsidR="00CB0773" w:rsidRDefault="00CB0773" w:rsidP="00A93A26">
            <w:pPr>
              <w:pStyle w:val="Version2"/>
              <w:spacing w:before="120" w:after="120"/>
            </w:pPr>
            <w:r>
              <w:t>20 June 2024</w:t>
            </w:r>
          </w:p>
        </w:tc>
        <w:tc>
          <w:tcPr>
            <w:tcW w:w="5497" w:type="dxa"/>
          </w:tcPr>
          <w:p w14:paraId="54E5D37D" w14:textId="26821482" w:rsidR="00CB0773" w:rsidRPr="00F32AE7" w:rsidRDefault="00CB0773" w:rsidP="005F4699">
            <w:pPr>
              <w:pStyle w:val="Version2"/>
              <w:spacing w:before="120" w:after="120"/>
              <w:ind w:left="0"/>
              <w:rPr>
                <w:bCs/>
              </w:rPr>
            </w:pPr>
            <w:r w:rsidRPr="00F32AE7">
              <w:rPr>
                <w:bCs/>
              </w:rPr>
              <w:t>The release of the taxonomy guide for the IFRS AU Taxonomy 202</w:t>
            </w:r>
            <w:r>
              <w:rPr>
                <w:bCs/>
              </w:rPr>
              <w:t>4</w:t>
            </w:r>
            <w:r w:rsidRPr="00F32AE7">
              <w:rPr>
                <w:bCs/>
              </w:rPr>
              <w:t>.  This version of the taxonomy includes the IFRS Taxonomy 202</w:t>
            </w:r>
            <w:r w:rsidR="008F751C">
              <w:rPr>
                <w:bCs/>
              </w:rPr>
              <w:t>4</w:t>
            </w:r>
            <w:r w:rsidRPr="00F32AE7">
              <w:rPr>
                <w:bCs/>
              </w:rPr>
              <w:t xml:space="preserve"> (as released by the IFRS Foundation on 2</w:t>
            </w:r>
            <w:r w:rsidR="008F751C">
              <w:rPr>
                <w:bCs/>
              </w:rPr>
              <w:t>7</w:t>
            </w:r>
            <w:r w:rsidRPr="00F32AE7">
              <w:rPr>
                <w:bCs/>
              </w:rPr>
              <w:t xml:space="preserve"> March 202</w:t>
            </w:r>
            <w:r w:rsidR="008F751C">
              <w:rPr>
                <w:bCs/>
              </w:rPr>
              <w:t>4</w:t>
            </w:r>
            <w:r w:rsidRPr="00F32AE7">
              <w:rPr>
                <w:bCs/>
              </w:rPr>
              <w:t>) and other updates to the AU Extension.</w:t>
            </w:r>
          </w:p>
        </w:tc>
      </w:tr>
      <w:tr w:rsidR="008F15FC" w:rsidRPr="000F7906" w14:paraId="6094A8FA" w14:textId="77777777" w:rsidTr="00C8481F">
        <w:tc>
          <w:tcPr>
            <w:tcW w:w="1670" w:type="dxa"/>
          </w:tcPr>
          <w:p w14:paraId="72C315F2" w14:textId="5BEACB6C" w:rsidR="008F15FC" w:rsidRDefault="008F15FC" w:rsidP="008F15FC">
            <w:pPr>
              <w:pStyle w:val="Version2"/>
              <w:spacing w:before="120" w:after="120"/>
            </w:pPr>
            <w:r>
              <w:t>2025</w:t>
            </w:r>
          </w:p>
        </w:tc>
        <w:tc>
          <w:tcPr>
            <w:tcW w:w="1908" w:type="dxa"/>
          </w:tcPr>
          <w:p w14:paraId="412DE5FA" w14:textId="5FC3DDB0" w:rsidR="008F15FC" w:rsidRDefault="008F15FC" w:rsidP="008F15FC">
            <w:pPr>
              <w:pStyle w:val="Version2"/>
              <w:spacing w:before="120" w:after="120"/>
            </w:pPr>
            <w:r>
              <w:t>21 August 2025</w:t>
            </w:r>
          </w:p>
        </w:tc>
        <w:tc>
          <w:tcPr>
            <w:tcW w:w="5497" w:type="dxa"/>
          </w:tcPr>
          <w:p w14:paraId="18DC9033" w14:textId="4CA9EBE4" w:rsidR="008F15FC" w:rsidRPr="00F32AE7" w:rsidRDefault="008F15FC" w:rsidP="008F15FC">
            <w:pPr>
              <w:pStyle w:val="Version2"/>
              <w:spacing w:before="120" w:after="120"/>
              <w:ind w:left="0"/>
              <w:rPr>
                <w:bCs/>
              </w:rPr>
            </w:pPr>
            <w:r w:rsidRPr="00F32AE7">
              <w:rPr>
                <w:bCs/>
              </w:rPr>
              <w:t>The release of the taxonomy guide for the IFRS AU Taxonomy 202</w:t>
            </w:r>
            <w:r>
              <w:rPr>
                <w:bCs/>
              </w:rPr>
              <w:t>5</w:t>
            </w:r>
            <w:r w:rsidRPr="00F32AE7">
              <w:rPr>
                <w:bCs/>
              </w:rPr>
              <w:t>.  This version of the taxonomy includes the IFRS Taxonomy 202</w:t>
            </w:r>
            <w:r>
              <w:rPr>
                <w:bCs/>
              </w:rPr>
              <w:t>5</w:t>
            </w:r>
            <w:r w:rsidRPr="00F32AE7">
              <w:rPr>
                <w:bCs/>
              </w:rPr>
              <w:t xml:space="preserve"> (as released by the IFRS Foundation on 2</w:t>
            </w:r>
            <w:r>
              <w:rPr>
                <w:bCs/>
              </w:rPr>
              <w:t>7</w:t>
            </w:r>
            <w:r w:rsidRPr="00F32AE7">
              <w:rPr>
                <w:bCs/>
              </w:rPr>
              <w:t xml:space="preserve"> March 202</w:t>
            </w:r>
            <w:r>
              <w:rPr>
                <w:bCs/>
              </w:rPr>
              <w:t>5</w:t>
            </w:r>
            <w:r w:rsidRPr="00F32AE7">
              <w:rPr>
                <w:bCs/>
              </w:rPr>
              <w:t>) and the AU Extension.</w:t>
            </w:r>
          </w:p>
        </w:tc>
      </w:tr>
    </w:tbl>
    <w:p w14:paraId="390796FB" w14:textId="77777777" w:rsidR="000034BB" w:rsidRDefault="000034BB" w:rsidP="00A952A8">
      <w:pPr>
        <w:pStyle w:val="VersionHeadA"/>
      </w:pPr>
    </w:p>
    <w:p w14:paraId="7337FFA9" w14:textId="77777777" w:rsidR="00BA43CC" w:rsidRPr="00A952A8" w:rsidRDefault="00BA43CC" w:rsidP="00A952A8">
      <w:pPr>
        <w:pStyle w:val="VersionHeadA"/>
      </w:pPr>
      <w:r w:rsidRPr="00A952A8">
        <w:t>Copyright</w:t>
      </w:r>
    </w:p>
    <w:p w14:paraId="4657E67D" w14:textId="558D68D7" w:rsidR="009B77C1" w:rsidRPr="009B06E0" w:rsidRDefault="009B77C1" w:rsidP="009B77C1">
      <w:r w:rsidRPr="009B06E0">
        <w:t>© Commonwealth of Australia</w:t>
      </w:r>
      <w:r w:rsidR="00104A0E">
        <w:t xml:space="preserve"> </w:t>
      </w:r>
      <w:r w:rsidR="00442B0D">
        <w:t>2025</w:t>
      </w:r>
      <w:r w:rsidR="00765D9A" w:rsidRPr="009B06E0">
        <w:t> </w:t>
      </w:r>
    </w:p>
    <w:p w14:paraId="3532190F" w14:textId="77777777" w:rsidR="009B77C1" w:rsidRPr="009B06E0" w:rsidRDefault="009B77C1" w:rsidP="009B77C1">
      <w:pPr>
        <w:autoSpaceDE w:val="0"/>
        <w:autoSpaceDN w:val="0"/>
        <w:adjustRightInd w:val="0"/>
      </w:pPr>
      <w:r w:rsidRPr="009B06E0">
        <w:t xml:space="preserve">This work is copyright.  Use of this Information and Material is subject to the terms and conditions in the "SBR Disclaimer and Conditions of Use" which is available at </w:t>
      </w:r>
      <w:hyperlink r:id="rId18" w:history="1">
        <w:r w:rsidRPr="009B06E0">
          <w:rPr>
            <w:rStyle w:val="Hyperlink"/>
            <w:noProof w:val="0"/>
          </w:rPr>
          <w:t>http://www.sbr.gov.au</w:t>
        </w:r>
      </w:hyperlink>
      <w:r w:rsidRPr="009B06E0">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p>
    <w:p w14:paraId="5DF83182" w14:textId="77777777" w:rsidR="009B77C1" w:rsidRPr="009B06E0" w:rsidRDefault="009B77C1" w:rsidP="009B77C1">
      <w:pPr>
        <w:autoSpaceDE w:val="0"/>
        <w:autoSpaceDN w:val="0"/>
        <w:adjustRightInd w:val="0"/>
      </w:pPr>
    </w:p>
    <w:p w14:paraId="159038FF" w14:textId="77777777" w:rsidR="00BA43CC" w:rsidRDefault="009B77C1" w:rsidP="009B77C1">
      <w:pPr>
        <w:autoSpaceDE w:val="0"/>
        <w:autoSpaceDN w:val="0"/>
        <w:adjustRightInd w:val="0"/>
        <w:rPr>
          <w:rFonts w:ascii="Courier New" w:eastAsia="Batang" w:hAnsi="Courier New" w:cs="Courier New"/>
          <w:sz w:val="20"/>
          <w:szCs w:val="20"/>
          <w:lang w:eastAsia="ko-KR"/>
        </w:rPr>
      </w:pPr>
      <w:r w:rsidRPr="009B06E0">
        <w:t xml:space="preserve">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 </w:t>
      </w:r>
      <w:r w:rsidR="001A3E4D" w:rsidRPr="001A3E4D">
        <w:t xml:space="preserve">or SBR Agency </w:t>
      </w:r>
      <w:r w:rsidRPr="009B06E0">
        <w:t>owned Information and Material</w:t>
      </w:r>
      <w:r w:rsidR="001A3E4D">
        <w:t xml:space="preserve">.  </w:t>
      </w:r>
      <w:r w:rsidR="001A3E4D" w:rsidRPr="001A3E4D">
        <w:t>Copyright in SBR Agency specific aspects of the SBR Reporting Taxonomy is owned by the relevant SBR Agency.</w:t>
      </w:r>
    </w:p>
    <w:p w14:paraId="58E75046" w14:textId="77777777" w:rsidR="00BA43CC" w:rsidRPr="00C03C63" w:rsidRDefault="00BA43CC" w:rsidP="00F03009">
      <w:pPr>
        <w:pStyle w:val="StyleMaintext"/>
        <w:sectPr w:rsidR="00BA43CC" w:rsidRPr="00C03C63" w:rsidSect="0098332A">
          <w:headerReference w:type="even" r:id="rId19"/>
          <w:headerReference w:type="default" r:id="rId20"/>
          <w:footerReference w:type="even" r:id="rId21"/>
          <w:footerReference w:type="default" r:id="rId22"/>
          <w:headerReference w:type="first" r:id="rId23"/>
          <w:footerReference w:type="first" r:id="rId24"/>
          <w:pgSz w:w="11906" w:h="16838" w:code="9"/>
          <w:pgMar w:top="1205" w:right="1304" w:bottom="1814" w:left="1304" w:header="425" w:footer="680" w:gutter="0"/>
          <w:cols w:space="708"/>
          <w:formProt w:val="0"/>
          <w:docGrid w:linePitch="360"/>
        </w:sectPr>
      </w:pPr>
    </w:p>
    <w:p w14:paraId="3CFF6BC4" w14:textId="77777777" w:rsidR="00BA43CC" w:rsidRDefault="00BA43CC" w:rsidP="00BA43CC">
      <w:pPr>
        <w:spacing w:after="120"/>
        <w:rPr>
          <w:rFonts w:cs="Arial"/>
          <w:sz w:val="36"/>
          <w:szCs w:val="36"/>
        </w:rPr>
      </w:pPr>
      <w:r w:rsidRPr="00542C3D">
        <w:rPr>
          <w:rFonts w:cs="Arial"/>
          <w:sz w:val="36"/>
          <w:szCs w:val="36"/>
        </w:rPr>
        <w:t>Table of contents</w:t>
      </w:r>
    </w:p>
    <w:p w14:paraId="3FF36594" w14:textId="03622A1E" w:rsidR="00B83ED2" w:rsidRDefault="0057724D">
      <w:pPr>
        <w:pStyle w:val="TOC1"/>
        <w:rPr>
          <w:rFonts w:asciiTheme="minorHAnsi" w:eastAsiaTheme="minorEastAsia" w:hAnsiTheme="minorHAnsi" w:cstheme="minorBidi"/>
          <w:noProof/>
          <w:kern w:val="2"/>
          <w:sz w:val="24"/>
          <w:szCs w:val="24"/>
          <w14:ligatures w14:val="standardContextual"/>
        </w:rPr>
      </w:pPr>
      <w:r>
        <w:fldChar w:fldCharType="begin"/>
      </w:r>
      <w:r w:rsidR="00BA43CC">
        <w:instrText xml:space="preserve"> TOC \o "1-4" \h \z \u </w:instrText>
      </w:r>
      <w:r>
        <w:fldChar w:fldCharType="separate"/>
      </w:r>
      <w:hyperlink w:anchor="_Toc205457941" w:history="1">
        <w:r w:rsidR="00B83ED2" w:rsidRPr="00D86900">
          <w:rPr>
            <w:rStyle w:val="Hyperlink"/>
          </w:rPr>
          <w:t>1</w:t>
        </w:r>
        <w:r w:rsidR="00B83ED2">
          <w:rPr>
            <w:rFonts w:asciiTheme="minorHAnsi" w:eastAsiaTheme="minorEastAsia" w:hAnsiTheme="minorHAnsi" w:cstheme="minorBidi"/>
            <w:noProof/>
            <w:kern w:val="2"/>
            <w:sz w:val="24"/>
            <w:szCs w:val="24"/>
            <w14:ligatures w14:val="standardContextual"/>
          </w:rPr>
          <w:tab/>
        </w:r>
        <w:r w:rsidR="00B83ED2" w:rsidRPr="00D86900">
          <w:rPr>
            <w:rStyle w:val="Hyperlink"/>
          </w:rPr>
          <w:t>Introduction</w:t>
        </w:r>
        <w:r w:rsidR="00B83ED2">
          <w:rPr>
            <w:noProof/>
            <w:webHidden/>
          </w:rPr>
          <w:tab/>
        </w:r>
        <w:r w:rsidR="00B83ED2">
          <w:rPr>
            <w:noProof/>
            <w:webHidden/>
          </w:rPr>
          <w:fldChar w:fldCharType="begin"/>
        </w:r>
        <w:r w:rsidR="00B83ED2">
          <w:rPr>
            <w:noProof/>
            <w:webHidden/>
          </w:rPr>
          <w:instrText xml:space="preserve"> PAGEREF _Toc205457941 \h </w:instrText>
        </w:r>
        <w:r w:rsidR="00B83ED2">
          <w:rPr>
            <w:noProof/>
            <w:webHidden/>
          </w:rPr>
        </w:r>
        <w:r w:rsidR="00B83ED2">
          <w:rPr>
            <w:noProof/>
            <w:webHidden/>
          </w:rPr>
          <w:fldChar w:fldCharType="separate"/>
        </w:r>
        <w:r w:rsidR="00B83ED2">
          <w:rPr>
            <w:noProof/>
            <w:webHidden/>
          </w:rPr>
          <w:t>6</w:t>
        </w:r>
        <w:r w:rsidR="00B83ED2">
          <w:rPr>
            <w:noProof/>
            <w:webHidden/>
          </w:rPr>
          <w:fldChar w:fldCharType="end"/>
        </w:r>
      </w:hyperlink>
    </w:p>
    <w:p w14:paraId="778CC6B0" w14:textId="74E9B7E6" w:rsidR="00B83ED2" w:rsidRDefault="009274C1">
      <w:pPr>
        <w:pStyle w:val="TOC2"/>
        <w:rPr>
          <w:rFonts w:asciiTheme="minorHAnsi" w:eastAsiaTheme="minorEastAsia" w:hAnsiTheme="minorHAnsi" w:cstheme="minorBidi"/>
          <w:noProof/>
          <w:kern w:val="2"/>
          <w:sz w:val="24"/>
          <w:szCs w:val="24"/>
          <w14:ligatures w14:val="standardContextual"/>
        </w:rPr>
      </w:pPr>
      <w:hyperlink w:anchor="_Toc205457942" w:history="1">
        <w:r w:rsidR="00B83ED2" w:rsidRPr="00D86900">
          <w:rPr>
            <w:rStyle w:val="Hyperlink"/>
          </w:rPr>
          <w:t>1.1</w:t>
        </w:r>
        <w:r w:rsidR="00B83ED2">
          <w:rPr>
            <w:rFonts w:asciiTheme="minorHAnsi" w:eastAsiaTheme="minorEastAsia" w:hAnsiTheme="minorHAnsi" w:cstheme="minorBidi"/>
            <w:noProof/>
            <w:kern w:val="2"/>
            <w:sz w:val="24"/>
            <w:szCs w:val="24"/>
            <w14:ligatures w14:val="standardContextual"/>
          </w:rPr>
          <w:tab/>
        </w:r>
        <w:r w:rsidR="00B83ED2" w:rsidRPr="00D86900">
          <w:rPr>
            <w:rStyle w:val="Hyperlink"/>
          </w:rPr>
          <w:t>Purpose</w:t>
        </w:r>
        <w:r w:rsidR="00B83ED2">
          <w:rPr>
            <w:noProof/>
            <w:webHidden/>
          </w:rPr>
          <w:tab/>
        </w:r>
        <w:r w:rsidR="00B83ED2">
          <w:rPr>
            <w:noProof/>
            <w:webHidden/>
          </w:rPr>
          <w:fldChar w:fldCharType="begin"/>
        </w:r>
        <w:r w:rsidR="00B83ED2">
          <w:rPr>
            <w:noProof/>
            <w:webHidden/>
          </w:rPr>
          <w:instrText xml:space="preserve"> PAGEREF _Toc205457942 \h </w:instrText>
        </w:r>
        <w:r w:rsidR="00B83ED2">
          <w:rPr>
            <w:noProof/>
            <w:webHidden/>
          </w:rPr>
        </w:r>
        <w:r w:rsidR="00B83ED2">
          <w:rPr>
            <w:noProof/>
            <w:webHidden/>
          </w:rPr>
          <w:fldChar w:fldCharType="separate"/>
        </w:r>
        <w:r w:rsidR="00B83ED2">
          <w:rPr>
            <w:noProof/>
            <w:webHidden/>
          </w:rPr>
          <w:t>6</w:t>
        </w:r>
        <w:r w:rsidR="00B83ED2">
          <w:rPr>
            <w:noProof/>
            <w:webHidden/>
          </w:rPr>
          <w:fldChar w:fldCharType="end"/>
        </w:r>
      </w:hyperlink>
    </w:p>
    <w:p w14:paraId="6EAF4BAA" w14:textId="648612A3" w:rsidR="00B83ED2" w:rsidRDefault="009274C1">
      <w:pPr>
        <w:pStyle w:val="TOC2"/>
        <w:rPr>
          <w:rFonts w:asciiTheme="minorHAnsi" w:eastAsiaTheme="minorEastAsia" w:hAnsiTheme="minorHAnsi" w:cstheme="minorBidi"/>
          <w:noProof/>
          <w:kern w:val="2"/>
          <w:sz w:val="24"/>
          <w:szCs w:val="24"/>
          <w14:ligatures w14:val="standardContextual"/>
        </w:rPr>
      </w:pPr>
      <w:hyperlink w:anchor="_Toc205457943" w:history="1">
        <w:r w:rsidR="00B83ED2" w:rsidRPr="00D86900">
          <w:rPr>
            <w:rStyle w:val="Hyperlink"/>
          </w:rPr>
          <w:t>1.2</w:t>
        </w:r>
        <w:r w:rsidR="00B83ED2">
          <w:rPr>
            <w:rFonts w:asciiTheme="minorHAnsi" w:eastAsiaTheme="minorEastAsia" w:hAnsiTheme="minorHAnsi" w:cstheme="minorBidi"/>
            <w:noProof/>
            <w:kern w:val="2"/>
            <w:sz w:val="24"/>
            <w:szCs w:val="24"/>
            <w14:ligatures w14:val="standardContextual"/>
          </w:rPr>
          <w:tab/>
        </w:r>
        <w:r w:rsidR="00B83ED2" w:rsidRPr="00D86900">
          <w:rPr>
            <w:rStyle w:val="Hyperlink"/>
          </w:rPr>
          <w:t>Audience and Scope</w:t>
        </w:r>
        <w:r w:rsidR="00B83ED2">
          <w:rPr>
            <w:noProof/>
            <w:webHidden/>
          </w:rPr>
          <w:tab/>
        </w:r>
        <w:r w:rsidR="00B83ED2">
          <w:rPr>
            <w:noProof/>
            <w:webHidden/>
          </w:rPr>
          <w:fldChar w:fldCharType="begin"/>
        </w:r>
        <w:r w:rsidR="00B83ED2">
          <w:rPr>
            <w:noProof/>
            <w:webHidden/>
          </w:rPr>
          <w:instrText xml:space="preserve"> PAGEREF _Toc205457943 \h </w:instrText>
        </w:r>
        <w:r w:rsidR="00B83ED2">
          <w:rPr>
            <w:noProof/>
            <w:webHidden/>
          </w:rPr>
        </w:r>
        <w:r w:rsidR="00B83ED2">
          <w:rPr>
            <w:noProof/>
            <w:webHidden/>
          </w:rPr>
          <w:fldChar w:fldCharType="separate"/>
        </w:r>
        <w:r w:rsidR="00B83ED2">
          <w:rPr>
            <w:noProof/>
            <w:webHidden/>
          </w:rPr>
          <w:t>6</w:t>
        </w:r>
        <w:r w:rsidR="00B83ED2">
          <w:rPr>
            <w:noProof/>
            <w:webHidden/>
          </w:rPr>
          <w:fldChar w:fldCharType="end"/>
        </w:r>
      </w:hyperlink>
    </w:p>
    <w:p w14:paraId="55F6B12B" w14:textId="59C85431" w:rsidR="00B83ED2" w:rsidRDefault="009274C1">
      <w:pPr>
        <w:pStyle w:val="TOC2"/>
        <w:rPr>
          <w:rFonts w:asciiTheme="minorHAnsi" w:eastAsiaTheme="minorEastAsia" w:hAnsiTheme="minorHAnsi" w:cstheme="minorBidi"/>
          <w:noProof/>
          <w:kern w:val="2"/>
          <w:sz w:val="24"/>
          <w:szCs w:val="24"/>
          <w14:ligatures w14:val="standardContextual"/>
        </w:rPr>
      </w:pPr>
      <w:hyperlink w:anchor="_Toc205457944" w:history="1">
        <w:r w:rsidR="00B83ED2" w:rsidRPr="00D86900">
          <w:rPr>
            <w:rStyle w:val="Hyperlink"/>
          </w:rPr>
          <w:t>1.3</w:t>
        </w:r>
        <w:r w:rsidR="00B83ED2">
          <w:rPr>
            <w:rFonts w:asciiTheme="minorHAnsi" w:eastAsiaTheme="minorEastAsia" w:hAnsiTheme="minorHAnsi" w:cstheme="minorBidi"/>
            <w:noProof/>
            <w:kern w:val="2"/>
            <w:sz w:val="24"/>
            <w:szCs w:val="24"/>
            <w14:ligatures w14:val="standardContextual"/>
          </w:rPr>
          <w:tab/>
        </w:r>
        <w:r w:rsidR="00B83ED2" w:rsidRPr="00D86900">
          <w:rPr>
            <w:rStyle w:val="Hyperlink"/>
          </w:rPr>
          <w:t>References</w:t>
        </w:r>
        <w:r w:rsidR="00B83ED2">
          <w:rPr>
            <w:noProof/>
            <w:webHidden/>
          </w:rPr>
          <w:tab/>
        </w:r>
        <w:r w:rsidR="00B83ED2">
          <w:rPr>
            <w:noProof/>
            <w:webHidden/>
          </w:rPr>
          <w:fldChar w:fldCharType="begin"/>
        </w:r>
        <w:r w:rsidR="00B83ED2">
          <w:rPr>
            <w:noProof/>
            <w:webHidden/>
          </w:rPr>
          <w:instrText xml:space="preserve"> PAGEREF _Toc205457944 \h </w:instrText>
        </w:r>
        <w:r w:rsidR="00B83ED2">
          <w:rPr>
            <w:noProof/>
            <w:webHidden/>
          </w:rPr>
        </w:r>
        <w:r w:rsidR="00B83ED2">
          <w:rPr>
            <w:noProof/>
            <w:webHidden/>
          </w:rPr>
          <w:fldChar w:fldCharType="separate"/>
        </w:r>
        <w:r w:rsidR="00B83ED2">
          <w:rPr>
            <w:noProof/>
            <w:webHidden/>
          </w:rPr>
          <w:t>6</w:t>
        </w:r>
        <w:r w:rsidR="00B83ED2">
          <w:rPr>
            <w:noProof/>
            <w:webHidden/>
          </w:rPr>
          <w:fldChar w:fldCharType="end"/>
        </w:r>
      </w:hyperlink>
    </w:p>
    <w:p w14:paraId="73F79490" w14:textId="03A168A3" w:rsidR="00B83ED2" w:rsidRDefault="009274C1">
      <w:pPr>
        <w:pStyle w:val="TOC1"/>
        <w:rPr>
          <w:rFonts w:asciiTheme="minorHAnsi" w:eastAsiaTheme="minorEastAsia" w:hAnsiTheme="minorHAnsi" w:cstheme="minorBidi"/>
          <w:noProof/>
          <w:kern w:val="2"/>
          <w:sz w:val="24"/>
          <w:szCs w:val="24"/>
          <w14:ligatures w14:val="standardContextual"/>
        </w:rPr>
      </w:pPr>
      <w:hyperlink w:anchor="_Toc205457945" w:history="1">
        <w:r w:rsidR="00B83ED2" w:rsidRPr="00D86900">
          <w:rPr>
            <w:rStyle w:val="Hyperlink"/>
          </w:rPr>
          <w:t>2</w:t>
        </w:r>
        <w:r w:rsidR="00B83ED2">
          <w:rPr>
            <w:rFonts w:asciiTheme="minorHAnsi" w:eastAsiaTheme="minorEastAsia" w:hAnsiTheme="minorHAnsi" w:cstheme="minorBidi"/>
            <w:noProof/>
            <w:kern w:val="2"/>
            <w:sz w:val="24"/>
            <w:szCs w:val="24"/>
            <w14:ligatures w14:val="standardContextual"/>
          </w:rPr>
          <w:tab/>
        </w:r>
        <w:r w:rsidR="00B83ED2" w:rsidRPr="00D86900">
          <w:rPr>
            <w:rStyle w:val="Hyperlink"/>
          </w:rPr>
          <w:t>Financial reporting content</w:t>
        </w:r>
        <w:r w:rsidR="00B83ED2">
          <w:rPr>
            <w:noProof/>
            <w:webHidden/>
          </w:rPr>
          <w:tab/>
        </w:r>
        <w:r w:rsidR="00B83ED2">
          <w:rPr>
            <w:noProof/>
            <w:webHidden/>
          </w:rPr>
          <w:fldChar w:fldCharType="begin"/>
        </w:r>
        <w:r w:rsidR="00B83ED2">
          <w:rPr>
            <w:noProof/>
            <w:webHidden/>
          </w:rPr>
          <w:instrText xml:space="preserve"> PAGEREF _Toc205457945 \h </w:instrText>
        </w:r>
        <w:r w:rsidR="00B83ED2">
          <w:rPr>
            <w:noProof/>
            <w:webHidden/>
          </w:rPr>
        </w:r>
        <w:r w:rsidR="00B83ED2">
          <w:rPr>
            <w:noProof/>
            <w:webHidden/>
          </w:rPr>
          <w:fldChar w:fldCharType="separate"/>
        </w:r>
        <w:r w:rsidR="00B83ED2">
          <w:rPr>
            <w:noProof/>
            <w:webHidden/>
          </w:rPr>
          <w:t>7</w:t>
        </w:r>
        <w:r w:rsidR="00B83ED2">
          <w:rPr>
            <w:noProof/>
            <w:webHidden/>
          </w:rPr>
          <w:fldChar w:fldCharType="end"/>
        </w:r>
      </w:hyperlink>
    </w:p>
    <w:p w14:paraId="7C0B3F43" w14:textId="1825861C" w:rsidR="00B83ED2" w:rsidRDefault="009274C1">
      <w:pPr>
        <w:pStyle w:val="TOC2"/>
        <w:rPr>
          <w:rFonts w:asciiTheme="minorHAnsi" w:eastAsiaTheme="minorEastAsia" w:hAnsiTheme="minorHAnsi" w:cstheme="minorBidi"/>
          <w:noProof/>
          <w:kern w:val="2"/>
          <w:sz w:val="24"/>
          <w:szCs w:val="24"/>
          <w14:ligatures w14:val="standardContextual"/>
        </w:rPr>
      </w:pPr>
      <w:hyperlink w:anchor="_Toc205457946" w:history="1">
        <w:r w:rsidR="00B83ED2" w:rsidRPr="00D86900">
          <w:rPr>
            <w:rStyle w:val="Hyperlink"/>
          </w:rPr>
          <w:t>2.1</w:t>
        </w:r>
        <w:r w:rsidR="00B83ED2">
          <w:rPr>
            <w:rFonts w:asciiTheme="minorHAnsi" w:eastAsiaTheme="minorEastAsia" w:hAnsiTheme="minorHAnsi" w:cstheme="minorBidi"/>
            <w:noProof/>
            <w:kern w:val="2"/>
            <w:sz w:val="24"/>
            <w:szCs w:val="24"/>
            <w14:ligatures w14:val="standardContextual"/>
          </w:rPr>
          <w:tab/>
        </w:r>
        <w:r w:rsidR="00B83ED2" w:rsidRPr="00D86900">
          <w:rPr>
            <w:rStyle w:val="Hyperlink"/>
          </w:rPr>
          <w:t>Introduction</w:t>
        </w:r>
        <w:r w:rsidR="00B83ED2">
          <w:rPr>
            <w:noProof/>
            <w:webHidden/>
          </w:rPr>
          <w:tab/>
        </w:r>
        <w:r w:rsidR="00B83ED2">
          <w:rPr>
            <w:noProof/>
            <w:webHidden/>
          </w:rPr>
          <w:fldChar w:fldCharType="begin"/>
        </w:r>
        <w:r w:rsidR="00B83ED2">
          <w:rPr>
            <w:noProof/>
            <w:webHidden/>
          </w:rPr>
          <w:instrText xml:space="preserve"> PAGEREF _Toc205457946 \h </w:instrText>
        </w:r>
        <w:r w:rsidR="00B83ED2">
          <w:rPr>
            <w:noProof/>
            <w:webHidden/>
          </w:rPr>
        </w:r>
        <w:r w:rsidR="00B83ED2">
          <w:rPr>
            <w:noProof/>
            <w:webHidden/>
          </w:rPr>
          <w:fldChar w:fldCharType="separate"/>
        </w:r>
        <w:r w:rsidR="00B83ED2">
          <w:rPr>
            <w:noProof/>
            <w:webHidden/>
          </w:rPr>
          <w:t>7</w:t>
        </w:r>
        <w:r w:rsidR="00B83ED2">
          <w:rPr>
            <w:noProof/>
            <w:webHidden/>
          </w:rPr>
          <w:fldChar w:fldCharType="end"/>
        </w:r>
      </w:hyperlink>
    </w:p>
    <w:p w14:paraId="5686DD5B" w14:textId="1890B79D" w:rsidR="00B83ED2" w:rsidRDefault="009274C1">
      <w:pPr>
        <w:pStyle w:val="TOC2"/>
        <w:rPr>
          <w:rFonts w:asciiTheme="minorHAnsi" w:eastAsiaTheme="minorEastAsia" w:hAnsiTheme="minorHAnsi" w:cstheme="minorBidi"/>
          <w:noProof/>
          <w:kern w:val="2"/>
          <w:sz w:val="24"/>
          <w:szCs w:val="24"/>
          <w14:ligatures w14:val="standardContextual"/>
        </w:rPr>
      </w:pPr>
      <w:hyperlink w:anchor="_Toc205457947" w:history="1">
        <w:r w:rsidR="00B83ED2" w:rsidRPr="00D86900">
          <w:rPr>
            <w:rStyle w:val="Hyperlink"/>
          </w:rPr>
          <w:t>2.2</w:t>
        </w:r>
        <w:r w:rsidR="00B83ED2">
          <w:rPr>
            <w:rFonts w:asciiTheme="minorHAnsi" w:eastAsiaTheme="minorEastAsia" w:hAnsiTheme="minorHAnsi" w:cstheme="minorBidi"/>
            <w:noProof/>
            <w:kern w:val="2"/>
            <w:sz w:val="24"/>
            <w:szCs w:val="24"/>
            <w14:ligatures w14:val="standardContextual"/>
          </w:rPr>
          <w:tab/>
        </w:r>
        <w:r w:rsidR="00B83ED2" w:rsidRPr="00D86900">
          <w:rPr>
            <w:rStyle w:val="Hyperlink"/>
          </w:rPr>
          <w:t>Comparisons with other SBR reports</w:t>
        </w:r>
        <w:r w:rsidR="00B83ED2">
          <w:rPr>
            <w:noProof/>
            <w:webHidden/>
          </w:rPr>
          <w:tab/>
        </w:r>
        <w:r w:rsidR="00B83ED2">
          <w:rPr>
            <w:noProof/>
            <w:webHidden/>
          </w:rPr>
          <w:fldChar w:fldCharType="begin"/>
        </w:r>
        <w:r w:rsidR="00B83ED2">
          <w:rPr>
            <w:noProof/>
            <w:webHidden/>
          </w:rPr>
          <w:instrText xml:space="preserve"> PAGEREF _Toc205457947 \h </w:instrText>
        </w:r>
        <w:r w:rsidR="00B83ED2">
          <w:rPr>
            <w:noProof/>
            <w:webHidden/>
          </w:rPr>
        </w:r>
        <w:r w:rsidR="00B83ED2">
          <w:rPr>
            <w:noProof/>
            <w:webHidden/>
          </w:rPr>
          <w:fldChar w:fldCharType="separate"/>
        </w:r>
        <w:r w:rsidR="00B83ED2">
          <w:rPr>
            <w:noProof/>
            <w:webHidden/>
          </w:rPr>
          <w:t>7</w:t>
        </w:r>
        <w:r w:rsidR="00B83ED2">
          <w:rPr>
            <w:noProof/>
            <w:webHidden/>
          </w:rPr>
          <w:fldChar w:fldCharType="end"/>
        </w:r>
      </w:hyperlink>
    </w:p>
    <w:p w14:paraId="0EE6DB2E" w14:textId="0332A229" w:rsidR="00B83ED2" w:rsidRDefault="009274C1">
      <w:pPr>
        <w:pStyle w:val="TOC2"/>
        <w:rPr>
          <w:rFonts w:asciiTheme="minorHAnsi" w:eastAsiaTheme="minorEastAsia" w:hAnsiTheme="minorHAnsi" w:cstheme="minorBidi"/>
          <w:noProof/>
          <w:kern w:val="2"/>
          <w:sz w:val="24"/>
          <w:szCs w:val="24"/>
          <w14:ligatures w14:val="standardContextual"/>
        </w:rPr>
      </w:pPr>
      <w:hyperlink w:anchor="_Toc205457948" w:history="1">
        <w:r w:rsidR="00B83ED2" w:rsidRPr="00D86900">
          <w:rPr>
            <w:rStyle w:val="Hyperlink"/>
          </w:rPr>
          <w:t>2.3</w:t>
        </w:r>
        <w:r w:rsidR="00B83ED2">
          <w:rPr>
            <w:rFonts w:asciiTheme="minorHAnsi" w:eastAsiaTheme="minorEastAsia" w:hAnsiTheme="minorHAnsi" w:cstheme="minorBidi"/>
            <w:noProof/>
            <w:kern w:val="2"/>
            <w:sz w:val="24"/>
            <w:szCs w:val="24"/>
            <w14:ligatures w14:val="standardContextual"/>
          </w:rPr>
          <w:tab/>
        </w:r>
        <w:r w:rsidR="00B83ED2" w:rsidRPr="00D86900">
          <w:rPr>
            <w:rStyle w:val="Hyperlink"/>
          </w:rPr>
          <w:t>Voluntary Lodgement</w:t>
        </w:r>
        <w:r w:rsidR="00B83ED2">
          <w:rPr>
            <w:noProof/>
            <w:webHidden/>
          </w:rPr>
          <w:tab/>
        </w:r>
        <w:r w:rsidR="00B83ED2">
          <w:rPr>
            <w:noProof/>
            <w:webHidden/>
          </w:rPr>
          <w:fldChar w:fldCharType="begin"/>
        </w:r>
        <w:r w:rsidR="00B83ED2">
          <w:rPr>
            <w:noProof/>
            <w:webHidden/>
          </w:rPr>
          <w:instrText xml:space="preserve"> PAGEREF _Toc205457948 \h </w:instrText>
        </w:r>
        <w:r w:rsidR="00B83ED2">
          <w:rPr>
            <w:noProof/>
            <w:webHidden/>
          </w:rPr>
        </w:r>
        <w:r w:rsidR="00B83ED2">
          <w:rPr>
            <w:noProof/>
            <w:webHidden/>
          </w:rPr>
          <w:fldChar w:fldCharType="separate"/>
        </w:r>
        <w:r w:rsidR="00B83ED2">
          <w:rPr>
            <w:noProof/>
            <w:webHidden/>
          </w:rPr>
          <w:t>8</w:t>
        </w:r>
        <w:r w:rsidR="00B83ED2">
          <w:rPr>
            <w:noProof/>
            <w:webHidden/>
          </w:rPr>
          <w:fldChar w:fldCharType="end"/>
        </w:r>
      </w:hyperlink>
    </w:p>
    <w:p w14:paraId="4973357F" w14:textId="7F14128A" w:rsidR="00B83ED2" w:rsidRDefault="009274C1">
      <w:pPr>
        <w:pStyle w:val="TOC1"/>
        <w:rPr>
          <w:rFonts w:asciiTheme="minorHAnsi" w:eastAsiaTheme="minorEastAsia" w:hAnsiTheme="minorHAnsi" w:cstheme="minorBidi"/>
          <w:noProof/>
          <w:kern w:val="2"/>
          <w:sz w:val="24"/>
          <w:szCs w:val="24"/>
          <w14:ligatures w14:val="standardContextual"/>
        </w:rPr>
      </w:pPr>
      <w:hyperlink w:anchor="_Toc205457949" w:history="1">
        <w:r w:rsidR="00B83ED2" w:rsidRPr="00D86900">
          <w:rPr>
            <w:rStyle w:val="Hyperlink"/>
          </w:rPr>
          <w:t>3</w:t>
        </w:r>
        <w:r w:rsidR="00B83ED2">
          <w:rPr>
            <w:rFonts w:asciiTheme="minorHAnsi" w:eastAsiaTheme="minorEastAsia" w:hAnsiTheme="minorHAnsi" w:cstheme="minorBidi"/>
            <w:noProof/>
            <w:kern w:val="2"/>
            <w:sz w:val="24"/>
            <w:szCs w:val="24"/>
            <w14:ligatures w14:val="standardContextual"/>
          </w:rPr>
          <w:tab/>
        </w:r>
        <w:r w:rsidR="00B83ED2" w:rsidRPr="00D86900">
          <w:rPr>
            <w:rStyle w:val="Hyperlink"/>
          </w:rPr>
          <w:t>IFRS AU Taxonomy Architecture</w:t>
        </w:r>
        <w:r w:rsidR="00B83ED2">
          <w:rPr>
            <w:noProof/>
            <w:webHidden/>
          </w:rPr>
          <w:tab/>
        </w:r>
        <w:r w:rsidR="00B83ED2">
          <w:rPr>
            <w:noProof/>
            <w:webHidden/>
          </w:rPr>
          <w:fldChar w:fldCharType="begin"/>
        </w:r>
        <w:r w:rsidR="00B83ED2">
          <w:rPr>
            <w:noProof/>
            <w:webHidden/>
          </w:rPr>
          <w:instrText xml:space="preserve"> PAGEREF _Toc205457949 \h </w:instrText>
        </w:r>
        <w:r w:rsidR="00B83ED2">
          <w:rPr>
            <w:noProof/>
            <w:webHidden/>
          </w:rPr>
        </w:r>
        <w:r w:rsidR="00B83ED2">
          <w:rPr>
            <w:noProof/>
            <w:webHidden/>
          </w:rPr>
          <w:fldChar w:fldCharType="separate"/>
        </w:r>
        <w:r w:rsidR="00B83ED2">
          <w:rPr>
            <w:noProof/>
            <w:webHidden/>
          </w:rPr>
          <w:t>9</w:t>
        </w:r>
        <w:r w:rsidR="00B83ED2">
          <w:rPr>
            <w:noProof/>
            <w:webHidden/>
          </w:rPr>
          <w:fldChar w:fldCharType="end"/>
        </w:r>
      </w:hyperlink>
    </w:p>
    <w:p w14:paraId="63D83568" w14:textId="7E32D605" w:rsidR="00B83ED2" w:rsidRDefault="009274C1">
      <w:pPr>
        <w:pStyle w:val="TOC2"/>
        <w:rPr>
          <w:rFonts w:asciiTheme="minorHAnsi" w:eastAsiaTheme="minorEastAsia" w:hAnsiTheme="minorHAnsi" w:cstheme="minorBidi"/>
          <w:noProof/>
          <w:kern w:val="2"/>
          <w:sz w:val="24"/>
          <w:szCs w:val="24"/>
          <w14:ligatures w14:val="standardContextual"/>
        </w:rPr>
      </w:pPr>
      <w:hyperlink w:anchor="_Toc205457950" w:history="1">
        <w:r w:rsidR="00B83ED2" w:rsidRPr="00D86900">
          <w:rPr>
            <w:rStyle w:val="Hyperlink"/>
          </w:rPr>
          <w:t>3.1</w:t>
        </w:r>
        <w:r w:rsidR="00B83ED2">
          <w:rPr>
            <w:rFonts w:asciiTheme="minorHAnsi" w:eastAsiaTheme="minorEastAsia" w:hAnsiTheme="minorHAnsi" w:cstheme="minorBidi"/>
            <w:noProof/>
            <w:kern w:val="2"/>
            <w:sz w:val="24"/>
            <w:szCs w:val="24"/>
            <w14:ligatures w14:val="standardContextual"/>
          </w:rPr>
          <w:tab/>
        </w:r>
        <w:r w:rsidR="00B83ED2" w:rsidRPr="00D86900">
          <w:rPr>
            <w:rStyle w:val="Hyperlink"/>
          </w:rPr>
          <w:t>Australian Extension of the IFRS Taxonomy</w:t>
        </w:r>
        <w:r w:rsidR="00B83ED2">
          <w:rPr>
            <w:noProof/>
            <w:webHidden/>
          </w:rPr>
          <w:tab/>
        </w:r>
        <w:r w:rsidR="00B83ED2">
          <w:rPr>
            <w:noProof/>
            <w:webHidden/>
          </w:rPr>
          <w:fldChar w:fldCharType="begin"/>
        </w:r>
        <w:r w:rsidR="00B83ED2">
          <w:rPr>
            <w:noProof/>
            <w:webHidden/>
          </w:rPr>
          <w:instrText xml:space="preserve"> PAGEREF _Toc205457950 \h </w:instrText>
        </w:r>
        <w:r w:rsidR="00B83ED2">
          <w:rPr>
            <w:noProof/>
            <w:webHidden/>
          </w:rPr>
        </w:r>
        <w:r w:rsidR="00B83ED2">
          <w:rPr>
            <w:noProof/>
            <w:webHidden/>
          </w:rPr>
          <w:fldChar w:fldCharType="separate"/>
        </w:r>
        <w:r w:rsidR="00B83ED2">
          <w:rPr>
            <w:noProof/>
            <w:webHidden/>
          </w:rPr>
          <w:t>9</w:t>
        </w:r>
        <w:r w:rsidR="00B83ED2">
          <w:rPr>
            <w:noProof/>
            <w:webHidden/>
          </w:rPr>
          <w:fldChar w:fldCharType="end"/>
        </w:r>
      </w:hyperlink>
    </w:p>
    <w:p w14:paraId="7885C2AD" w14:textId="414EF952" w:rsidR="00B83ED2" w:rsidRDefault="009274C1">
      <w:pPr>
        <w:pStyle w:val="TOC3"/>
        <w:rPr>
          <w:rFonts w:asciiTheme="minorHAnsi" w:eastAsiaTheme="minorEastAsia" w:hAnsiTheme="minorHAnsi" w:cstheme="minorBidi"/>
          <w:kern w:val="2"/>
          <w:sz w:val="24"/>
          <w:szCs w:val="24"/>
          <w14:ligatures w14:val="standardContextual"/>
        </w:rPr>
      </w:pPr>
      <w:hyperlink w:anchor="_Toc205457951" w:history="1">
        <w:r w:rsidR="00B83ED2" w:rsidRPr="00D86900">
          <w:rPr>
            <w:rStyle w:val="Hyperlink"/>
          </w:rPr>
          <w:t>3.1.1</w:t>
        </w:r>
        <w:r w:rsidR="00B83ED2">
          <w:rPr>
            <w:rFonts w:asciiTheme="minorHAnsi" w:eastAsiaTheme="minorEastAsia" w:hAnsiTheme="minorHAnsi" w:cstheme="minorBidi"/>
            <w:kern w:val="2"/>
            <w:sz w:val="24"/>
            <w:szCs w:val="24"/>
            <w14:ligatures w14:val="standardContextual"/>
          </w:rPr>
          <w:tab/>
        </w:r>
        <w:r w:rsidR="00B83ED2" w:rsidRPr="00D86900">
          <w:rPr>
            <w:rStyle w:val="Hyperlink"/>
          </w:rPr>
          <w:t>Background</w:t>
        </w:r>
        <w:r w:rsidR="00B83ED2">
          <w:rPr>
            <w:webHidden/>
          </w:rPr>
          <w:tab/>
        </w:r>
        <w:r w:rsidR="00B83ED2">
          <w:rPr>
            <w:webHidden/>
          </w:rPr>
          <w:fldChar w:fldCharType="begin"/>
        </w:r>
        <w:r w:rsidR="00B83ED2">
          <w:rPr>
            <w:webHidden/>
          </w:rPr>
          <w:instrText xml:space="preserve"> PAGEREF _Toc205457951 \h </w:instrText>
        </w:r>
        <w:r w:rsidR="00B83ED2">
          <w:rPr>
            <w:webHidden/>
          </w:rPr>
        </w:r>
        <w:r w:rsidR="00B83ED2">
          <w:rPr>
            <w:webHidden/>
          </w:rPr>
          <w:fldChar w:fldCharType="separate"/>
        </w:r>
        <w:r w:rsidR="00B83ED2">
          <w:rPr>
            <w:webHidden/>
          </w:rPr>
          <w:t>9</w:t>
        </w:r>
        <w:r w:rsidR="00B83ED2">
          <w:rPr>
            <w:webHidden/>
          </w:rPr>
          <w:fldChar w:fldCharType="end"/>
        </w:r>
      </w:hyperlink>
    </w:p>
    <w:p w14:paraId="3E8A5644" w14:textId="08DF3AB8" w:rsidR="00B83ED2" w:rsidRDefault="009274C1">
      <w:pPr>
        <w:pStyle w:val="TOC3"/>
        <w:rPr>
          <w:rFonts w:asciiTheme="minorHAnsi" w:eastAsiaTheme="minorEastAsia" w:hAnsiTheme="minorHAnsi" w:cstheme="minorBidi"/>
          <w:kern w:val="2"/>
          <w:sz w:val="24"/>
          <w:szCs w:val="24"/>
          <w14:ligatures w14:val="standardContextual"/>
        </w:rPr>
      </w:pPr>
      <w:hyperlink w:anchor="_Toc205457952" w:history="1">
        <w:r w:rsidR="00B83ED2" w:rsidRPr="00D86900">
          <w:rPr>
            <w:rStyle w:val="Hyperlink"/>
          </w:rPr>
          <w:t>3.1.2</w:t>
        </w:r>
        <w:r w:rsidR="00B83ED2">
          <w:rPr>
            <w:rFonts w:asciiTheme="minorHAnsi" w:eastAsiaTheme="minorEastAsia" w:hAnsiTheme="minorHAnsi" w:cstheme="minorBidi"/>
            <w:kern w:val="2"/>
            <w:sz w:val="24"/>
            <w:szCs w:val="24"/>
            <w14:ligatures w14:val="standardContextual"/>
          </w:rPr>
          <w:tab/>
        </w:r>
        <w:r w:rsidR="00B83ED2" w:rsidRPr="00D86900">
          <w:rPr>
            <w:rStyle w:val="Hyperlink"/>
          </w:rPr>
          <w:t>Changes to the previous version</w:t>
        </w:r>
        <w:r w:rsidR="00B83ED2">
          <w:rPr>
            <w:webHidden/>
          </w:rPr>
          <w:tab/>
        </w:r>
        <w:r w:rsidR="00B83ED2">
          <w:rPr>
            <w:webHidden/>
          </w:rPr>
          <w:fldChar w:fldCharType="begin"/>
        </w:r>
        <w:r w:rsidR="00B83ED2">
          <w:rPr>
            <w:webHidden/>
          </w:rPr>
          <w:instrText xml:space="preserve"> PAGEREF _Toc205457952 \h </w:instrText>
        </w:r>
        <w:r w:rsidR="00B83ED2">
          <w:rPr>
            <w:webHidden/>
          </w:rPr>
        </w:r>
        <w:r w:rsidR="00B83ED2">
          <w:rPr>
            <w:webHidden/>
          </w:rPr>
          <w:fldChar w:fldCharType="separate"/>
        </w:r>
        <w:r w:rsidR="00B83ED2">
          <w:rPr>
            <w:webHidden/>
          </w:rPr>
          <w:t>9</w:t>
        </w:r>
        <w:r w:rsidR="00B83ED2">
          <w:rPr>
            <w:webHidden/>
          </w:rPr>
          <w:fldChar w:fldCharType="end"/>
        </w:r>
      </w:hyperlink>
    </w:p>
    <w:p w14:paraId="5C1C4C70" w14:textId="7CB3E4CA" w:rsidR="00B83ED2" w:rsidRDefault="009274C1">
      <w:pPr>
        <w:pStyle w:val="TOC3"/>
        <w:rPr>
          <w:rFonts w:asciiTheme="minorHAnsi" w:eastAsiaTheme="minorEastAsia" w:hAnsiTheme="minorHAnsi" w:cstheme="minorBidi"/>
          <w:kern w:val="2"/>
          <w:sz w:val="24"/>
          <w:szCs w:val="24"/>
          <w14:ligatures w14:val="standardContextual"/>
        </w:rPr>
      </w:pPr>
      <w:hyperlink w:anchor="_Toc205457953" w:history="1">
        <w:r w:rsidR="00B83ED2" w:rsidRPr="00D86900">
          <w:rPr>
            <w:rStyle w:val="Hyperlink"/>
          </w:rPr>
          <w:t>3.1.3</w:t>
        </w:r>
        <w:r w:rsidR="00B83ED2">
          <w:rPr>
            <w:rFonts w:asciiTheme="minorHAnsi" w:eastAsiaTheme="minorEastAsia" w:hAnsiTheme="minorHAnsi" w:cstheme="minorBidi"/>
            <w:kern w:val="2"/>
            <w:sz w:val="24"/>
            <w:szCs w:val="24"/>
            <w14:ligatures w14:val="standardContextual"/>
          </w:rPr>
          <w:tab/>
        </w:r>
        <w:r w:rsidR="00B83ED2" w:rsidRPr="00D86900">
          <w:rPr>
            <w:rStyle w:val="Hyperlink"/>
          </w:rPr>
          <w:t>File structure and architecture of the IFRS AU taxonomy</w:t>
        </w:r>
        <w:r w:rsidR="00B83ED2">
          <w:rPr>
            <w:webHidden/>
          </w:rPr>
          <w:tab/>
        </w:r>
        <w:r w:rsidR="00B83ED2">
          <w:rPr>
            <w:webHidden/>
          </w:rPr>
          <w:fldChar w:fldCharType="begin"/>
        </w:r>
        <w:r w:rsidR="00B83ED2">
          <w:rPr>
            <w:webHidden/>
          </w:rPr>
          <w:instrText xml:space="preserve"> PAGEREF _Toc205457953 \h </w:instrText>
        </w:r>
        <w:r w:rsidR="00B83ED2">
          <w:rPr>
            <w:webHidden/>
          </w:rPr>
        </w:r>
        <w:r w:rsidR="00B83ED2">
          <w:rPr>
            <w:webHidden/>
          </w:rPr>
          <w:fldChar w:fldCharType="separate"/>
        </w:r>
        <w:r w:rsidR="00B83ED2">
          <w:rPr>
            <w:webHidden/>
          </w:rPr>
          <w:t>9</w:t>
        </w:r>
        <w:r w:rsidR="00B83ED2">
          <w:rPr>
            <w:webHidden/>
          </w:rPr>
          <w:fldChar w:fldCharType="end"/>
        </w:r>
      </w:hyperlink>
    </w:p>
    <w:p w14:paraId="44AD4771" w14:textId="371F0A1B" w:rsidR="00B83ED2" w:rsidRDefault="009274C1">
      <w:pPr>
        <w:pStyle w:val="TOC3"/>
        <w:rPr>
          <w:rFonts w:asciiTheme="minorHAnsi" w:eastAsiaTheme="minorEastAsia" w:hAnsiTheme="minorHAnsi" w:cstheme="minorBidi"/>
          <w:kern w:val="2"/>
          <w:sz w:val="24"/>
          <w:szCs w:val="24"/>
          <w14:ligatures w14:val="standardContextual"/>
        </w:rPr>
      </w:pPr>
      <w:hyperlink w:anchor="_Toc205457954" w:history="1">
        <w:r w:rsidR="00B83ED2" w:rsidRPr="00D86900">
          <w:rPr>
            <w:rStyle w:val="Hyperlink"/>
          </w:rPr>
          <w:t>3.1.4</w:t>
        </w:r>
        <w:r w:rsidR="00B83ED2">
          <w:rPr>
            <w:rFonts w:asciiTheme="minorHAnsi" w:eastAsiaTheme="minorEastAsia" w:hAnsiTheme="minorHAnsi" w:cstheme="minorBidi"/>
            <w:kern w:val="2"/>
            <w:sz w:val="24"/>
            <w:szCs w:val="24"/>
            <w14:ligatures w14:val="standardContextual"/>
          </w:rPr>
          <w:tab/>
        </w:r>
        <w:r w:rsidR="00B83ED2" w:rsidRPr="00D86900">
          <w:rPr>
            <w:rStyle w:val="Hyperlink"/>
          </w:rPr>
          <w:t>Preparer's extension or customisation of IFRS AU taxonomy</w:t>
        </w:r>
        <w:r w:rsidR="00B83ED2">
          <w:rPr>
            <w:webHidden/>
          </w:rPr>
          <w:tab/>
        </w:r>
        <w:r w:rsidR="00B83ED2">
          <w:rPr>
            <w:webHidden/>
          </w:rPr>
          <w:fldChar w:fldCharType="begin"/>
        </w:r>
        <w:r w:rsidR="00B83ED2">
          <w:rPr>
            <w:webHidden/>
          </w:rPr>
          <w:instrText xml:space="preserve"> PAGEREF _Toc205457954 \h </w:instrText>
        </w:r>
        <w:r w:rsidR="00B83ED2">
          <w:rPr>
            <w:webHidden/>
          </w:rPr>
        </w:r>
        <w:r w:rsidR="00B83ED2">
          <w:rPr>
            <w:webHidden/>
          </w:rPr>
          <w:fldChar w:fldCharType="separate"/>
        </w:r>
        <w:r w:rsidR="00B83ED2">
          <w:rPr>
            <w:webHidden/>
          </w:rPr>
          <w:t>10</w:t>
        </w:r>
        <w:r w:rsidR="00B83ED2">
          <w:rPr>
            <w:webHidden/>
          </w:rPr>
          <w:fldChar w:fldCharType="end"/>
        </w:r>
      </w:hyperlink>
    </w:p>
    <w:p w14:paraId="469AA353" w14:textId="1AB15559" w:rsidR="00B83ED2" w:rsidRDefault="009274C1">
      <w:pPr>
        <w:pStyle w:val="TOC3"/>
        <w:rPr>
          <w:rFonts w:asciiTheme="minorHAnsi" w:eastAsiaTheme="minorEastAsia" w:hAnsiTheme="minorHAnsi" w:cstheme="minorBidi"/>
          <w:kern w:val="2"/>
          <w:sz w:val="24"/>
          <w:szCs w:val="24"/>
          <w14:ligatures w14:val="standardContextual"/>
        </w:rPr>
      </w:pPr>
      <w:hyperlink w:anchor="_Toc205457955" w:history="1">
        <w:r w:rsidR="00B83ED2" w:rsidRPr="00D86900">
          <w:rPr>
            <w:rStyle w:val="Hyperlink"/>
          </w:rPr>
          <w:t>3.1.5</w:t>
        </w:r>
        <w:r w:rsidR="00B83ED2">
          <w:rPr>
            <w:rFonts w:asciiTheme="minorHAnsi" w:eastAsiaTheme="minorEastAsia" w:hAnsiTheme="minorHAnsi" w:cstheme="minorBidi"/>
            <w:kern w:val="2"/>
            <w:sz w:val="24"/>
            <w:szCs w:val="24"/>
            <w14:ligatures w14:val="standardContextual"/>
          </w:rPr>
          <w:tab/>
        </w:r>
        <w:r w:rsidR="00B83ED2" w:rsidRPr="00D86900">
          <w:rPr>
            <w:rStyle w:val="Hyperlink"/>
          </w:rPr>
          <w:t>Issue, releases, and effective date</w:t>
        </w:r>
        <w:r w:rsidR="00B83ED2">
          <w:rPr>
            <w:webHidden/>
          </w:rPr>
          <w:tab/>
        </w:r>
        <w:r w:rsidR="00B83ED2">
          <w:rPr>
            <w:webHidden/>
          </w:rPr>
          <w:fldChar w:fldCharType="begin"/>
        </w:r>
        <w:r w:rsidR="00B83ED2">
          <w:rPr>
            <w:webHidden/>
          </w:rPr>
          <w:instrText xml:space="preserve"> PAGEREF _Toc205457955 \h </w:instrText>
        </w:r>
        <w:r w:rsidR="00B83ED2">
          <w:rPr>
            <w:webHidden/>
          </w:rPr>
        </w:r>
        <w:r w:rsidR="00B83ED2">
          <w:rPr>
            <w:webHidden/>
          </w:rPr>
          <w:fldChar w:fldCharType="separate"/>
        </w:r>
        <w:r w:rsidR="00B83ED2">
          <w:rPr>
            <w:webHidden/>
          </w:rPr>
          <w:t>11</w:t>
        </w:r>
        <w:r w:rsidR="00B83ED2">
          <w:rPr>
            <w:webHidden/>
          </w:rPr>
          <w:fldChar w:fldCharType="end"/>
        </w:r>
      </w:hyperlink>
    </w:p>
    <w:p w14:paraId="357888DC" w14:textId="20B10DCF" w:rsidR="00B83ED2" w:rsidRDefault="009274C1">
      <w:pPr>
        <w:pStyle w:val="TOC2"/>
        <w:rPr>
          <w:rFonts w:asciiTheme="minorHAnsi" w:eastAsiaTheme="minorEastAsia" w:hAnsiTheme="minorHAnsi" w:cstheme="minorBidi"/>
          <w:noProof/>
          <w:kern w:val="2"/>
          <w:sz w:val="24"/>
          <w:szCs w:val="24"/>
          <w14:ligatures w14:val="standardContextual"/>
        </w:rPr>
      </w:pPr>
      <w:hyperlink w:anchor="_Toc205457956" w:history="1">
        <w:r w:rsidR="00B83ED2" w:rsidRPr="00D86900">
          <w:rPr>
            <w:rStyle w:val="Hyperlink"/>
          </w:rPr>
          <w:t>3.2</w:t>
        </w:r>
        <w:r w:rsidR="00B83ED2">
          <w:rPr>
            <w:rFonts w:asciiTheme="minorHAnsi" w:eastAsiaTheme="minorEastAsia" w:hAnsiTheme="minorHAnsi" w:cstheme="minorBidi"/>
            <w:noProof/>
            <w:kern w:val="2"/>
            <w:sz w:val="24"/>
            <w:szCs w:val="24"/>
            <w14:ligatures w14:val="standardContextual"/>
          </w:rPr>
          <w:tab/>
        </w:r>
        <w:r w:rsidR="00B83ED2" w:rsidRPr="00D86900">
          <w:rPr>
            <w:rStyle w:val="Hyperlink"/>
          </w:rPr>
          <w:t>Modelling of the IFRS AU Taxonomy 2025</w:t>
        </w:r>
        <w:r w:rsidR="00B83ED2">
          <w:rPr>
            <w:noProof/>
            <w:webHidden/>
          </w:rPr>
          <w:tab/>
        </w:r>
        <w:r w:rsidR="00B83ED2">
          <w:rPr>
            <w:noProof/>
            <w:webHidden/>
          </w:rPr>
          <w:fldChar w:fldCharType="begin"/>
        </w:r>
        <w:r w:rsidR="00B83ED2">
          <w:rPr>
            <w:noProof/>
            <w:webHidden/>
          </w:rPr>
          <w:instrText xml:space="preserve"> PAGEREF _Toc205457956 \h </w:instrText>
        </w:r>
        <w:r w:rsidR="00B83ED2">
          <w:rPr>
            <w:noProof/>
            <w:webHidden/>
          </w:rPr>
        </w:r>
        <w:r w:rsidR="00B83ED2">
          <w:rPr>
            <w:noProof/>
            <w:webHidden/>
          </w:rPr>
          <w:fldChar w:fldCharType="separate"/>
        </w:r>
        <w:r w:rsidR="00B83ED2">
          <w:rPr>
            <w:noProof/>
            <w:webHidden/>
          </w:rPr>
          <w:t>12</w:t>
        </w:r>
        <w:r w:rsidR="00B83ED2">
          <w:rPr>
            <w:noProof/>
            <w:webHidden/>
          </w:rPr>
          <w:fldChar w:fldCharType="end"/>
        </w:r>
      </w:hyperlink>
    </w:p>
    <w:p w14:paraId="6C27345D" w14:textId="0D33DD2B" w:rsidR="00B83ED2" w:rsidRDefault="009274C1">
      <w:pPr>
        <w:pStyle w:val="TOC3"/>
        <w:rPr>
          <w:rFonts w:asciiTheme="minorHAnsi" w:eastAsiaTheme="minorEastAsia" w:hAnsiTheme="minorHAnsi" w:cstheme="minorBidi"/>
          <w:kern w:val="2"/>
          <w:sz w:val="24"/>
          <w:szCs w:val="24"/>
          <w14:ligatures w14:val="standardContextual"/>
        </w:rPr>
      </w:pPr>
      <w:hyperlink w:anchor="_Toc205457957" w:history="1">
        <w:r w:rsidR="00B83ED2" w:rsidRPr="00D86900">
          <w:rPr>
            <w:rStyle w:val="Hyperlink"/>
          </w:rPr>
          <w:t>3.2.1</w:t>
        </w:r>
        <w:r w:rsidR="00B83ED2">
          <w:rPr>
            <w:rFonts w:asciiTheme="minorHAnsi" w:eastAsiaTheme="minorEastAsia" w:hAnsiTheme="minorHAnsi" w:cstheme="minorBidi"/>
            <w:kern w:val="2"/>
            <w:sz w:val="24"/>
            <w:szCs w:val="24"/>
            <w14:ligatures w14:val="standardContextual"/>
          </w:rPr>
          <w:tab/>
        </w:r>
        <w:r w:rsidR="00B83ED2" w:rsidRPr="00D86900">
          <w:rPr>
            <w:rStyle w:val="Hyperlink"/>
          </w:rPr>
          <w:t>Hierarchical modelling</w:t>
        </w:r>
        <w:r w:rsidR="00B83ED2">
          <w:rPr>
            <w:webHidden/>
          </w:rPr>
          <w:tab/>
        </w:r>
        <w:r w:rsidR="00B83ED2">
          <w:rPr>
            <w:webHidden/>
          </w:rPr>
          <w:fldChar w:fldCharType="begin"/>
        </w:r>
        <w:r w:rsidR="00B83ED2">
          <w:rPr>
            <w:webHidden/>
          </w:rPr>
          <w:instrText xml:space="preserve"> PAGEREF _Toc205457957 \h </w:instrText>
        </w:r>
        <w:r w:rsidR="00B83ED2">
          <w:rPr>
            <w:webHidden/>
          </w:rPr>
        </w:r>
        <w:r w:rsidR="00B83ED2">
          <w:rPr>
            <w:webHidden/>
          </w:rPr>
          <w:fldChar w:fldCharType="separate"/>
        </w:r>
        <w:r w:rsidR="00B83ED2">
          <w:rPr>
            <w:webHidden/>
          </w:rPr>
          <w:t>12</w:t>
        </w:r>
        <w:r w:rsidR="00B83ED2">
          <w:rPr>
            <w:webHidden/>
          </w:rPr>
          <w:fldChar w:fldCharType="end"/>
        </w:r>
      </w:hyperlink>
    </w:p>
    <w:p w14:paraId="3710C8D3" w14:textId="53C3627C" w:rsidR="00B83ED2" w:rsidRDefault="009274C1">
      <w:pPr>
        <w:pStyle w:val="TOC3"/>
        <w:rPr>
          <w:rFonts w:asciiTheme="minorHAnsi" w:eastAsiaTheme="minorEastAsia" w:hAnsiTheme="minorHAnsi" w:cstheme="minorBidi"/>
          <w:kern w:val="2"/>
          <w:sz w:val="24"/>
          <w:szCs w:val="24"/>
          <w14:ligatures w14:val="standardContextual"/>
        </w:rPr>
      </w:pPr>
      <w:hyperlink w:anchor="_Toc205457958" w:history="1">
        <w:r w:rsidR="00B83ED2" w:rsidRPr="00D86900">
          <w:rPr>
            <w:rStyle w:val="Hyperlink"/>
          </w:rPr>
          <w:t>3.2.2</w:t>
        </w:r>
        <w:r w:rsidR="00B83ED2">
          <w:rPr>
            <w:rFonts w:asciiTheme="minorHAnsi" w:eastAsiaTheme="minorEastAsia" w:hAnsiTheme="minorHAnsi" w:cstheme="minorBidi"/>
            <w:kern w:val="2"/>
            <w:sz w:val="24"/>
            <w:szCs w:val="24"/>
            <w14:ligatures w14:val="standardContextual"/>
          </w:rPr>
          <w:tab/>
        </w:r>
        <w:r w:rsidR="00B83ED2" w:rsidRPr="00D86900">
          <w:rPr>
            <w:rStyle w:val="Hyperlink"/>
          </w:rPr>
          <w:t>Axes Modelling</w:t>
        </w:r>
        <w:r w:rsidR="00B83ED2">
          <w:rPr>
            <w:webHidden/>
          </w:rPr>
          <w:tab/>
        </w:r>
        <w:r w:rsidR="00B83ED2">
          <w:rPr>
            <w:webHidden/>
          </w:rPr>
          <w:fldChar w:fldCharType="begin"/>
        </w:r>
        <w:r w:rsidR="00B83ED2">
          <w:rPr>
            <w:webHidden/>
          </w:rPr>
          <w:instrText xml:space="preserve"> PAGEREF _Toc205457958 \h </w:instrText>
        </w:r>
        <w:r w:rsidR="00B83ED2">
          <w:rPr>
            <w:webHidden/>
          </w:rPr>
        </w:r>
        <w:r w:rsidR="00B83ED2">
          <w:rPr>
            <w:webHidden/>
          </w:rPr>
          <w:fldChar w:fldCharType="separate"/>
        </w:r>
        <w:r w:rsidR="00B83ED2">
          <w:rPr>
            <w:webHidden/>
          </w:rPr>
          <w:t>13</w:t>
        </w:r>
        <w:r w:rsidR="00B83ED2">
          <w:rPr>
            <w:webHidden/>
          </w:rPr>
          <w:fldChar w:fldCharType="end"/>
        </w:r>
      </w:hyperlink>
    </w:p>
    <w:p w14:paraId="19F51601" w14:textId="443C40C8" w:rsidR="00B83ED2" w:rsidRDefault="009274C1">
      <w:pPr>
        <w:pStyle w:val="TOC2"/>
        <w:rPr>
          <w:rFonts w:asciiTheme="minorHAnsi" w:eastAsiaTheme="minorEastAsia" w:hAnsiTheme="minorHAnsi" w:cstheme="minorBidi"/>
          <w:noProof/>
          <w:kern w:val="2"/>
          <w:sz w:val="24"/>
          <w:szCs w:val="24"/>
          <w14:ligatures w14:val="standardContextual"/>
        </w:rPr>
      </w:pPr>
      <w:hyperlink w:anchor="_Toc205457959" w:history="1">
        <w:r w:rsidR="00B83ED2" w:rsidRPr="00D86900">
          <w:rPr>
            <w:rStyle w:val="Hyperlink"/>
          </w:rPr>
          <w:t>3.3</w:t>
        </w:r>
        <w:r w:rsidR="00B83ED2">
          <w:rPr>
            <w:rFonts w:asciiTheme="minorHAnsi" w:eastAsiaTheme="minorEastAsia" w:hAnsiTheme="minorHAnsi" w:cstheme="minorBidi"/>
            <w:noProof/>
            <w:kern w:val="2"/>
            <w:sz w:val="24"/>
            <w:szCs w:val="24"/>
            <w14:ligatures w14:val="standardContextual"/>
          </w:rPr>
          <w:tab/>
        </w:r>
        <w:r w:rsidR="00B83ED2" w:rsidRPr="00D86900">
          <w:rPr>
            <w:rStyle w:val="Hyperlink"/>
          </w:rPr>
          <w:t>Structure of the IFRS AU Taxonomy 2025</w:t>
        </w:r>
        <w:r w:rsidR="00B83ED2">
          <w:rPr>
            <w:noProof/>
            <w:webHidden/>
          </w:rPr>
          <w:tab/>
        </w:r>
        <w:r w:rsidR="00B83ED2">
          <w:rPr>
            <w:noProof/>
            <w:webHidden/>
          </w:rPr>
          <w:fldChar w:fldCharType="begin"/>
        </w:r>
        <w:r w:rsidR="00B83ED2">
          <w:rPr>
            <w:noProof/>
            <w:webHidden/>
          </w:rPr>
          <w:instrText xml:space="preserve"> PAGEREF _Toc205457959 \h </w:instrText>
        </w:r>
        <w:r w:rsidR="00B83ED2">
          <w:rPr>
            <w:noProof/>
            <w:webHidden/>
          </w:rPr>
        </w:r>
        <w:r w:rsidR="00B83ED2">
          <w:rPr>
            <w:noProof/>
            <w:webHidden/>
          </w:rPr>
          <w:fldChar w:fldCharType="separate"/>
        </w:r>
        <w:r w:rsidR="00B83ED2">
          <w:rPr>
            <w:noProof/>
            <w:webHidden/>
          </w:rPr>
          <w:t>16</w:t>
        </w:r>
        <w:r w:rsidR="00B83ED2">
          <w:rPr>
            <w:noProof/>
            <w:webHidden/>
          </w:rPr>
          <w:fldChar w:fldCharType="end"/>
        </w:r>
      </w:hyperlink>
    </w:p>
    <w:p w14:paraId="6A59E58C" w14:textId="2120DE10" w:rsidR="00B83ED2" w:rsidRDefault="009274C1">
      <w:pPr>
        <w:pStyle w:val="TOC3"/>
        <w:rPr>
          <w:rFonts w:asciiTheme="minorHAnsi" w:eastAsiaTheme="minorEastAsia" w:hAnsiTheme="minorHAnsi" w:cstheme="minorBidi"/>
          <w:kern w:val="2"/>
          <w:sz w:val="24"/>
          <w:szCs w:val="24"/>
          <w14:ligatures w14:val="standardContextual"/>
        </w:rPr>
      </w:pPr>
      <w:hyperlink w:anchor="_Toc205457960" w:history="1">
        <w:r w:rsidR="00B83ED2" w:rsidRPr="00D86900">
          <w:rPr>
            <w:rStyle w:val="Hyperlink"/>
          </w:rPr>
          <w:t>3.3.1</w:t>
        </w:r>
        <w:r w:rsidR="00B83ED2">
          <w:rPr>
            <w:rFonts w:asciiTheme="minorHAnsi" w:eastAsiaTheme="minorEastAsia" w:hAnsiTheme="minorHAnsi" w:cstheme="minorBidi"/>
            <w:kern w:val="2"/>
            <w:sz w:val="24"/>
            <w:szCs w:val="24"/>
            <w14:ligatures w14:val="standardContextual"/>
          </w:rPr>
          <w:tab/>
        </w:r>
        <w:r w:rsidR="00B83ED2" w:rsidRPr="00D86900">
          <w:rPr>
            <w:rStyle w:val="Hyperlink"/>
          </w:rPr>
          <w:t>Folders and file structures</w:t>
        </w:r>
        <w:r w:rsidR="00B83ED2">
          <w:rPr>
            <w:webHidden/>
          </w:rPr>
          <w:tab/>
        </w:r>
        <w:r w:rsidR="00B83ED2">
          <w:rPr>
            <w:webHidden/>
          </w:rPr>
          <w:fldChar w:fldCharType="begin"/>
        </w:r>
        <w:r w:rsidR="00B83ED2">
          <w:rPr>
            <w:webHidden/>
          </w:rPr>
          <w:instrText xml:space="preserve"> PAGEREF _Toc205457960 \h </w:instrText>
        </w:r>
        <w:r w:rsidR="00B83ED2">
          <w:rPr>
            <w:webHidden/>
          </w:rPr>
        </w:r>
        <w:r w:rsidR="00B83ED2">
          <w:rPr>
            <w:webHidden/>
          </w:rPr>
          <w:fldChar w:fldCharType="separate"/>
        </w:r>
        <w:r w:rsidR="00B83ED2">
          <w:rPr>
            <w:webHidden/>
          </w:rPr>
          <w:t>16</w:t>
        </w:r>
        <w:r w:rsidR="00B83ED2">
          <w:rPr>
            <w:webHidden/>
          </w:rPr>
          <w:fldChar w:fldCharType="end"/>
        </w:r>
      </w:hyperlink>
    </w:p>
    <w:p w14:paraId="15C82D1D" w14:textId="1A9036EC" w:rsidR="00B83ED2" w:rsidRDefault="009274C1">
      <w:pPr>
        <w:pStyle w:val="TOC3"/>
        <w:rPr>
          <w:rFonts w:asciiTheme="minorHAnsi" w:eastAsiaTheme="minorEastAsia" w:hAnsiTheme="minorHAnsi" w:cstheme="minorBidi"/>
          <w:kern w:val="2"/>
          <w:sz w:val="24"/>
          <w:szCs w:val="24"/>
          <w14:ligatures w14:val="standardContextual"/>
        </w:rPr>
      </w:pPr>
      <w:hyperlink w:anchor="_Toc205457961" w:history="1">
        <w:r w:rsidR="00B83ED2" w:rsidRPr="00D86900">
          <w:rPr>
            <w:rStyle w:val="Hyperlink"/>
          </w:rPr>
          <w:t>3.3.2</w:t>
        </w:r>
        <w:r w:rsidR="00B83ED2">
          <w:rPr>
            <w:rFonts w:asciiTheme="minorHAnsi" w:eastAsiaTheme="minorEastAsia" w:hAnsiTheme="minorHAnsi" w:cstheme="minorBidi"/>
            <w:kern w:val="2"/>
            <w:sz w:val="24"/>
            <w:szCs w:val="24"/>
            <w14:ligatures w14:val="standardContextual"/>
          </w:rPr>
          <w:tab/>
        </w:r>
        <w:r w:rsidR="00B83ED2" w:rsidRPr="00D86900">
          <w:rPr>
            <w:rStyle w:val="Hyperlink"/>
          </w:rPr>
          <w:t>Absolute and relative paths</w:t>
        </w:r>
        <w:r w:rsidR="00B83ED2">
          <w:rPr>
            <w:webHidden/>
          </w:rPr>
          <w:tab/>
        </w:r>
        <w:r w:rsidR="00B83ED2">
          <w:rPr>
            <w:webHidden/>
          </w:rPr>
          <w:fldChar w:fldCharType="begin"/>
        </w:r>
        <w:r w:rsidR="00B83ED2">
          <w:rPr>
            <w:webHidden/>
          </w:rPr>
          <w:instrText xml:space="preserve"> PAGEREF _Toc205457961 \h </w:instrText>
        </w:r>
        <w:r w:rsidR="00B83ED2">
          <w:rPr>
            <w:webHidden/>
          </w:rPr>
        </w:r>
        <w:r w:rsidR="00B83ED2">
          <w:rPr>
            <w:webHidden/>
          </w:rPr>
          <w:fldChar w:fldCharType="separate"/>
        </w:r>
        <w:r w:rsidR="00B83ED2">
          <w:rPr>
            <w:webHidden/>
          </w:rPr>
          <w:t>17</w:t>
        </w:r>
        <w:r w:rsidR="00B83ED2">
          <w:rPr>
            <w:webHidden/>
          </w:rPr>
          <w:fldChar w:fldCharType="end"/>
        </w:r>
      </w:hyperlink>
    </w:p>
    <w:p w14:paraId="3B7771AD" w14:textId="3CB34A92" w:rsidR="00B83ED2" w:rsidRDefault="009274C1">
      <w:pPr>
        <w:pStyle w:val="TOC3"/>
        <w:rPr>
          <w:rFonts w:asciiTheme="minorHAnsi" w:eastAsiaTheme="minorEastAsia" w:hAnsiTheme="minorHAnsi" w:cstheme="minorBidi"/>
          <w:kern w:val="2"/>
          <w:sz w:val="24"/>
          <w:szCs w:val="24"/>
          <w14:ligatures w14:val="standardContextual"/>
        </w:rPr>
      </w:pPr>
      <w:hyperlink w:anchor="_Toc205457962" w:history="1">
        <w:r w:rsidR="00B83ED2" w:rsidRPr="00D86900">
          <w:rPr>
            <w:rStyle w:val="Hyperlink"/>
          </w:rPr>
          <w:t>3.3.3</w:t>
        </w:r>
        <w:r w:rsidR="00B83ED2">
          <w:rPr>
            <w:rFonts w:asciiTheme="minorHAnsi" w:eastAsiaTheme="minorEastAsia" w:hAnsiTheme="minorHAnsi" w:cstheme="minorBidi"/>
            <w:kern w:val="2"/>
            <w:sz w:val="24"/>
            <w:szCs w:val="24"/>
            <w14:ligatures w14:val="standardContextual"/>
          </w:rPr>
          <w:tab/>
        </w:r>
        <w:r w:rsidR="00B83ED2" w:rsidRPr="00D86900">
          <w:rPr>
            <w:rStyle w:val="Hyperlink"/>
          </w:rPr>
          <w:t>DTS discovery</w:t>
        </w:r>
        <w:r w:rsidR="00B83ED2">
          <w:rPr>
            <w:webHidden/>
          </w:rPr>
          <w:tab/>
        </w:r>
        <w:r w:rsidR="00B83ED2">
          <w:rPr>
            <w:webHidden/>
          </w:rPr>
          <w:fldChar w:fldCharType="begin"/>
        </w:r>
        <w:r w:rsidR="00B83ED2">
          <w:rPr>
            <w:webHidden/>
          </w:rPr>
          <w:instrText xml:space="preserve"> PAGEREF _Toc205457962 \h </w:instrText>
        </w:r>
        <w:r w:rsidR="00B83ED2">
          <w:rPr>
            <w:webHidden/>
          </w:rPr>
        </w:r>
        <w:r w:rsidR="00B83ED2">
          <w:rPr>
            <w:webHidden/>
          </w:rPr>
          <w:fldChar w:fldCharType="separate"/>
        </w:r>
        <w:r w:rsidR="00B83ED2">
          <w:rPr>
            <w:webHidden/>
          </w:rPr>
          <w:t>18</w:t>
        </w:r>
        <w:r w:rsidR="00B83ED2">
          <w:rPr>
            <w:webHidden/>
          </w:rPr>
          <w:fldChar w:fldCharType="end"/>
        </w:r>
      </w:hyperlink>
    </w:p>
    <w:p w14:paraId="7050BFE7" w14:textId="5C5EC36F" w:rsidR="00B83ED2" w:rsidRDefault="009274C1">
      <w:pPr>
        <w:pStyle w:val="TOC3"/>
        <w:rPr>
          <w:rFonts w:asciiTheme="minorHAnsi" w:eastAsiaTheme="minorEastAsia" w:hAnsiTheme="minorHAnsi" w:cstheme="minorBidi"/>
          <w:kern w:val="2"/>
          <w:sz w:val="24"/>
          <w:szCs w:val="24"/>
          <w14:ligatures w14:val="standardContextual"/>
        </w:rPr>
      </w:pPr>
      <w:hyperlink w:anchor="_Toc205457963" w:history="1">
        <w:r w:rsidR="00B83ED2" w:rsidRPr="00D86900">
          <w:rPr>
            <w:rStyle w:val="Hyperlink"/>
          </w:rPr>
          <w:t>3.3.4</w:t>
        </w:r>
        <w:r w:rsidR="00B83ED2">
          <w:rPr>
            <w:rFonts w:asciiTheme="minorHAnsi" w:eastAsiaTheme="minorEastAsia" w:hAnsiTheme="minorHAnsi" w:cstheme="minorBidi"/>
            <w:kern w:val="2"/>
            <w:sz w:val="24"/>
            <w:szCs w:val="24"/>
            <w14:ligatures w14:val="standardContextual"/>
          </w:rPr>
          <w:tab/>
        </w:r>
        <w:r w:rsidR="00B83ED2" w:rsidRPr="00D86900">
          <w:rPr>
            <w:rStyle w:val="Hyperlink"/>
          </w:rPr>
          <w:t>Namespaces</w:t>
        </w:r>
        <w:r w:rsidR="00B83ED2">
          <w:rPr>
            <w:webHidden/>
          </w:rPr>
          <w:tab/>
        </w:r>
        <w:r w:rsidR="00B83ED2">
          <w:rPr>
            <w:webHidden/>
          </w:rPr>
          <w:fldChar w:fldCharType="begin"/>
        </w:r>
        <w:r w:rsidR="00B83ED2">
          <w:rPr>
            <w:webHidden/>
          </w:rPr>
          <w:instrText xml:space="preserve"> PAGEREF _Toc205457963 \h </w:instrText>
        </w:r>
        <w:r w:rsidR="00B83ED2">
          <w:rPr>
            <w:webHidden/>
          </w:rPr>
        </w:r>
        <w:r w:rsidR="00B83ED2">
          <w:rPr>
            <w:webHidden/>
          </w:rPr>
          <w:fldChar w:fldCharType="separate"/>
        </w:r>
        <w:r w:rsidR="00B83ED2">
          <w:rPr>
            <w:webHidden/>
          </w:rPr>
          <w:t>18</w:t>
        </w:r>
        <w:r w:rsidR="00B83ED2">
          <w:rPr>
            <w:webHidden/>
          </w:rPr>
          <w:fldChar w:fldCharType="end"/>
        </w:r>
      </w:hyperlink>
    </w:p>
    <w:p w14:paraId="64DEFAC0" w14:textId="4EE2A02E" w:rsidR="00B83ED2" w:rsidRDefault="009274C1">
      <w:pPr>
        <w:pStyle w:val="TOC3"/>
        <w:rPr>
          <w:rFonts w:asciiTheme="minorHAnsi" w:eastAsiaTheme="minorEastAsia" w:hAnsiTheme="minorHAnsi" w:cstheme="minorBidi"/>
          <w:kern w:val="2"/>
          <w:sz w:val="24"/>
          <w:szCs w:val="24"/>
          <w14:ligatures w14:val="standardContextual"/>
        </w:rPr>
      </w:pPr>
      <w:hyperlink w:anchor="_Toc205457964" w:history="1">
        <w:r w:rsidR="00B83ED2" w:rsidRPr="00D86900">
          <w:rPr>
            <w:rStyle w:val="Hyperlink"/>
          </w:rPr>
          <w:t>3.3.5</w:t>
        </w:r>
        <w:r w:rsidR="00B83ED2">
          <w:rPr>
            <w:rFonts w:asciiTheme="minorHAnsi" w:eastAsiaTheme="minorEastAsia" w:hAnsiTheme="minorHAnsi" w:cstheme="minorBidi"/>
            <w:kern w:val="2"/>
            <w:sz w:val="24"/>
            <w:szCs w:val="24"/>
            <w14:ligatures w14:val="standardContextual"/>
          </w:rPr>
          <w:tab/>
        </w:r>
        <w:r w:rsidR="00B83ED2" w:rsidRPr="00D86900">
          <w:rPr>
            <w:rStyle w:val="Hyperlink"/>
          </w:rPr>
          <w:t>Core, role and entry-point schema</w:t>
        </w:r>
        <w:r w:rsidR="00B83ED2">
          <w:rPr>
            <w:webHidden/>
          </w:rPr>
          <w:tab/>
        </w:r>
        <w:r w:rsidR="00B83ED2">
          <w:rPr>
            <w:webHidden/>
          </w:rPr>
          <w:fldChar w:fldCharType="begin"/>
        </w:r>
        <w:r w:rsidR="00B83ED2">
          <w:rPr>
            <w:webHidden/>
          </w:rPr>
          <w:instrText xml:space="preserve"> PAGEREF _Toc205457964 \h </w:instrText>
        </w:r>
        <w:r w:rsidR="00B83ED2">
          <w:rPr>
            <w:webHidden/>
          </w:rPr>
        </w:r>
        <w:r w:rsidR="00B83ED2">
          <w:rPr>
            <w:webHidden/>
          </w:rPr>
          <w:fldChar w:fldCharType="separate"/>
        </w:r>
        <w:r w:rsidR="00B83ED2">
          <w:rPr>
            <w:webHidden/>
          </w:rPr>
          <w:t>18</w:t>
        </w:r>
        <w:r w:rsidR="00B83ED2">
          <w:rPr>
            <w:webHidden/>
          </w:rPr>
          <w:fldChar w:fldCharType="end"/>
        </w:r>
      </w:hyperlink>
    </w:p>
    <w:p w14:paraId="59467F13" w14:textId="7ED6C14C" w:rsidR="00B83ED2" w:rsidRDefault="009274C1">
      <w:pPr>
        <w:pStyle w:val="TOC3"/>
        <w:rPr>
          <w:rFonts w:asciiTheme="minorHAnsi" w:eastAsiaTheme="minorEastAsia" w:hAnsiTheme="minorHAnsi" w:cstheme="minorBidi"/>
          <w:kern w:val="2"/>
          <w:sz w:val="24"/>
          <w:szCs w:val="24"/>
          <w14:ligatures w14:val="standardContextual"/>
        </w:rPr>
      </w:pPr>
      <w:hyperlink w:anchor="_Toc205457965" w:history="1">
        <w:r w:rsidR="00B83ED2" w:rsidRPr="00D86900">
          <w:rPr>
            <w:rStyle w:val="Hyperlink"/>
          </w:rPr>
          <w:t>3.3.6</w:t>
        </w:r>
        <w:r w:rsidR="00B83ED2">
          <w:rPr>
            <w:rFonts w:asciiTheme="minorHAnsi" w:eastAsiaTheme="minorEastAsia" w:hAnsiTheme="minorHAnsi" w:cstheme="minorBidi"/>
            <w:kern w:val="2"/>
            <w:sz w:val="24"/>
            <w:szCs w:val="24"/>
            <w14:ligatures w14:val="standardContextual"/>
          </w:rPr>
          <w:tab/>
        </w:r>
        <w:r w:rsidR="00B83ED2" w:rsidRPr="00D86900">
          <w:rPr>
            <w:rStyle w:val="Hyperlink"/>
          </w:rPr>
          <w:t>Deprecated schema</w:t>
        </w:r>
        <w:r w:rsidR="00B83ED2">
          <w:rPr>
            <w:webHidden/>
          </w:rPr>
          <w:tab/>
        </w:r>
        <w:r w:rsidR="00B83ED2">
          <w:rPr>
            <w:webHidden/>
          </w:rPr>
          <w:fldChar w:fldCharType="begin"/>
        </w:r>
        <w:r w:rsidR="00B83ED2">
          <w:rPr>
            <w:webHidden/>
          </w:rPr>
          <w:instrText xml:space="preserve"> PAGEREF _Toc205457965 \h </w:instrText>
        </w:r>
        <w:r w:rsidR="00B83ED2">
          <w:rPr>
            <w:webHidden/>
          </w:rPr>
        </w:r>
        <w:r w:rsidR="00B83ED2">
          <w:rPr>
            <w:webHidden/>
          </w:rPr>
          <w:fldChar w:fldCharType="separate"/>
        </w:r>
        <w:r w:rsidR="00B83ED2">
          <w:rPr>
            <w:webHidden/>
          </w:rPr>
          <w:t>18</w:t>
        </w:r>
        <w:r w:rsidR="00B83ED2">
          <w:rPr>
            <w:webHidden/>
          </w:rPr>
          <w:fldChar w:fldCharType="end"/>
        </w:r>
      </w:hyperlink>
    </w:p>
    <w:p w14:paraId="0085E841" w14:textId="33A95F2D" w:rsidR="00B83ED2" w:rsidRDefault="009274C1">
      <w:pPr>
        <w:pStyle w:val="TOC3"/>
        <w:rPr>
          <w:rFonts w:asciiTheme="minorHAnsi" w:eastAsiaTheme="minorEastAsia" w:hAnsiTheme="minorHAnsi" w:cstheme="minorBidi"/>
          <w:kern w:val="2"/>
          <w:sz w:val="24"/>
          <w:szCs w:val="24"/>
          <w14:ligatures w14:val="standardContextual"/>
        </w:rPr>
      </w:pPr>
      <w:hyperlink w:anchor="_Toc205457966" w:history="1">
        <w:r w:rsidR="00B83ED2" w:rsidRPr="00D86900">
          <w:rPr>
            <w:rStyle w:val="Hyperlink"/>
          </w:rPr>
          <w:t>3.3.7</w:t>
        </w:r>
        <w:r w:rsidR="00B83ED2">
          <w:rPr>
            <w:rFonts w:asciiTheme="minorHAnsi" w:eastAsiaTheme="minorEastAsia" w:hAnsiTheme="minorHAnsi" w:cstheme="minorBidi"/>
            <w:kern w:val="2"/>
            <w:sz w:val="24"/>
            <w:szCs w:val="24"/>
            <w14:ligatures w14:val="standardContextual"/>
          </w:rPr>
          <w:tab/>
        </w:r>
        <w:r w:rsidR="00B83ED2" w:rsidRPr="00D86900">
          <w:rPr>
            <w:rStyle w:val="Hyperlink"/>
          </w:rPr>
          <w:t>Linkbases</w:t>
        </w:r>
        <w:r w:rsidR="00B83ED2">
          <w:rPr>
            <w:webHidden/>
          </w:rPr>
          <w:tab/>
        </w:r>
        <w:r w:rsidR="00B83ED2">
          <w:rPr>
            <w:webHidden/>
          </w:rPr>
          <w:fldChar w:fldCharType="begin"/>
        </w:r>
        <w:r w:rsidR="00B83ED2">
          <w:rPr>
            <w:webHidden/>
          </w:rPr>
          <w:instrText xml:space="preserve"> PAGEREF _Toc205457966 \h </w:instrText>
        </w:r>
        <w:r w:rsidR="00B83ED2">
          <w:rPr>
            <w:webHidden/>
          </w:rPr>
        </w:r>
        <w:r w:rsidR="00B83ED2">
          <w:rPr>
            <w:webHidden/>
          </w:rPr>
          <w:fldChar w:fldCharType="separate"/>
        </w:r>
        <w:r w:rsidR="00B83ED2">
          <w:rPr>
            <w:webHidden/>
          </w:rPr>
          <w:t>19</w:t>
        </w:r>
        <w:r w:rsidR="00B83ED2">
          <w:rPr>
            <w:webHidden/>
          </w:rPr>
          <w:fldChar w:fldCharType="end"/>
        </w:r>
      </w:hyperlink>
    </w:p>
    <w:p w14:paraId="2C2BABC1" w14:textId="53938C9F" w:rsidR="00B83ED2" w:rsidRDefault="009274C1">
      <w:pPr>
        <w:pStyle w:val="TOC3"/>
        <w:rPr>
          <w:rFonts w:asciiTheme="minorHAnsi" w:eastAsiaTheme="minorEastAsia" w:hAnsiTheme="minorHAnsi" w:cstheme="minorBidi"/>
          <w:kern w:val="2"/>
          <w:sz w:val="24"/>
          <w:szCs w:val="24"/>
          <w14:ligatures w14:val="standardContextual"/>
        </w:rPr>
      </w:pPr>
      <w:hyperlink w:anchor="_Toc205457967" w:history="1">
        <w:r w:rsidR="00B83ED2" w:rsidRPr="00D86900">
          <w:rPr>
            <w:rStyle w:val="Hyperlink"/>
          </w:rPr>
          <w:t>3.3.8</w:t>
        </w:r>
        <w:r w:rsidR="00B83ED2">
          <w:rPr>
            <w:rFonts w:asciiTheme="minorHAnsi" w:eastAsiaTheme="minorEastAsia" w:hAnsiTheme="minorHAnsi" w:cstheme="minorBidi"/>
            <w:kern w:val="2"/>
            <w:sz w:val="24"/>
            <w:szCs w:val="24"/>
            <w14:ligatures w14:val="standardContextual"/>
          </w:rPr>
          <w:tab/>
        </w:r>
        <w:r w:rsidR="00B83ED2" w:rsidRPr="00D86900">
          <w:rPr>
            <w:rStyle w:val="Hyperlink"/>
          </w:rPr>
          <w:t>Reference linkbase</w:t>
        </w:r>
        <w:r w:rsidR="00B83ED2">
          <w:rPr>
            <w:webHidden/>
          </w:rPr>
          <w:tab/>
        </w:r>
        <w:r w:rsidR="00B83ED2">
          <w:rPr>
            <w:webHidden/>
          </w:rPr>
          <w:fldChar w:fldCharType="begin"/>
        </w:r>
        <w:r w:rsidR="00B83ED2">
          <w:rPr>
            <w:webHidden/>
          </w:rPr>
          <w:instrText xml:space="preserve"> PAGEREF _Toc205457967 \h </w:instrText>
        </w:r>
        <w:r w:rsidR="00B83ED2">
          <w:rPr>
            <w:webHidden/>
          </w:rPr>
        </w:r>
        <w:r w:rsidR="00B83ED2">
          <w:rPr>
            <w:webHidden/>
          </w:rPr>
          <w:fldChar w:fldCharType="separate"/>
        </w:r>
        <w:r w:rsidR="00B83ED2">
          <w:rPr>
            <w:webHidden/>
          </w:rPr>
          <w:t>20</w:t>
        </w:r>
        <w:r w:rsidR="00B83ED2">
          <w:rPr>
            <w:webHidden/>
          </w:rPr>
          <w:fldChar w:fldCharType="end"/>
        </w:r>
      </w:hyperlink>
    </w:p>
    <w:p w14:paraId="2268D00D" w14:textId="6A6809F8" w:rsidR="00B83ED2" w:rsidRDefault="009274C1">
      <w:pPr>
        <w:pStyle w:val="TOC3"/>
        <w:rPr>
          <w:rFonts w:asciiTheme="minorHAnsi" w:eastAsiaTheme="minorEastAsia" w:hAnsiTheme="minorHAnsi" w:cstheme="minorBidi"/>
          <w:kern w:val="2"/>
          <w:sz w:val="24"/>
          <w:szCs w:val="24"/>
          <w14:ligatures w14:val="standardContextual"/>
        </w:rPr>
      </w:pPr>
      <w:hyperlink w:anchor="_Toc205457968" w:history="1">
        <w:r w:rsidR="00B83ED2" w:rsidRPr="00D86900">
          <w:rPr>
            <w:rStyle w:val="Hyperlink"/>
          </w:rPr>
          <w:t>3.3.9</w:t>
        </w:r>
        <w:r w:rsidR="00B83ED2">
          <w:rPr>
            <w:rFonts w:asciiTheme="minorHAnsi" w:eastAsiaTheme="minorEastAsia" w:hAnsiTheme="minorHAnsi" w:cstheme="minorBidi"/>
            <w:kern w:val="2"/>
            <w:sz w:val="24"/>
            <w:szCs w:val="24"/>
            <w14:ligatures w14:val="standardContextual"/>
          </w:rPr>
          <w:tab/>
        </w:r>
        <w:r w:rsidR="00B83ED2" w:rsidRPr="00D86900">
          <w:rPr>
            <w:rStyle w:val="Hyperlink"/>
          </w:rPr>
          <w:t>Label linkbase</w:t>
        </w:r>
        <w:r w:rsidR="00B83ED2">
          <w:rPr>
            <w:webHidden/>
          </w:rPr>
          <w:tab/>
        </w:r>
        <w:r w:rsidR="00B83ED2">
          <w:rPr>
            <w:webHidden/>
          </w:rPr>
          <w:fldChar w:fldCharType="begin"/>
        </w:r>
        <w:r w:rsidR="00B83ED2">
          <w:rPr>
            <w:webHidden/>
          </w:rPr>
          <w:instrText xml:space="preserve"> PAGEREF _Toc205457968 \h </w:instrText>
        </w:r>
        <w:r w:rsidR="00B83ED2">
          <w:rPr>
            <w:webHidden/>
          </w:rPr>
        </w:r>
        <w:r w:rsidR="00B83ED2">
          <w:rPr>
            <w:webHidden/>
          </w:rPr>
          <w:fldChar w:fldCharType="separate"/>
        </w:r>
        <w:r w:rsidR="00B83ED2">
          <w:rPr>
            <w:webHidden/>
          </w:rPr>
          <w:t>21</w:t>
        </w:r>
        <w:r w:rsidR="00B83ED2">
          <w:rPr>
            <w:webHidden/>
          </w:rPr>
          <w:fldChar w:fldCharType="end"/>
        </w:r>
      </w:hyperlink>
    </w:p>
    <w:p w14:paraId="2A0245E6" w14:textId="7CB9CC9E" w:rsidR="00B83ED2" w:rsidRDefault="009274C1">
      <w:pPr>
        <w:pStyle w:val="TOC3"/>
        <w:rPr>
          <w:rFonts w:asciiTheme="minorHAnsi" w:eastAsiaTheme="minorEastAsia" w:hAnsiTheme="minorHAnsi" w:cstheme="minorBidi"/>
          <w:kern w:val="2"/>
          <w:sz w:val="24"/>
          <w:szCs w:val="24"/>
          <w14:ligatures w14:val="standardContextual"/>
        </w:rPr>
      </w:pPr>
      <w:hyperlink w:anchor="_Toc205457969" w:history="1">
        <w:r w:rsidR="00B83ED2" w:rsidRPr="00D86900">
          <w:rPr>
            <w:rStyle w:val="Hyperlink"/>
          </w:rPr>
          <w:t>3.3.10</w:t>
        </w:r>
        <w:r w:rsidR="00B83ED2">
          <w:rPr>
            <w:rFonts w:asciiTheme="minorHAnsi" w:eastAsiaTheme="minorEastAsia" w:hAnsiTheme="minorHAnsi" w:cstheme="minorBidi"/>
            <w:kern w:val="2"/>
            <w:sz w:val="24"/>
            <w:szCs w:val="24"/>
            <w14:ligatures w14:val="standardContextual"/>
          </w:rPr>
          <w:tab/>
        </w:r>
        <w:r w:rsidR="00B83ED2" w:rsidRPr="00D86900">
          <w:rPr>
            <w:rStyle w:val="Hyperlink"/>
          </w:rPr>
          <w:t>Negated labels</w:t>
        </w:r>
        <w:r w:rsidR="00B83ED2">
          <w:rPr>
            <w:webHidden/>
          </w:rPr>
          <w:tab/>
        </w:r>
        <w:r w:rsidR="00B83ED2">
          <w:rPr>
            <w:webHidden/>
          </w:rPr>
          <w:fldChar w:fldCharType="begin"/>
        </w:r>
        <w:r w:rsidR="00B83ED2">
          <w:rPr>
            <w:webHidden/>
          </w:rPr>
          <w:instrText xml:space="preserve"> PAGEREF _Toc205457969 \h </w:instrText>
        </w:r>
        <w:r w:rsidR="00B83ED2">
          <w:rPr>
            <w:webHidden/>
          </w:rPr>
        </w:r>
        <w:r w:rsidR="00B83ED2">
          <w:rPr>
            <w:webHidden/>
          </w:rPr>
          <w:fldChar w:fldCharType="separate"/>
        </w:r>
        <w:r w:rsidR="00B83ED2">
          <w:rPr>
            <w:webHidden/>
          </w:rPr>
          <w:t>21</w:t>
        </w:r>
        <w:r w:rsidR="00B83ED2">
          <w:rPr>
            <w:webHidden/>
          </w:rPr>
          <w:fldChar w:fldCharType="end"/>
        </w:r>
      </w:hyperlink>
    </w:p>
    <w:p w14:paraId="3440491B" w14:textId="37A1BF1C" w:rsidR="00B83ED2" w:rsidRDefault="009274C1">
      <w:pPr>
        <w:pStyle w:val="TOC3"/>
        <w:rPr>
          <w:rFonts w:asciiTheme="minorHAnsi" w:eastAsiaTheme="minorEastAsia" w:hAnsiTheme="minorHAnsi" w:cstheme="minorBidi"/>
          <w:kern w:val="2"/>
          <w:sz w:val="24"/>
          <w:szCs w:val="24"/>
          <w14:ligatures w14:val="standardContextual"/>
        </w:rPr>
      </w:pPr>
      <w:hyperlink w:anchor="_Toc205457970" w:history="1">
        <w:r w:rsidR="00B83ED2" w:rsidRPr="00D86900">
          <w:rPr>
            <w:rStyle w:val="Hyperlink"/>
          </w:rPr>
          <w:t>3.3.11</w:t>
        </w:r>
        <w:r w:rsidR="00B83ED2">
          <w:rPr>
            <w:rFonts w:asciiTheme="minorHAnsi" w:eastAsiaTheme="minorEastAsia" w:hAnsiTheme="minorHAnsi" w:cstheme="minorBidi"/>
            <w:kern w:val="2"/>
            <w:sz w:val="24"/>
            <w:szCs w:val="24"/>
            <w14:ligatures w14:val="standardContextual"/>
          </w:rPr>
          <w:tab/>
        </w:r>
        <w:r w:rsidR="00B83ED2" w:rsidRPr="00D86900">
          <w:rPr>
            <w:rStyle w:val="Hyperlink"/>
          </w:rPr>
          <w:t>Presentation linkbases</w:t>
        </w:r>
        <w:r w:rsidR="00B83ED2">
          <w:rPr>
            <w:webHidden/>
          </w:rPr>
          <w:tab/>
        </w:r>
        <w:r w:rsidR="00B83ED2">
          <w:rPr>
            <w:webHidden/>
          </w:rPr>
          <w:fldChar w:fldCharType="begin"/>
        </w:r>
        <w:r w:rsidR="00B83ED2">
          <w:rPr>
            <w:webHidden/>
          </w:rPr>
          <w:instrText xml:space="preserve"> PAGEREF _Toc205457970 \h </w:instrText>
        </w:r>
        <w:r w:rsidR="00B83ED2">
          <w:rPr>
            <w:webHidden/>
          </w:rPr>
        </w:r>
        <w:r w:rsidR="00B83ED2">
          <w:rPr>
            <w:webHidden/>
          </w:rPr>
          <w:fldChar w:fldCharType="separate"/>
        </w:r>
        <w:r w:rsidR="00B83ED2">
          <w:rPr>
            <w:webHidden/>
          </w:rPr>
          <w:t>21</w:t>
        </w:r>
        <w:r w:rsidR="00B83ED2">
          <w:rPr>
            <w:webHidden/>
          </w:rPr>
          <w:fldChar w:fldCharType="end"/>
        </w:r>
      </w:hyperlink>
    </w:p>
    <w:p w14:paraId="21416A03" w14:textId="0DC13D87" w:rsidR="00B83ED2" w:rsidRDefault="009274C1">
      <w:pPr>
        <w:pStyle w:val="TOC2"/>
        <w:rPr>
          <w:rFonts w:asciiTheme="minorHAnsi" w:eastAsiaTheme="minorEastAsia" w:hAnsiTheme="minorHAnsi" w:cstheme="minorBidi"/>
          <w:noProof/>
          <w:kern w:val="2"/>
          <w:sz w:val="24"/>
          <w:szCs w:val="24"/>
          <w14:ligatures w14:val="standardContextual"/>
        </w:rPr>
      </w:pPr>
      <w:hyperlink w:anchor="_Toc205457971" w:history="1">
        <w:r w:rsidR="00B83ED2" w:rsidRPr="00D86900">
          <w:rPr>
            <w:rStyle w:val="Hyperlink"/>
          </w:rPr>
          <w:t>3.4</w:t>
        </w:r>
        <w:r w:rsidR="00B83ED2">
          <w:rPr>
            <w:rFonts w:asciiTheme="minorHAnsi" w:eastAsiaTheme="minorEastAsia" w:hAnsiTheme="minorHAnsi" w:cstheme="minorBidi"/>
            <w:noProof/>
            <w:kern w:val="2"/>
            <w:sz w:val="24"/>
            <w:szCs w:val="24"/>
            <w14:ligatures w14:val="standardContextual"/>
          </w:rPr>
          <w:tab/>
        </w:r>
        <w:r w:rsidR="00B83ED2" w:rsidRPr="00D86900">
          <w:rPr>
            <w:rStyle w:val="Hyperlink"/>
          </w:rPr>
          <w:t>Dimensions Specification</w:t>
        </w:r>
        <w:r w:rsidR="00B83ED2">
          <w:rPr>
            <w:noProof/>
            <w:webHidden/>
          </w:rPr>
          <w:tab/>
        </w:r>
        <w:r w:rsidR="00B83ED2">
          <w:rPr>
            <w:noProof/>
            <w:webHidden/>
          </w:rPr>
          <w:fldChar w:fldCharType="begin"/>
        </w:r>
        <w:r w:rsidR="00B83ED2">
          <w:rPr>
            <w:noProof/>
            <w:webHidden/>
          </w:rPr>
          <w:instrText xml:space="preserve"> PAGEREF _Toc205457971 \h </w:instrText>
        </w:r>
        <w:r w:rsidR="00B83ED2">
          <w:rPr>
            <w:noProof/>
            <w:webHidden/>
          </w:rPr>
        </w:r>
        <w:r w:rsidR="00B83ED2">
          <w:rPr>
            <w:noProof/>
            <w:webHidden/>
          </w:rPr>
          <w:fldChar w:fldCharType="separate"/>
        </w:r>
        <w:r w:rsidR="00B83ED2">
          <w:rPr>
            <w:noProof/>
            <w:webHidden/>
          </w:rPr>
          <w:t>22</w:t>
        </w:r>
        <w:r w:rsidR="00B83ED2">
          <w:rPr>
            <w:noProof/>
            <w:webHidden/>
          </w:rPr>
          <w:fldChar w:fldCharType="end"/>
        </w:r>
      </w:hyperlink>
    </w:p>
    <w:p w14:paraId="658CC513" w14:textId="55384373" w:rsidR="00B83ED2" w:rsidRDefault="009274C1">
      <w:pPr>
        <w:pStyle w:val="TOC3"/>
        <w:rPr>
          <w:rFonts w:asciiTheme="minorHAnsi" w:eastAsiaTheme="minorEastAsia" w:hAnsiTheme="minorHAnsi" w:cstheme="minorBidi"/>
          <w:kern w:val="2"/>
          <w:sz w:val="24"/>
          <w:szCs w:val="24"/>
          <w14:ligatures w14:val="standardContextual"/>
        </w:rPr>
      </w:pPr>
      <w:hyperlink w:anchor="_Toc205457972" w:history="1">
        <w:r w:rsidR="00B83ED2" w:rsidRPr="00D86900">
          <w:rPr>
            <w:rStyle w:val="Hyperlink"/>
          </w:rPr>
          <w:t>3.4.1</w:t>
        </w:r>
        <w:r w:rsidR="00B83ED2">
          <w:rPr>
            <w:rFonts w:asciiTheme="minorHAnsi" w:eastAsiaTheme="minorEastAsia" w:hAnsiTheme="minorHAnsi" w:cstheme="minorBidi"/>
            <w:kern w:val="2"/>
            <w:sz w:val="24"/>
            <w:szCs w:val="24"/>
            <w14:ligatures w14:val="standardContextual"/>
          </w:rPr>
          <w:tab/>
        </w:r>
        <w:r w:rsidR="00B83ED2" w:rsidRPr="00D86900">
          <w:rPr>
            <w:rStyle w:val="Hyperlink"/>
          </w:rPr>
          <w:t>"Applied" dimensions</w:t>
        </w:r>
        <w:r w:rsidR="00B83ED2">
          <w:rPr>
            <w:webHidden/>
          </w:rPr>
          <w:tab/>
        </w:r>
        <w:r w:rsidR="00B83ED2">
          <w:rPr>
            <w:webHidden/>
          </w:rPr>
          <w:fldChar w:fldCharType="begin"/>
        </w:r>
        <w:r w:rsidR="00B83ED2">
          <w:rPr>
            <w:webHidden/>
          </w:rPr>
          <w:instrText xml:space="preserve"> PAGEREF _Toc205457972 \h </w:instrText>
        </w:r>
        <w:r w:rsidR="00B83ED2">
          <w:rPr>
            <w:webHidden/>
          </w:rPr>
        </w:r>
        <w:r w:rsidR="00B83ED2">
          <w:rPr>
            <w:webHidden/>
          </w:rPr>
          <w:fldChar w:fldCharType="separate"/>
        </w:r>
        <w:r w:rsidR="00B83ED2">
          <w:rPr>
            <w:webHidden/>
          </w:rPr>
          <w:t>22</w:t>
        </w:r>
        <w:r w:rsidR="00B83ED2">
          <w:rPr>
            <w:webHidden/>
          </w:rPr>
          <w:fldChar w:fldCharType="end"/>
        </w:r>
      </w:hyperlink>
    </w:p>
    <w:p w14:paraId="64715323" w14:textId="5E579E1A" w:rsidR="00B83ED2" w:rsidRDefault="009274C1">
      <w:pPr>
        <w:pStyle w:val="TOC1"/>
        <w:rPr>
          <w:rFonts w:asciiTheme="minorHAnsi" w:eastAsiaTheme="minorEastAsia" w:hAnsiTheme="minorHAnsi" w:cstheme="minorBidi"/>
          <w:noProof/>
          <w:kern w:val="2"/>
          <w:sz w:val="24"/>
          <w:szCs w:val="24"/>
          <w14:ligatures w14:val="standardContextual"/>
        </w:rPr>
      </w:pPr>
      <w:hyperlink w:anchor="_Toc205457973" w:history="1">
        <w:r w:rsidR="00B83ED2" w:rsidRPr="00D86900">
          <w:rPr>
            <w:rStyle w:val="Hyperlink"/>
          </w:rPr>
          <w:t>4</w:t>
        </w:r>
        <w:r w:rsidR="00B83ED2">
          <w:rPr>
            <w:rFonts w:asciiTheme="minorHAnsi" w:eastAsiaTheme="minorEastAsia" w:hAnsiTheme="minorHAnsi" w:cstheme="minorBidi"/>
            <w:noProof/>
            <w:kern w:val="2"/>
            <w:sz w:val="24"/>
            <w:szCs w:val="24"/>
            <w14:ligatures w14:val="standardContextual"/>
          </w:rPr>
          <w:tab/>
        </w:r>
        <w:r w:rsidR="00B83ED2" w:rsidRPr="00D86900">
          <w:rPr>
            <w:rStyle w:val="Hyperlink"/>
          </w:rPr>
          <w:t>Preparer's guide</w:t>
        </w:r>
        <w:r w:rsidR="00B83ED2">
          <w:rPr>
            <w:noProof/>
            <w:webHidden/>
          </w:rPr>
          <w:tab/>
        </w:r>
        <w:r w:rsidR="00B83ED2">
          <w:rPr>
            <w:noProof/>
            <w:webHidden/>
          </w:rPr>
          <w:fldChar w:fldCharType="begin"/>
        </w:r>
        <w:r w:rsidR="00B83ED2">
          <w:rPr>
            <w:noProof/>
            <w:webHidden/>
          </w:rPr>
          <w:instrText xml:space="preserve"> PAGEREF _Toc205457973 \h </w:instrText>
        </w:r>
        <w:r w:rsidR="00B83ED2">
          <w:rPr>
            <w:noProof/>
            <w:webHidden/>
          </w:rPr>
        </w:r>
        <w:r w:rsidR="00B83ED2">
          <w:rPr>
            <w:noProof/>
            <w:webHidden/>
          </w:rPr>
          <w:fldChar w:fldCharType="separate"/>
        </w:r>
        <w:r w:rsidR="00B83ED2">
          <w:rPr>
            <w:noProof/>
            <w:webHidden/>
          </w:rPr>
          <w:t>25</w:t>
        </w:r>
        <w:r w:rsidR="00B83ED2">
          <w:rPr>
            <w:noProof/>
            <w:webHidden/>
          </w:rPr>
          <w:fldChar w:fldCharType="end"/>
        </w:r>
      </w:hyperlink>
    </w:p>
    <w:p w14:paraId="6A8F5727" w14:textId="108AF81C" w:rsidR="00B83ED2" w:rsidRDefault="009274C1">
      <w:pPr>
        <w:pStyle w:val="TOC2"/>
        <w:rPr>
          <w:rFonts w:asciiTheme="minorHAnsi" w:eastAsiaTheme="minorEastAsia" w:hAnsiTheme="minorHAnsi" w:cstheme="minorBidi"/>
          <w:noProof/>
          <w:kern w:val="2"/>
          <w:sz w:val="24"/>
          <w:szCs w:val="24"/>
          <w14:ligatures w14:val="standardContextual"/>
        </w:rPr>
      </w:pPr>
      <w:hyperlink w:anchor="_Toc205457974" w:history="1">
        <w:r w:rsidR="00B83ED2" w:rsidRPr="00D86900">
          <w:rPr>
            <w:rStyle w:val="Hyperlink"/>
          </w:rPr>
          <w:t>4.1</w:t>
        </w:r>
        <w:r w:rsidR="00B83ED2">
          <w:rPr>
            <w:rFonts w:asciiTheme="minorHAnsi" w:eastAsiaTheme="minorEastAsia" w:hAnsiTheme="minorHAnsi" w:cstheme="minorBidi"/>
            <w:noProof/>
            <w:kern w:val="2"/>
            <w:sz w:val="24"/>
            <w:szCs w:val="24"/>
            <w14:ligatures w14:val="standardContextual"/>
          </w:rPr>
          <w:tab/>
        </w:r>
        <w:r w:rsidR="00B83ED2" w:rsidRPr="00D86900">
          <w:rPr>
            <w:rStyle w:val="Hyperlink"/>
          </w:rPr>
          <w:t>Mapping to THE IFRS AU Taxonomy 2025</w:t>
        </w:r>
        <w:r w:rsidR="00B83ED2">
          <w:rPr>
            <w:noProof/>
            <w:webHidden/>
          </w:rPr>
          <w:tab/>
        </w:r>
        <w:r w:rsidR="00B83ED2">
          <w:rPr>
            <w:noProof/>
            <w:webHidden/>
          </w:rPr>
          <w:fldChar w:fldCharType="begin"/>
        </w:r>
        <w:r w:rsidR="00B83ED2">
          <w:rPr>
            <w:noProof/>
            <w:webHidden/>
          </w:rPr>
          <w:instrText xml:space="preserve"> PAGEREF _Toc205457974 \h </w:instrText>
        </w:r>
        <w:r w:rsidR="00B83ED2">
          <w:rPr>
            <w:noProof/>
            <w:webHidden/>
          </w:rPr>
        </w:r>
        <w:r w:rsidR="00B83ED2">
          <w:rPr>
            <w:noProof/>
            <w:webHidden/>
          </w:rPr>
          <w:fldChar w:fldCharType="separate"/>
        </w:r>
        <w:r w:rsidR="00B83ED2">
          <w:rPr>
            <w:noProof/>
            <w:webHidden/>
          </w:rPr>
          <w:t>25</w:t>
        </w:r>
        <w:r w:rsidR="00B83ED2">
          <w:rPr>
            <w:noProof/>
            <w:webHidden/>
          </w:rPr>
          <w:fldChar w:fldCharType="end"/>
        </w:r>
      </w:hyperlink>
    </w:p>
    <w:p w14:paraId="180F7386" w14:textId="10E31653" w:rsidR="00B83ED2" w:rsidRDefault="009274C1">
      <w:pPr>
        <w:pStyle w:val="TOC2"/>
        <w:rPr>
          <w:rFonts w:asciiTheme="minorHAnsi" w:eastAsiaTheme="minorEastAsia" w:hAnsiTheme="minorHAnsi" w:cstheme="minorBidi"/>
          <w:noProof/>
          <w:kern w:val="2"/>
          <w:sz w:val="24"/>
          <w:szCs w:val="24"/>
          <w14:ligatures w14:val="standardContextual"/>
        </w:rPr>
      </w:pPr>
      <w:hyperlink w:anchor="_Toc205457975" w:history="1">
        <w:r w:rsidR="00B83ED2" w:rsidRPr="00D86900">
          <w:rPr>
            <w:rStyle w:val="Hyperlink"/>
          </w:rPr>
          <w:t>4.2</w:t>
        </w:r>
        <w:r w:rsidR="00B83ED2">
          <w:rPr>
            <w:rFonts w:asciiTheme="minorHAnsi" w:eastAsiaTheme="minorEastAsia" w:hAnsiTheme="minorHAnsi" w:cstheme="minorBidi"/>
            <w:noProof/>
            <w:kern w:val="2"/>
            <w:sz w:val="24"/>
            <w:szCs w:val="24"/>
            <w14:ligatures w14:val="standardContextual"/>
          </w:rPr>
          <w:tab/>
        </w:r>
        <w:r w:rsidR="00B83ED2" w:rsidRPr="00D86900">
          <w:rPr>
            <w:rStyle w:val="Hyperlink"/>
          </w:rPr>
          <w:t>Context Specifications</w:t>
        </w:r>
        <w:r w:rsidR="00B83ED2">
          <w:rPr>
            <w:noProof/>
            <w:webHidden/>
          </w:rPr>
          <w:tab/>
        </w:r>
        <w:r w:rsidR="00B83ED2">
          <w:rPr>
            <w:noProof/>
            <w:webHidden/>
          </w:rPr>
          <w:fldChar w:fldCharType="begin"/>
        </w:r>
        <w:r w:rsidR="00B83ED2">
          <w:rPr>
            <w:noProof/>
            <w:webHidden/>
          </w:rPr>
          <w:instrText xml:space="preserve"> PAGEREF _Toc205457975 \h </w:instrText>
        </w:r>
        <w:r w:rsidR="00B83ED2">
          <w:rPr>
            <w:noProof/>
            <w:webHidden/>
          </w:rPr>
        </w:r>
        <w:r w:rsidR="00B83ED2">
          <w:rPr>
            <w:noProof/>
            <w:webHidden/>
          </w:rPr>
          <w:fldChar w:fldCharType="separate"/>
        </w:r>
        <w:r w:rsidR="00B83ED2">
          <w:rPr>
            <w:noProof/>
            <w:webHidden/>
          </w:rPr>
          <w:t>25</w:t>
        </w:r>
        <w:r w:rsidR="00B83ED2">
          <w:rPr>
            <w:noProof/>
            <w:webHidden/>
          </w:rPr>
          <w:fldChar w:fldCharType="end"/>
        </w:r>
      </w:hyperlink>
    </w:p>
    <w:p w14:paraId="23CF94ED" w14:textId="02B52725" w:rsidR="00B83ED2" w:rsidRDefault="009274C1">
      <w:pPr>
        <w:pStyle w:val="TOC2"/>
        <w:rPr>
          <w:rFonts w:asciiTheme="minorHAnsi" w:eastAsiaTheme="minorEastAsia" w:hAnsiTheme="minorHAnsi" w:cstheme="minorBidi"/>
          <w:noProof/>
          <w:kern w:val="2"/>
          <w:sz w:val="24"/>
          <w:szCs w:val="24"/>
          <w14:ligatures w14:val="standardContextual"/>
        </w:rPr>
      </w:pPr>
      <w:hyperlink w:anchor="_Toc205457976" w:history="1">
        <w:r w:rsidR="00B83ED2" w:rsidRPr="00D86900">
          <w:rPr>
            <w:rStyle w:val="Hyperlink"/>
          </w:rPr>
          <w:t>4.3</w:t>
        </w:r>
        <w:r w:rsidR="00B83ED2">
          <w:rPr>
            <w:rFonts w:asciiTheme="minorHAnsi" w:eastAsiaTheme="minorEastAsia" w:hAnsiTheme="minorHAnsi" w:cstheme="minorBidi"/>
            <w:noProof/>
            <w:kern w:val="2"/>
            <w:sz w:val="24"/>
            <w:szCs w:val="24"/>
            <w14:ligatures w14:val="standardContextual"/>
          </w:rPr>
          <w:tab/>
        </w:r>
        <w:r w:rsidR="00B83ED2" w:rsidRPr="00D86900">
          <w:rPr>
            <w:rStyle w:val="Hyperlink"/>
          </w:rPr>
          <w:t>tagging line items presented in primary financial statements</w:t>
        </w:r>
        <w:r w:rsidR="00B83ED2">
          <w:rPr>
            <w:noProof/>
            <w:webHidden/>
          </w:rPr>
          <w:tab/>
        </w:r>
        <w:r w:rsidR="00B83ED2">
          <w:rPr>
            <w:noProof/>
            <w:webHidden/>
          </w:rPr>
          <w:fldChar w:fldCharType="begin"/>
        </w:r>
        <w:r w:rsidR="00B83ED2">
          <w:rPr>
            <w:noProof/>
            <w:webHidden/>
          </w:rPr>
          <w:instrText xml:space="preserve"> PAGEREF _Toc205457976 \h </w:instrText>
        </w:r>
        <w:r w:rsidR="00B83ED2">
          <w:rPr>
            <w:noProof/>
            <w:webHidden/>
          </w:rPr>
        </w:r>
        <w:r w:rsidR="00B83ED2">
          <w:rPr>
            <w:noProof/>
            <w:webHidden/>
          </w:rPr>
          <w:fldChar w:fldCharType="separate"/>
        </w:r>
        <w:r w:rsidR="00B83ED2">
          <w:rPr>
            <w:noProof/>
            <w:webHidden/>
          </w:rPr>
          <w:t>26</w:t>
        </w:r>
        <w:r w:rsidR="00B83ED2">
          <w:rPr>
            <w:noProof/>
            <w:webHidden/>
          </w:rPr>
          <w:fldChar w:fldCharType="end"/>
        </w:r>
      </w:hyperlink>
    </w:p>
    <w:p w14:paraId="6D91193E" w14:textId="1EEE1852" w:rsidR="00B83ED2" w:rsidRDefault="009274C1">
      <w:pPr>
        <w:pStyle w:val="TOC2"/>
        <w:rPr>
          <w:rFonts w:asciiTheme="minorHAnsi" w:eastAsiaTheme="minorEastAsia" w:hAnsiTheme="minorHAnsi" w:cstheme="minorBidi"/>
          <w:noProof/>
          <w:kern w:val="2"/>
          <w:sz w:val="24"/>
          <w:szCs w:val="24"/>
          <w14:ligatures w14:val="standardContextual"/>
        </w:rPr>
      </w:pPr>
      <w:hyperlink w:anchor="_Toc205457977" w:history="1">
        <w:r w:rsidR="00B83ED2" w:rsidRPr="00D86900">
          <w:rPr>
            <w:rStyle w:val="Hyperlink"/>
          </w:rPr>
          <w:t>4.4</w:t>
        </w:r>
        <w:r w:rsidR="00B83ED2">
          <w:rPr>
            <w:rFonts w:asciiTheme="minorHAnsi" w:eastAsiaTheme="minorEastAsia" w:hAnsiTheme="minorHAnsi" w:cstheme="minorBidi"/>
            <w:noProof/>
            <w:kern w:val="2"/>
            <w:sz w:val="24"/>
            <w:szCs w:val="24"/>
            <w14:ligatures w14:val="standardContextual"/>
          </w:rPr>
          <w:tab/>
        </w:r>
        <w:r w:rsidR="00B83ED2" w:rsidRPr="00D86900">
          <w:rPr>
            <w:rStyle w:val="Hyperlink"/>
          </w:rPr>
          <w:t>Units and Decimals</w:t>
        </w:r>
        <w:r w:rsidR="00B83ED2">
          <w:rPr>
            <w:noProof/>
            <w:webHidden/>
          </w:rPr>
          <w:tab/>
        </w:r>
        <w:r w:rsidR="00B83ED2">
          <w:rPr>
            <w:noProof/>
            <w:webHidden/>
          </w:rPr>
          <w:fldChar w:fldCharType="begin"/>
        </w:r>
        <w:r w:rsidR="00B83ED2">
          <w:rPr>
            <w:noProof/>
            <w:webHidden/>
          </w:rPr>
          <w:instrText xml:space="preserve"> PAGEREF _Toc205457977 \h </w:instrText>
        </w:r>
        <w:r w:rsidR="00B83ED2">
          <w:rPr>
            <w:noProof/>
            <w:webHidden/>
          </w:rPr>
        </w:r>
        <w:r w:rsidR="00B83ED2">
          <w:rPr>
            <w:noProof/>
            <w:webHidden/>
          </w:rPr>
          <w:fldChar w:fldCharType="separate"/>
        </w:r>
        <w:r w:rsidR="00B83ED2">
          <w:rPr>
            <w:noProof/>
            <w:webHidden/>
          </w:rPr>
          <w:t>28</w:t>
        </w:r>
        <w:r w:rsidR="00B83ED2">
          <w:rPr>
            <w:noProof/>
            <w:webHidden/>
          </w:rPr>
          <w:fldChar w:fldCharType="end"/>
        </w:r>
      </w:hyperlink>
    </w:p>
    <w:p w14:paraId="728254DC" w14:textId="2480DF6D" w:rsidR="00B83ED2" w:rsidRDefault="009274C1">
      <w:pPr>
        <w:pStyle w:val="TOC3"/>
        <w:rPr>
          <w:rFonts w:asciiTheme="minorHAnsi" w:eastAsiaTheme="minorEastAsia" w:hAnsiTheme="minorHAnsi" w:cstheme="minorBidi"/>
          <w:kern w:val="2"/>
          <w:sz w:val="24"/>
          <w:szCs w:val="24"/>
          <w14:ligatures w14:val="standardContextual"/>
        </w:rPr>
      </w:pPr>
      <w:hyperlink w:anchor="_Toc205457978" w:history="1">
        <w:r w:rsidR="00B83ED2" w:rsidRPr="00D86900">
          <w:rPr>
            <w:rStyle w:val="Hyperlink"/>
          </w:rPr>
          <w:t>4.4.1</w:t>
        </w:r>
        <w:r w:rsidR="00B83ED2">
          <w:rPr>
            <w:rFonts w:asciiTheme="minorHAnsi" w:eastAsiaTheme="minorEastAsia" w:hAnsiTheme="minorHAnsi" w:cstheme="minorBidi"/>
            <w:kern w:val="2"/>
            <w:sz w:val="24"/>
            <w:szCs w:val="24"/>
            <w14:ligatures w14:val="standardContextual"/>
          </w:rPr>
          <w:tab/>
        </w:r>
        <w:r w:rsidR="00B83ED2" w:rsidRPr="00D86900">
          <w:rPr>
            <w:rStyle w:val="Hyperlink"/>
          </w:rPr>
          <w:t>Monetary Amounts and date type</w:t>
        </w:r>
        <w:r w:rsidR="00B83ED2">
          <w:rPr>
            <w:webHidden/>
          </w:rPr>
          <w:tab/>
        </w:r>
        <w:r w:rsidR="00B83ED2">
          <w:rPr>
            <w:webHidden/>
          </w:rPr>
          <w:fldChar w:fldCharType="begin"/>
        </w:r>
        <w:r w:rsidR="00B83ED2">
          <w:rPr>
            <w:webHidden/>
          </w:rPr>
          <w:instrText xml:space="preserve"> PAGEREF _Toc205457978 \h </w:instrText>
        </w:r>
        <w:r w:rsidR="00B83ED2">
          <w:rPr>
            <w:webHidden/>
          </w:rPr>
        </w:r>
        <w:r w:rsidR="00B83ED2">
          <w:rPr>
            <w:webHidden/>
          </w:rPr>
          <w:fldChar w:fldCharType="separate"/>
        </w:r>
        <w:r w:rsidR="00B83ED2">
          <w:rPr>
            <w:webHidden/>
          </w:rPr>
          <w:t>28</w:t>
        </w:r>
        <w:r w:rsidR="00B83ED2">
          <w:rPr>
            <w:webHidden/>
          </w:rPr>
          <w:fldChar w:fldCharType="end"/>
        </w:r>
      </w:hyperlink>
    </w:p>
    <w:p w14:paraId="0CFE6726" w14:textId="737BFE4B" w:rsidR="00B83ED2" w:rsidRDefault="009274C1">
      <w:pPr>
        <w:pStyle w:val="TOC3"/>
        <w:rPr>
          <w:rFonts w:asciiTheme="minorHAnsi" w:eastAsiaTheme="minorEastAsia" w:hAnsiTheme="minorHAnsi" w:cstheme="minorBidi"/>
          <w:kern w:val="2"/>
          <w:sz w:val="24"/>
          <w:szCs w:val="24"/>
          <w14:ligatures w14:val="standardContextual"/>
        </w:rPr>
      </w:pPr>
      <w:hyperlink w:anchor="_Toc205457979" w:history="1">
        <w:r w:rsidR="00B83ED2" w:rsidRPr="00D86900">
          <w:rPr>
            <w:rStyle w:val="Hyperlink"/>
          </w:rPr>
          <w:t>4.4.2</w:t>
        </w:r>
        <w:r w:rsidR="00B83ED2">
          <w:rPr>
            <w:rFonts w:asciiTheme="minorHAnsi" w:eastAsiaTheme="minorEastAsia" w:hAnsiTheme="minorHAnsi" w:cstheme="minorBidi"/>
            <w:kern w:val="2"/>
            <w:sz w:val="24"/>
            <w:szCs w:val="24"/>
            <w14:ligatures w14:val="standardContextual"/>
          </w:rPr>
          <w:tab/>
        </w:r>
        <w:r w:rsidR="00B83ED2" w:rsidRPr="00D86900">
          <w:rPr>
            <w:rStyle w:val="Hyperlink"/>
          </w:rPr>
          <w:t>Share Counts</w:t>
        </w:r>
        <w:r w:rsidR="00B83ED2">
          <w:rPr>
            <w:webHidden/>
          </w:rPr>
          <w:tab/>
        </w:r>
        <w:r w:rsidR="00B83ED2">
          <w:rPr>
            <w:webHidden/>
          </w:rPr>
          <w:fldChar w:fldCharType="begin"/>
        </w:r>
        <w:r w:rsidR="00B83ED2">
          <w:rPr>
            <w:webHidden/>
          </w:rPr>
          <w:instrText xml:space="preserve"> PAGEREF _Toc205457979 \h </w:instrText>
        </w:r>
        <w:r w:rsidR="00B83ED2">
          <w:rPr>
            <w:webHidden/>
          </w:rPr>
        </w:r>
        <w:r w:rsidR="00B83ED2">
          <w:rPr>
            <w:webHidden/>
          </w:rPr>
          <w:fldChar w:fldCharType="separate"/>
        </w:r>
        <w:r w:rsidR="00B83ED2">
          <w:rPr>
            <w:webHidden/>
          </w:rPr>
          <w:t>29</w:t>
        </w:r>
        <w:r w:rsidR="00B83ED2">
          <w:rPr>
            <w:webHidden/>
          </w:rPr>
          <w:fldChar w:fldCharType="end"/>
        </w:r>
      </w:hyperlink>
    </w:p>
    <w:p w14:paraId="16C7CD96" w14:textId="45871CC4" w:rsidR="00B83ED2" w:rsidRDefault="009274C1">
      <w:pPr>
        <w:pStyle w:val="TOC3"/>
        <w:rPr>
          <w:rFonts w:asciiTheme="minorHAnsi" w:eastAsiaTheme="minorEastAsia" w:hAnsiTheme="minorHAnsi" w:cstheme="minorBidi"/>
          <w:kern w:val="2"/>
          <w:sz w:val="24"/>
          <w:szCs w:val="24"/>
          <w14:ligatures w14:val="standardContextual"/>
        </w:rPr>
      </w:pPr>
      <w:hyperlink w:anchor="_Toc205457980" w:history="1">
        <w:r w:rsidR="00B83ED2" w:rsidRPr="00D86900">
          <w:rPr>
            <w:rStyle w:val="Hyperlink"/>
          </w:rPr>
          <w:t>4.4.3</w:t>
        </w:r>
        <w:r w:rsidR="00B83ED2">
          <w:rPr>
            <w:rFonts w:asciiTheme="minorHAnsi" w:eastAsiaTheme="minorEastAsia" w:hAnsiTheme="minorHAnsi" w:cstheme="minorBidi"/>
            <w:kern w:val="2"/>
            <w:sz w:val="24"/>
            <w:szCs w:val="24"/>
            <w14:ligatures w14:val="standardContextual"/>
          </w:rPr>
          <w:tab/>
        </w:r>
        <w:r w:rsidR="00B83ED2" w:rsidRPr="00D86900">
          <w:rPr>
            <w:rStyle w:val="Hyperlink"/>
          </w:rPr>
          <w:t>Earnings Per Share</w:t>
        </w:r>
        <w:r w:rsidR="00B83ED2">
          <w:rPr>
            <w:webHidden/>
          </w:rPr>
          <w:tab/>
        </w:r>
        <w:r w:rsidR="00B83ED2">
          <w:rPr>
            <w:webHidden/>
          </w:rPr>
          <w:fldChar w:fldCharType="begin"/>
        </w:r>
        <w:r w:rsidR="00B83ED2">
          <w:rPr>
            <w:webHidden/>
          </w:rPr>
          <w:instrText xml:space="preserve"> PAGEREF _Toc205457980 \h </w:instrText>
        </w:r>
        <w:r w:rsidR="00B83ED2">
          <w:rPr>
            <w:webHidden/>
          </w:rPr>
        </w:r>
        <w:r w:rsidR="00B83ED2">
          <w:rPr>
            <w:webHidden/>
          </w:rPr>
          <w:fldChar w:fldCharType="separate"/>
        </w:r>
        <w:r w:rsidR="00B83ED2">
          <w:rPr>
            <w:webHidden/>
          </w:rPr>
          <w:t>29</w:t>
        </w:r>
        <w:r w:rsidR="00B83ED2">
          <w:rPr>
            <w:webHidden/>
          </w:rPr>
          <w:fldChar w:fldCharType="end"/>
        </w:r>
      </w:hyperlink>
    </w:p>
    <w:p w14:paraId="0A26B07D" w14:textId="7709BAC5" w:rsidR="00B83ED2" w:rsidRDefault="009274C1">
      <w:pPr>
        <w:pStyle w:val="TOC3"/>
        <w:rPr>
          <w:rFonts w:asciiTheme="minorHAnsi" w:eastAsiaTheme="minorEastAsia" w:hAnsiTheme="minorHAnsi" w:cstheme="minorBidi"/>
          <w:kern w:val="2"/>
          <w:sz w:val="24"/>
          <w:szCs w:val="24"/>
          <w14:ligatures w14:val="standardContextual"/>
        </w:rPr>
      </w:pPr>
      <w:hyperlink w:anchor="_Toc205457981" w:history="1">
        <w:r w:rsidR="00B83ED2" w:rsidRPr="00D86900">
          <w:rPr>
            <w:rStyle w:val="Hyperlink"/>
          </w:rPr>
          <w:t>4.4.4</w:t>
        </w:r>
        <w:r w:rsidR="00B83ED2">
          <w:rPr>
            <w:rFonts w:asciiTheme="minorHAnsi" w:eastAsiaTheme="minorEastAsia" w:hAnsiTheme="minorHAnsi" w:cstheme="minorBidi"/>
            <w:kern w:val="2"/>
            <w:sz w:val="24"/>
            <w:szCs w:val="24"/>
            <w14:ligatures w14:val="standardContextual"/>
          </w:rPr>
          <w:tab/>
        </w:r>
        <w:r w:rsidR="00B83ED2" w:rsidRPr="00D86900">
          <w:rPr>
            <w:rStyle w:val="Hyperlink"/>
          </w:rPr>
          <w:t>Calculation’s warning errors</w:t>
        </w:r>
        <w:r w:rsidR="00B83ED2">
          <w:rPr>
            <w:webHidden/>
          </w:rPr>
          <w:tab/>
        </w:r>
        <w:r w:rsidR="00B83ED2">
          <w:rPr>
            <w:webHidden/>
          </w:rPr>
          <w:fldChar w:fldCharType="begin"/>
        </w:r>
        <w:r w:rsidR="00B83ED2">
          <w:rPr>
            <w:webHidden/>
          </w:rPr>
          <w:instrText xml:space="preserve"> PAGEREF _Toc205457981 \h </w:instrText>
        </w:r>
        <w:r w:rsidR="00B83ED2">
          <w:rPr>
            <w:webHidden/>
          </w:rPr>
        </w:r>
        <w:r w:rsidR="00B83ED2">
          <w:rPr>
            <w:webHidden/>
          </w:rPr>
          <w:fldChar w:fldCharType="separate"/>
        </w:r>
        <w:r w:rsidR="00B83ED2">
          <w:rPr>
            <w:webHidden/>
          </w:rPr>
          <w:t>30</w:t>
        </w:r>
        <w:r w:rsidR="00B83ED2">
          <w:rPr>
            <w:webHidden/>
          </w:rPr>
          <w:fldChar w:fldCharType="end"/>
        </w:r>
      </w:hyperlink>
    </w:p>
    <w:p w14:paraId="094D5958" w14:textId="347DB03F" w:rsidR="00B83ED2" w:rsidRDefault="009274C1">
      <w:pPr>
        <w:pStyle w:val="TOC1"/>
        <w:rPr>
          <w:rFonts w:asciiTheme="minorHAnsi" w:eastAsiaTheme="minorEastAsia" w:hAnsiTheme="minorHAnsi" w:cstheme="minorBidi"/>
          <w:noProof/>
          <w:kern w:val="2"/>
          <w:sz w:val="24"/>
          <w:szCs w:val="24"/>
          <w14:ligatures w14:val="standardContextual"/>
        </w:rPr>
      </w:pPr>
      <w:hyperlink w:anchor="_Toc205457982" w:history="1">
        <w:r w:rsidR="00B83ED2" w:rsidRPr="00D86900">
          <w:rPr>
            <w:rStyle w:val="Hyperlink"/>
            <w:lang w:val="en-US"/>
          </w:rPr>
          <w:t>Appendix A – IFRS AU Taxonomy 2025 Illustration</w:t>
        </w:r>
        <w:r w:rsidR="00B83ED2">
          <w:rPr>
            <w:noProof/>
            <w:webHidden/>
          </w:rPr>
          <w:tab/>
        </w:r>
        <w:r w:rsidR="00B83ED2">
          <w:rPr>
            <w:noProof/>
            <w:webHidden/>
          </w:rPr>
          <w:fldChar w:fldCharType="begin"/>
        </w:r>
        <w:r w:rsidR="00B83ED2">
          <w:rPr>
            <w:noProof/>
            <w:webHidden/>
          </w:rPr>
          <w:instrText xml:space="preserve"> PAGEREF _Toc205457982 \h </w:instrText>
        </w:r>
        <w:r w:rsidR="00B83ED2">
          <w:rPr>
            <w:noProof/>
            <w:webHidden/>
          </w:rPr>
        </w:r>
        <w:r w:rsidR="00B83ED2">
          <w:rPr>
            <w:noProof/>
            <w:webHidden/>
          </w:rPr>
          <w:fldChar w:fldCharType="separate"/>
        </w:r>
        <w:r w:rsidR="00B83ED2">
          <w:rPr>
            <w:noProof/>
            <w:webHidden/>
          </w:rPr>
          <w:t>31</w:t>
        </w:r>
        <w:r w:rsidR="00B83ED2">
          <w:rPr>
            <w:noProof/>
            <w:webHidden/>
          </w:rPr>
          <w:fldChar w:fldCharType="end"/>
        </w:r>
      </w:hyperlink>
    </w:p>
    <w:p w14:paraId="6FA3FFAE" w14:textId="776945B4" w:rsidR="00BA43CC" w:rsidRDefault="0057724D" w:rsidP="008F46ED">
      <w:pPr>
        <w:pStyle w:val="StyleMaintext"/>
        <w:spacing w:line="276" w:lineRule="auto"/>
      </w:pPr>
      <w:r>
        <w:fldChar w:fldCharType="end"/>
      </w:r>
    </w:p>
    <w:p w14:paraId="5F970083" w14:textId="77777777" w:rsidR="00BA43CC" w:rsidRPr="00542C3D" w:rsidRDefault="00BA43CC" w:rsidP="00BA43CC">
      <w:pPr>
        <w:rPr>
          <w:rFonts w:cs="Arial"/>
        </w:rPr>
      </w:pPr>
    </w:p>
    <w:p w14:paraId="3EFB96B4" w14:textId="77777777" w:rsidR="00BA43CC" w:rsidRPr="00542C3D" w:rsidRDefault="00BA43CC" w:rsidP="00B94070">
      <w:pPr>
        <w:pStyle w:val="Head1"/>
        <w:tabs>
          <w:tab w:val="clear" w:pos="1928"/>
          <w:tab w:val="num" w:pos="709"/>
        </w:tabs>
        <w:ind w:hanging="1850"/>
      </w:pPr>
      <w:bookmarkStart w:id="2" w:name="_Toc205457941"/>
      <w:r w:rsidRPr="00542C3D">
        <w:t>Introduction</w:t>
      </w:r>
      <w:bookmarkEnd w:id="2"/>
    </w:p>
    <w:p w14:paraId="54D14D8F" w14:textId="77777777" w:rsidR="00BA43CC" w:rsidRPr="00542C3D" w:rsidRDefault="00BA43CC" w:rsidP="00D27EB9">
      <w:pPr>
        <w:pStyle w:val="Head2"/>
        <w:tabs>
          <w:tab w:val="num" w:pos="709"/>
        </w:tabs>
        <w:ind w:left="709" w:hanging="709"/>
      </w:pPr>
      <w:bookmarkStart w:id="3" w:name="_Toc203783465"/>
      <w:bookmarkStart w:id="4" w:name="_Toc205457942"/>
      <w:r w:rsidRPr="00542C3D">
        <w:t>Purpose</w:t>
      </w:r>
      <w:bookmarkEnd w:id="3"/>
      <w:bookmarkEnd w:id="4"/>
    </w:p>
    <w:p w14:paraId="7C993C70" w14:textId="28C165F2" w:rsidR="00A60471" w:rsidRDefault="00A60471" w:rsidP="00A60471">
      <w:pPr>
        <w:spacing w:before="120" w:after="120"/>
        <w:rPr>
          <w:rFonts w:cs="Arial"/>
        </w:rPr>
      </w:pPr>
      <w:r w:rsidRPr="00E07903">
        <w:rPr>
          <w:rFonts w:cs="Arial"/>
          <w:sz w:val="20"/>
          <w:szCs w:val="20"/>
        </w:rPr>
        <w:t xml:space="preserve">The purpose of this document is to support </w:t>
      </w:r>
      <w:r w:rsidR="008D2FCF">
        <w:rPr>
          <w:rFonts w:cs="Arial"/>
          <w:sz w:val="20"/>
          <w:szCs w:val="20"/>
        </w:rPr>
        <w:t xml:space="preserve">preparers </w:t>
      </w:r>
      <w:r w:rsidR="004D0BDB" w:rsidRPr="00E07903">
        <w:rPr>
          <w:rFonts w:cs="Arial"/>
          <w:sz w:val="20"/>
          <w:szCs w:val="20"/>
        </w:rPr>
        <w:t>with</w:t>
      </w:r>
      <w:r w:rsidRPr="00E07903">
        <w:rPr>
          <w:rFonts w:cs="Arial"/>
          <w:sz w:val="20"/>
          <w:szCs w:val="20"/>
        </w:rPr>
        <w:t xml:space="preserve"> the implementation of the </w:t>
      </w:r>
      <w:r w:rsidR="00C06785">
        <w:rPr>
          <w:rFonts w:cs="Arial"/>
          <w:sz w:val="20"/>
          <w:szCs w:val="20"/>
        </w:rPr>
        <w:t>SBR financial reporting</w:t>
      </w:r>
      <w:r w:rsidR="00C06785" w:rsidRPr="00E07903">
        <w:rPr>
          <w:rFonts w:cs="Arial"/>
          <w:sz w:val="20"/>
          <w:szCs w:val="20"/>
        </w:rPr>
        <w:t xml:space="preserve"> </w:t>
      </w:r>
      <w:r w:rsidR="00E9664A">
        <w:rPr>
          <w:rFonts w:cs="Arial"/>
          <w:sz w:val="20"/>
          <w:szCs w:val="20"/>
        </w:rPr>
        <w:t xml:space="preserve">taxonomy used for creating </w:t>
      </w:r>
      <w:r w:rsidR="008F0067">
        <w:rPr>
          <w:rFonts w:cs="Arial"/>
          <w:sz w:val="20"/>
          <w:szCs w:val="20"/>
        </w:rPr>
        <w:t>digital</w:t>
      </w:r>
      <w:r w:rsidR="00E9664A">
        <w:rPr>
          <w:rFonts w:cs="Arial"/>
          <w:sz w:val="20"/>
          <w:szCs w:val="20"/>
        </w:rPr>
        <w:t xml:space="preserve"> f</w:t>
      </w:r>
      <w:r w:rsidR="00C562E2" w:rsidRPr="00E07903">
        <w:rPr>
          <w:rFonts w:cs="Arial"/>
          <w:sz w:val="20"/>
          <w:szCs w:val="20"/>
        </w:rPr>
        <w:t xml:space="preserve">inancial </w:t>
      </w:r>
      <w:r w:rsidR="00E9664A">
        <w:rPr>
          <w:rFonts w:cs="Arial"/>
          <w:sz w:val="20"/>
          <w:szCs w:val="20"/>
        </w:rPr>
        <w:t>r</w:t>
      </w:r>
      <w:r w:rsidR="00C562E2" w:rsidRPr="00E07903">
        <w:rPr>
          <w:rFonts w:cs="Arial"/>
          <w:sz w:val="20"/>
          <w:szCs w:val="20"/>
        </w:rPr>
        <w:t>eports</w:t>
      </w:r>
      <w:r w:rsidR="00BA7C82">
        <w:rPr>
          <w:rFonts w:cs="Arial"/>
          <w:sz w:val="20"/>
          <w:szCs w:val="20"/>
        </w:rPr>
        <w:t xml:space="preserve"> </w:t>
      </w:r>
      <w:r w:rsidR="008F0067">
        <w:rPr>
          <w:rFonts w:cs="Arial"/>
          <w:sz w:val="20"/>
          <w:szCs w:val="20"/>
        </w:rPr>
        <w:t xml:space="preserve">in XBRL or inline XBRL format </w:t>
      </w:r>
      <w:r w:rsidR="00BA7C82">
        <w:rPr>
          <w:rFonts w:cs="Arial"/>
          <w:sz w:val="20"/>
          <w:szCs w:val="20"/>
        </w:rPr>
        <w:t>(</w:t>
      </w:r>
      <w:r w:rsidR="008F0067">
        <w:rPr>
          <w:rFonts w:cs="Arial"/>
          <w:sz w:val="20"/>
          <w:szCs w:val="20"/>
        </w:rPr>
        <w:t>collectively referred to as “</w:t>
      </w:r>
      <w:r w:rsidR="00BA7C82">
        <w:rPr>
          <w:rFonts w:cs="Arial"/>
          <w:sz w:val="20"/>
          <w:szCs w:val="20"/>
        </w:rPr>
        <w:t>instance documents</w:t>
      </w:r>
      <w:r w:rsidR="008F0067">
        <w:rPr>
          <w:rFonts w:cs="Arial"/>
          <w:sz w:val="20"/>
          <w:szCs w:val="20"/>
        </w:rPr>
        <w:t>”</w:t>
      </w:r>
      <w:r w:rsidR="00BA7C82">
        <w:rPr>
          <w:rFonts w:cs="Arial"/>
          <w:sz w:val="20"/>
          <w:szCs w:val="20"/>
        </w:rPr>
        <w:t>)</w:t>
      </w:r>
      <w:r w:rsidR="00F57E00">
        <w:rPr>
          <w:rFonts w:cs="Arial"/>
          <w:sz w:val="20"/>
          <w:szCs w:val="20"/>
        </w:rPr>
        <w:t>.</w:t>
      </w:r>
      <w:r w:rsidR="003E1C4C">
        <w:rPr>
          <w:rFonts w:cs="Arial"/>
          <w:sz w:val="20"/>
          <w:szCs w:val="20"/>
        </w:rPr>
        <w:t xml:space="preserve"> </w:t>
      </w:r>
    </w:p>
    <w:p w14:paraId="1DB09E8F" w14:textId="77777777" w:rsidR="00BA43CC" w:rsidRPr="00542C3D" w:rsidRDefault="00BA43CC" w:rsidP="00D27EB9">
      <w:pPr>
        <w:pStyle w:val="Head2"/>
        <w:tabs>
          <w:tab w:val="num" w:pos="709"/>
        </w:tabs>
        <w:ind w:left="709" w:hanging="709"/>
      </w:pPr>
      <w:bookmarkStart w:id="5" w:name="_Toc231632936"/>
      <w:bookmarkStart w:id="6" w:name="_Toc231632938"/>
      <w:bookmarkStart w:id="7" w:name="_Toc205457943"/>
      <w:bookmarkStart w:id="8" w:name="_Toc226473065"/>
      <w:bookmarkEnd w:id="5"/>
      <w:bookmarkEnd w:id="6"/>
      <w:r w:rsidRPr="00542C3D">
        <w:t>Audience and Scope</w:t>
      </w:r>
      <w:bookmarkEnd w:id="7"/>
    </w:p>
    <w:p w14:paraId="1EFD23CA" w14:textId="489E446B" w:rsidR="00B34CA4" w:rsidRPr="00E07903" w:rsidRDefault="00B34CA4" w:rsidP="00B34CA4">
      <w:pPr>
        <w:spacing w:before="120" w:after="120"/>
        <w:rPr>
          <w:rFonts w:cs="Arial"/>
          <w:sz w:val="20"/>
          <w:szCs w:val="20"/>
        </w:rPr>
      </w:pPr>
      <w:r w:rsidRPr="00E07903">
        <w:rPr>
          <w:rFonts w:cs="Arial"/>
          <w:sz w:val="20"/>
          <w:szCs w:val="20"/>
        </w:rPr>
        <w:t xml:space="preserve">This document is designed to explain </w:t>
      </w:r>
      <w:r w:rsidR="00877853">
        <w:rPr>
          <w:rFonts w:cs="Arial"/>
          <w:sz w:val="20"/>
          <w:szCs w:val="20"/>
        </w:rPr>
        <w:t xml:space="preserve">the Australian jurisdictional extension to the </w:t>
      </w:r>
      <w:r w:rsidRPr="00E07903">
        <w:rPr>
          <w:rFonts w:cs="Arial"/>
          <w:sz w:val="20"/>
          <w:szCs w:val="20"/>
        </w:rPr>
        <w:t>I</w:t>
      </w:r>
      <w:r w:rsidR="00877853">
        <w:rPr>
          <w:rFonts w:cs="Arial"/>
          <w:sz w:val="20"/>
          <w:szCs w:val="20"/>
        </w:rPr>
        <w:t xml:space="preserve">nternational </w:t>
      </w:r>
      <w:r w:rsidRPr="00E07903">
        <w:rPr>
          <w:rFonts w:cs="Arial"/>
          <w:sz w:val="20"/>
          <w:szCs w:val="20"/>
        </w:rPr>
        <w:t>F</w:t>
      </w:r>
      <w:r w:rsidR="00877853">
        <w:rPr>
          <w:rFonts w:cs="Arial"/>
          <w:sz w:val="20"/>
          <w:szCs w:val="20"/>
        </w:rPr>
        <w:t xml:space="preserve">inancial </w:t>
      </w:r>
      <w:r w:rsidRPr="00E07903">
        <w:rPr>
          <w:rFonts w:cs="Arial"/>
          <w:sz w:val="20"/>
          <w:szCs w:val="20"/>
        </w:rPr>
        <w:t>R</w:t>
      </w:r>
      <w:r w:rsidR="00877853">
        <w:rPr>
          <w:rFonts w:cs="Arial"/>
          <w:sz w:val="20"/>
          <w:szCs w:val="20"/>
        </w:rPr>
        <w:t xml:space="preserve">eporting </w:t>
      </w:r>
      <w:r w:rsidRPr="00E07903">
        <w:rPr>
          <w:rFonts w:cs="Arial"/>
          <w:sz w:val="20"/>
          <w:szCs w:val="20"/>
        </w:rPr>
        <w:t>S</w:t>
      </w:r>
      <w:r w:rsidR="00877853">
        <w:rPr>
          <w:rFonts w:cs="Arial"/>
          <w:sz w:val="20"/>
          <w:szCs w:val="20"/>
        </w:rPr>
        <w:t>tandards (IFRS)</w:t>
      </w:r>
      <w:r w:rsidRPr="00E07903">
        <w:rPr>
          <w:rFonts w:cs="Arial"/>
          <w:sz w:val="20"/>
          <w:szCs w:val="20"/>
        </w:rPr>
        <w:t xml:space="preserve"> Taxonomy</w:t>
      </w:r>
      <w:r w:rsidR="00694109" w:rsidRPr="00E07903">
        <w:rPr>
          <w:rFonts w:cs="Arial"/>
          <w:sz w:val="20"/>
          <w:szCs w:val="20"/>
        </w:rPr>
        <w:t xml:space="preserve"> </w:t>
      </w:r>
      <w:r w:rsidR="00877853">
        <w:rPr>
          <w:rFonts w:cs="Arial"/>
          <w:sz w:val="20"/>
          <w:szCs w:val="20"/>
        </w:rPr>
        <w:t>(</w:t>
      </w:r>
      <w:r w:rsidR="00F57E00">
        <w:rPr>
          <w:rFonts w:cs="Arial"/>
          <w:sz w:val="20"/>
          <w:szCs w:val="20"/>
        </w:rPr>
        <w:t xml:space="preserve">referred to as "the </w:t>
      </w:r>
      <w:r w:rsidR="00877853">
        <w:rPr>
          <w:rFonts w:cs="Arial"/>
          <w:sz w:val="20"/>
          <w:szCs w:val="20"/>
        </w:rPr>
        <w:t>IFRS AU Taxonomy</w:t>
      </w:r>
      <w:r w:rsidR="00F57E00">
        <w:rPr>
          <w:rFonts w:cs="Arial"/>
          <w:sz w:val="20"/>
          <w:szCs w:val="20"/>
        </w:rPr>
        <w:t>" or "the Taxonomy")</w:t>
      </w:r>
      <w:r w:rsidR="00877853">
        <w:rPr>
          <w:rFonts w:cs="Arial"/>
          <w:sz w:val="20"/>
          <w:szCs w:val="20"/>
        </w:rPr>
        <w:t xml:space="preserve"> </w:t>
      </w:r>
      <w:r w:rsidRPr="00E07903">
        <w:rPr>
          <w:rFonts w:cs="Arial"/>
          <w:sz w:val="20"/>
          <w:szCs w:val="20"/>
        </w:rPr>
        <w:t xml:space="preserve">to an extent that will allow </w:t>
      </w:r>
      <w:r w:rsidR="00DB5572">
        <w:rPr>
          <w:rFonts w:cs="Arial"/>
          <w:sz w:val="20"/>
          <w:szCs w:val="20"/>
        </w:rPr>
        <w:t>preparers</w:t>
      </w:r>
      <w:r w:rsidRPr="00E07903">
        <w:rPr>
          <w:rFonts w:cs="Arial"/>
          <w:sz w:val="20"/>
          <w:szCs w:val="20"/>
        </w:rPr>
        <w:t xml:space="preserve"> to understand </w:t>
      </w:r>
      <w:r w:rsidRPr="00E07903">
        <w:rPr>
          <w:sz w:val="20"/>
          <w:szCs w:val="20"/>
        </w:rPr>
        <w:t>the mapping</w:t>
      </w:r>
      <w:r w:rsidR="001808F0">
        <w:rPr>
          <w:sz w:val="20"/>
          <w:szCs w:val="20"/>
        </w:rPr>
        <w:t xml:space="preserve"> and </w:t>
      </w:r>
      <w:r w:rsidRPr="00E07903">
        <w:rPr>
          <w:sz w:val="20"/>
          <w:szCs w:val="20"/>
        </w:rPr>
        <w:t xml:space="preserve">tagging requirements involved in implementing the </w:t>
      </w:r>
      <w:r w:rsidR="003B155C">
        <w:rPr>
          <w:sz w:val="20"/>
          <w:szCs w:val="20"/>
        </w:rPr>
        <w:t>T</w:t>
      </w:r>
      <w:r w:rsidRPr="00E07903">
        <w:rPr>
          <w:sz w:val="20"/>
          <w:szCs w:val="20"/>
        </w:rPr>
        <w:t xml:space="preserve">axonomy for </w:t>
      </w:r>
      <w:r w:rsidR="00770C06">
        <w:rPr>
          <w:sz w:val="20"/>
          <w:szCs w:val="20"/>
        </w:rPr>
        <w:t xml:space="preserve">production of </w:t>
      </w:r>
      <w:r w:rsidRPr="00E07903">
        <w:rPr>
          <w:rFonts w:cs="Arial"/>
          <w:sz w:val="20"/>
          <w:szCs w:val="20"/>
        </w:rPr>
        <w:t xml:space="preserve">valid </w:t>
      </w:r>
      <w:r w:rsidR="00BA7C82">
        <w:rPr>
          <w:rFonts w:cs="Arial"/>
          <w:sz w:val="20"/>
          <w:szCs w:val="20"/>
        </w:rPr>
        <w:t>instance documents</w:t>
      </w:r>
      <w:r w:rsidRPr="00E07903">
        <w:rPr>
          <w:rFonts w:cs="Arial"/>
          <w:sz w:val="20"/>
          <w:szCs w:val="20"/>
        </w:rPr>
        <w:t>.</w:t>
      </w:r>
      <w:r w:rsidR="00DB5572">
        <w:rPr>
          <w:rFonts w:cs="Arial"/>
          <w:sz w:val="20"/>
          <w:szCs w:val="20"/>
        </w:rPr>
        <w:t xml:space="preserve"> Companies can </w:t>
      </w:r>
      <w:r w:rsidR="008D2FCF">
        <w:rPr>
          <w:rFonts w:cs="Arial"/>
          <w:sz w:val="20"/>
          <w:szCs w:val="20"/>
        </w:rPr>
        <w:t>voluntarily lodge instance documents</w:t>
      </w:r>
      <w:r w:rsidR="00DF214B">
        <w:rPr>
          <w:rFonts w:cs="Arial"/>
          <w:sz w:val="20"/>
          <w:szCs w:val="20"/>
        </w:rPr>
        <w:t xml:space="preserve"> </w:t>
      </w:r>
      <w:r w:rsidR="008F751C">
        <w:rPr>
          <w:rFonts w:cs="Arial"/>
          <w:sz w:val="20"/>
          <w:szCs w:val="20"/>
        </w:rPr>
        <w:t xml:space="preserve">(i.e. digital financial reports) </w:t>
      </w:r>
      <w:r w:rsidR="00DF214B">
        <w:rPr>
          <w:rFonts w:cs="Arial"/>
          <w:sz w:val="20"/>
          <w:szCs w:val="20"/>
        </w:rPr>
        <w:t>with ASIC.</w:t>
      </w:r>
      <w:r w:rsidRPr="00E07903">
        <w:rPr>
          <w:rFonts w:cs="Arial"/>
          <w:sz w:val="20"/>
          <w:szCs w:val="20"/>
        </w:rPr>
        <w:t xml:space="preserve"> </w:t>
      </w:r>
    </w:p>
    <w:p w14:paraId="7052AE35" w14:textId="2B0DB602" w:rsidR="003E1C4C" w:rsidRDefault="00B34CA4" w:rsidP="00B34CA4">
      <w:pPr>
        <w:spacing w:before="120" w:after="120"/>
        <w:rPr>
          <w:rFonts w:cs="Arial"/>
          <w:sz w:val="20"/>
          <w:szCs w:val="20"/>
        </w:rPr>
      </w:pPr>
      <w:r w:rsidRPr="00E07903">
        <w:rPr>
          <w:rFonts w:cs="Arial"/>
          <w:sz w:val="20"/>
          <w:szCs w:val="20"/>
        </w:rPr>
        <w:t>It is assumed that the readers are familiar with XBRL</w:t>
      </w:r>
      <w:r w:rsidR="00694109" w:rsidRPr="00E07903">
        <w:rPr>
          <w:rFonts w:cs="Arial"/>
          <w:sz w:val="20"/>
          <w:szCs w:val="20"/>
        </w:rPr>
        <w:t xml:space="preserve"> terminology and concepts</w:t>
      </w:r>
      <w:r w:rsidRPr="00E07903">
        <w:rPr>
          <w:rFonts w:cs="Arial"/>
          <w:sz w:val="20"/>
          <w:szCs w:val="20"/>
        </w:rPr>
        <w:t xml:space="preserve"> and therefore this guide is not designed to be a XBRL </w:t>
      </w:r>
      <w:r w:rsidR="00694109" w:rsidRPr="00E07903">
        <w:rPr>
          <w:rFonts w:cs="Arial"/>
          <w:sz w:val="20"/>
          <w:szCs w:val="20"/>
        </w:rPr>
        <w:t>technical guide or to address any specific software product issues.</w:t>
      </w:r>
      <w:r w:rsidR="003E1C81">
        <w:rPr>
          <w:rFonts w:cs="Arial"/>
          <w:sz w:val="20"/>
          <w:szCs w:val="20"/>
        </w:rPr>
        <w:t xml:space="preserve">  </w:t>
      </w:r>
      <w:r w:rsidR="00C06785">
        <w:rPr>
          <w:rFonts w:cs="Arial"/>
          <w:sz w:val="20"/>
          <w:szCs w:val="20"/>
        </w:rPr>
        <w:t>In some sections, t</w:t>
      </w:r>
      <w:r w:rsidR="008F0067" w:rsidRPr="008F0067">
        <w:rPr>
          <w:rFonts w:cs="Arial"/>
          <w:sz w:val="20"/>
          <w:szCs w:val="20"/>
        </w:rPr>
        <w:t>his document refers to inline XBRL (iXBRL</w:t>
      </w:r>
      <w:r w:rsidR="008F0067" w:rsidRPr="00EF3084">
        <w:rPr>
          <w:rFonts w:cs="Arial"/>
          <w:sz w:val="20"/>
          <w:szCs w:val="20"/>
        </w:rPr>
        <w:t xml:space="preserve">) </w:t>
      </w:r>
      <w:r w:rsidR="008F0067" w:rsidRPr="00E52DAF">
        <w:rPr>
          <w:rFonts w:cs="Arial"/>
          <w:sz w:val="20"/>
          <w:szCs w:val="20"/>
        </w:rPr>
        <w:t xml:space="preserve">which </w:t>
      </w:r>
      <w:r w:rsidR="008F0067" w:rsidRPr="00023B0B">
        <w:rPr>
          <w:rFonts w:cs="Arial"/>
          <w:sz w:val="20"/>
          <w:szCs w:val="20"/>
        </w:rPr>
        <w:t xml:space="preserve">is a </w:t>
      </w:r>
      <w:r w:rsidR="008F0067" w:rsidRPr="008F0067">
        <w:rPr>
          <w:rFonts w:cs="Arial"/>
          <w:noProof/>
          <w:color w:val="000000" w:themeColor="text1"/>
          <w:sz w:val="20"/>
          <w:szCs w:val="20"/>
          <w:lang w:val="en-US" w:eastAsia="zh-TW"/>
        </w:rPr>
        <w:t xml:space="preserve">specification that allows XBRL tags to be embedded in an HTML document.  </w:t>
      </w:r>
      <w:r w:rsidR="00770C06">
        <w:rPr>
          <w:rFonts w:cs="Arial"/>
          <w:noProof/>
          <w:color w:val="000000" w:themeColor="text1"/>
          <w:sz w:val="20"/>
          <w:szCs w:val="20"/>
          <w:lang w:val="en-US" w:eastAsia="zh-TW"/>
        </w:rPr>
        <w:t>I</w:t>
      </w:r>
      <w:r w:rsidR="008F0067" w:rsidRPr="008F0067">
        <w:rPr>
          <w:rFonts w:cs="Arial"/>
          <w:noProof/>
          <w:color w:val="000000" w:themeColor="text1"/>
          <w:sz w:val="20"/>
          <w:szCs w:val="20"/>
          <w:lang w:val="en-US" w:eastAsia="zh-TW"/>
        </w:rPr>
        <w:t>nstance document</w:t>
      </w:r>
      <w:r w:rsidR="00770C06">
        <w:rPr>
          <w:rFonts w:cs="Arial"/>
          <w:noProof/>
          <w:color w:val="000000" w:themeColor="text1"/>
          <w:sz w:val="20"/>
          <w:szCs w:val="20"/>
          <w:lang w:val="en-US" w:eastAsia="zh-TW"/>
        </w:rPr>
        <w:t>s</w:t>
      </w:r>
      <w:r w:rsidR="008F0067" w:rsidRPr="008F0067">
        <w:rPr>
          <w:rFonts w:cs="Arial"/>
          <w:noProof/>
          <w:color w:val="000000" w:themeColor="text1"/>
          <w:sz w:val="20"/>
          <w:szCs w:val="20"/>
          <w:lang w:val="en-US" w:eastAsia="zh-TW"/>
        </w:rPr>
        <w:t xml:space="preserve"> in iXBRL format </w:t>
      </w:r>
      <w:r w:rsidR="00770C06">
        <w:rPr>
          <w:rFonts w:cs="Arial"/>
          <w:noProof/>
          <w:color w:val="000000" w:themeColor="text1"/>
          <w:sz w:val="20"/>
          <w:szCs w:val="20"/>
          <w:lang w:val="en-US" w:eastAsia="zh-TW"/>
        </w:rPr>
        <w:t>can be consumed</w:t>
      </w:r>
      <w:r w:rsidR="008F0067" w:rsidRPr="008F0067">
        <w:rPr>
          <w:rFonts w:cs="Arial"/>
          <w:noProof/>
          <w:color w:val="000000" w:themeColor="text1"/>
          <w:sz w:val="20"/>
          <w:szCs w:val="20"/>
          <w:lang w:val="en-US" w:eastAsia="zh-TW"/>
        </w:rPr>
        <w:t xml:space="preserve"> by computers using XBRL tags and </w:t>
      </w:r>
      <w:r w:rsidR="00C06785">
        <w:rPr>
          <w:rFonts w:cs="Arial"/>
          <w:noProof/>
          <w:color w:val="000000" w:themeColor="text1"/>
          <w:sz w:val="20"/>
          <w:szCs w:val="20"/>
          <w:lang w:val="en-US" w:eastAsia="zh-TW"/>
        </w:rPr>
        <w:t xml:space="preserve">be </w:t>
      </w:r>
      <w:r w:rsidR="008F0067" w:rsidRPr="008F0067">
        <w:rPr>
          <w:rFonts w:cs="Arial"/>
          <w:noProof/>
          <w:color w:val="000000" w:themeColor="text1"/>
          <w:sz w:val="20"/>
          <w:szCs w:val="20"/>
          <w:lang w:val="en-US" w:eastAsia="zh-TW"/>
        </w:rPr>
        <w:t xml:space="preserve">rendered for human readability </w:t>
      </w:r>
      <w:r w:rsidR="00C06785">
        <w:rPr>
          <w:rFonts w:cs="Arial"/>
          <w:noProof/>
          <w:color w:val="000000" w:themeColor="text1"/>
          <w:sz w:val="20"/>
          <w:szCs w:val="20"/>
          <w:lang w:val="en-US" w:eastAsia="zh-TW"/>
        </w:rPr>
        <w:t>using</w:t>
      </w:r>
      <w:r w:rsidR="008F0067" w:rsidRPr="008F0067">
        <w:rPr>
          <w:rFonts w:cs="Arial"/>
          <w:noProof/>
          <w:color w:val="000000" w:themeColor="text1"/>
          <w:sz w:val="20"/>
          <w:szCs w:val="20"/>
          <w:lang w:val="en-US" w:eastAsia="zh-TW"/>
        </w:rPr>
        <w:t xml:space="preserve"> </w:t>
      </w:r>
      <w:r w:rsidR="00770C06">
        <w:rPr>
          <w:rFonts w:cs="Arial"/>
          <w:noProof/>
          <w:color w:val="000000" w:themeColor="text1"/>
          <w:sz w:val="20"/>
          <w:szCs w:val="20"/>
          <w:lang w:val="en-US" w:eastAsia="zh-TW"/>
        </w:rPr>
        <w:t>most</w:t>
      </w:r>
      <w:r w:rsidR="00770C06" w:rsidRPr="008F0067">
        <w:rPr>
          <w:rFonts w:cs="Arial"/>
          <w:noProof/>
          <w:color w:val="000000" w:themeColor="text1"/>
          <w:sz w:val="20"/>
          <w:szCs w:val="20"/>
          <w:lang w:val="en-US" w:eastAsia="zh-TW"/>
        </w:rPr>
        <w:t xml:space="preserve"> </w:t>
      </w:r>
      <w:r w:rsidR="008F0067" w:rsidRPr="008F0067">
        <w:rPr>
          <w:rFonts w:cs="Arial"/>
          <w:noProof/>
          <w:color w:val="000000" w:themeColor="text1"/>
          <w:sz w:val="20"/>
          <w:szCs w:val="20"/>
          <w:lang w:val="en-US" w:eastAsia="zh-TW"/>
        </w:rPr>
        <w:t xml:space="preserve">popular web browsers.  </w:t>
      </w:r>
      <w:r w:rsidR="005E7D25">
        <w:rPr>
          <w:rFonts w:cs="Arial"/>
          <w:noProof/>
          <w:color w:val="000000" w:themeColor="text1"/>
          <w:sz w:val="20"/>
          <w:szCs w:val="20"/>
          <w:lang w:val="en-US" w:eastAsia="zh-TW"/>
        </w:rPr>
        <w:t xml:space="preserve">The term “XBRL tag” represents financial data contained in the instance document after being mapped with the </w:t>
      </w:r>
      <w:r w:rsidR="00C06785">
        <w:rPr>
          <w:rFonts w:cs="Arial"/>
          <w:noProof/>
          <w:color w:val="000000" w:themeColor="text1"/>
          <w:sz w:val="20"/>
          <w:szCs w:val="20"/>
          <w:lang w:val="en-US" w:eastAsia="zh-TW"/>
        </w:rPr>
        <w:t>t</w:t>
      </w:r>
      <w:r w:rsidR="005E7D25">
        <w:rPr>
          <w:rFonts w:cs="Arial"/>
          <w:noProof/>
          <w:color w:val="000000" w:themeColor="text1"/>
          <w:sz w:val="20"/>
          <w:szCs w:val="20"/>
          <w:lang w:val="en-US" w:eastAsia="zh-TW"/>
        </w:rPr>
        <w:t xml:space="preserve">axonomy. </w:t>
      </w:r>
      <w:r w:rsidR="003E1C81" w:rsidRPr="008F0067">
        <w:rPr>
          <w:rFonts w:cs="Arial"/>
          <w:sz w:val="20"/>
          <w:szCs w:val="20"/>
        </w:rPr>
        <w:t>For certain part</w:t>
      </w:r>
      <w:r w:rsidR="00C531DC" w:rsidRPr="008F0067">
        <w:rPr>
          <w:rFonts w:cs="Arial"/>
          <w:sz w:val="20"/>
          <w:szCs w:val="20"/>
        </w:rPr>
        <w:t>s</w:t>
      </w:r>
      <w:r w:rsidR="003E1C81" w:rsidRPr="008F0067">
        <w:rPr>
          <w:rFonts w:cs="Arial"/>
          <w:sz w:val="20"/>
          <w:szCs w:val="20"/>
        </w:rPr>
        <w:t xml:space="preserve"> of the document, it is also assumed that readers are familiar with the basic financial reporting concepts.</w:t>
      </w:r>
    </w:p>
    <w:p w14:paraId="2EF21F71" w14:textId="1EE10317" w:rsidR="00C324D8" w:rsidRDefault="00F57E00" w:rsidP="00B34CA4">
      <w:pPr>
        <w:spacing w:before="120" w:after="120"/>
        <w:rPr>
          <w:rFonts w:cs="Arial"/>
          <w:sz w:val="20"/>
          <w:szCs w:val="20"/>
        </w:rPr>
      </w:pPr>
      <w:r>
        <w:rPr>
          <w:rFonts w:cs="Arial"/>
          <w:sz w:val="20"/>
          <w:szCs w:val="20"/>
        </w:rPr>
        <w:t xml:space="preserve">This version of the </w:t>
      </w:r>
      <w:r w:rsidR="000E3C7A">
        <w:rPr>
          <w:rFonts w:cs="Arial"/>
          <w:sz w:val="20"/>
          <w:szCs w:val="20"/>
        </w:rPr>
        <w:t>IFRS AU Taxonomy</w:t>
      </w:r>
      <w:r>
        <w:rPr>
          <w:rFonts w:cs="Arial"/>
          <w:sz w:val="20"/>
          <w:szCs w:val="20"/>
        </w:rPr>
        <w:t xml:space="preserve"> </w:t>
      </w:r>
      <w:r w:rsidR="006B5616" w:rsidRPr="006B5616">
        <w:rPr>
          <w:rFonts w:cs="Arial"/>
          <w:sz w:val="20"/>
          <w:szCs w:val="20"/>
        </w:rPr>
        <w:t xml:space="preserve">(referred to as "the </w:t>
      </w:r>
      <w:r w:rsidR="00FC3CEC">
        <w:rPr>
          <w:rFonts w:cs="Arial"/>
          <w:sz w:val="20"/>
          <w:szCs w:val="20"/>
        </w:rPr>
        <w:t xml:space="preserve">IFRS AU Taxonomy </w:t>
      </w:r>
      <w:r w:rsidR="00442B0D">
        <w:rPr>
          <w:rFonts w:cs="Arial"/>
          <w:sz w:val="20"/>
          <w:szCs w:val="20"/>
        </w:rPr>
        <w:t>2025</w:t>
      </w:r>
      <w:r w:rsidR="006B5616" w:rsidRPr="006B5616">
        <w:rPr>
          <w:rFonts w:cs="Arial"/>
          <w:sz w:val="20"/>
          <w:szCs w:val="20"/>
        </w:rPr>
        <w:t>")</w:t>
      </w:r>
      <w:r w:rsidR="006B5616">
        <w:rPr>
          <w:rFonts w:cs="Arial"/>
          <w:sz w:val="20"/>
          <w:szCs w:val="20"/>
        </w:rPr>
        <w:t xml:space="preserve"> </w:t>
      </w:r>
      <w:r w:rsidR="000E3C7A">
        <w:rPr>
          <w:rFonts w:cs="Arial"/>
          <w:sz w:val="20"/>
          <w:szCs w:val="20"/>
        </w:rPr>
        <w:t xml:space="preserve">is based on </w:t>
      </w:r>
      <w:r w:rsidR="003E1C4C">
        <w:rPr>
          <w:rFonts w:cs="Arial"/>
          <w:sz w:val="20"/>
          <w:szCs w:val="20"/>
        </w:rPr>
        <w:t xml:space="preserve">the </w:t>
      </w:r>
      <w:r w:rsidR="00FC3CEC">
        <w:rPr>
          <w:rFonts w:cs="Arial"/>
          <w:sz w:val="20"/>
          <w:szCs w:val="20"/>
        </w:rPr>
        <w:t xml:space="preserve">IFRS Taxonomy </w:t>
      </w:r>
      <w:r w:rsidR="00442B0D">
        <w:rPr>
          <w:rFonts w:cs="Arial"/>
          <w:sz w:val="20"/>
          <w:szCs w:val="20"/>
        </w:rPr>
        <w:t>2025</w:t>
      </w:r>
      <w:r w:rsidR="00484FB6">
        <w:rPr>
          <w:rFonts w:cs="Arial"/>
          <w:sz w:val="20"/>
          <w:szCs w:val="20"/>
        </w:rPr>
        <w:t xml:space="preserve"> </w:t>
      </w:r>
      <w:r w:rsidR="003E1C4C">
        <w:rPr>
          <w:rFonts w:cs="Arial"/>
          <w:sz w:val="20"/>
          <w:szCs w:val="20"/>
        </w:rPr>
        <w:t>(</w:t>
      </w:r>
      <w:r w:rsidR="00B86F6A">
        <w:rPr>
          <w:rFonts w:cs="Arial"/>
          <w:sz w:val="20"/>
          <w:szCs w:val="20"/>
        </w:rPr>
        <w:t xml:space="preserve">also referred to as “IFRS Accounting Taxonomy” </w:t>
      </w:r>
      <w:r w:rsidR="003E1C4C">
        <w:rPr>
          <w:rFonts w:cs="Arial"/>
          <w:sz w:val="20"/>
          <w:szCs w:val="20"/>
        </w:rPr>
        <w:t>as issued by the IFRS Foundation)</w:t>
      </w:r>
      <w:r>
        <w:rPr>
          <w:rFonts w:cs="Arial"/>
          <w:sz w:val="20"/>
          <w:szCs w:val="20"/>
        </w:rPr>
        <w:t>.</w:t>
      </w:r>
      <w:r w:rsidR="000E3C7A">
        <w:rPr>
          <w:rFonts w:cs="Arial"/>
          <w:sz w:val="20"/>
          <w:szCs w:val="20"/>
        </w:rPr>
        <w:t xml:space="preserve"> </w:t>
      </w:r>
      <w:r>
        <w:rPr>
          <w:rFonts w:cs="Arial"/>
          <w:sz w:val="20"/>
          <w:szCs w:val="20"/>
        </w:rPr>
        <w:t xml:space="preserve"> </w:t>
      </w:r>
      <w:r w:rsidR="00B86F6A">
        <w:rPr>
          <w:rFonts w:cs="Arial"/>
          <w:sz w:val="20"/>
          <w:szCs w:val="20"/>
        </w:rPr>
        <w:t xml:space="preserve">In this document, when we refer to IFRS Taxonomy </w:t>
      </w:r>
      <w:r w:rsidR="00442B0D">
        <w:rPr>
          <w:rFonts w:cs="Arial"/>
          <w:sz w:val="20"/>
          <w:szCs w:val="20"/>
        </w:rPr>
        <w:t>2025</w:t>
      </w:r>
      <w:r w:rsidR="00B86F6A">
        <w:rPr>
          <w:rFonts w:cs="Arial"/>
          <w:sz w:val="20"/>
          <w:szCs w:val="20"/>
        </w:rPr>
        <w:t xml:space="preserve">, that means the IFRS Accounting Taxonomy </w:t>
      </w:r>
      <w:r w:rsidR="00442B0D">
        <w:rPr>
          <w:rFonts w:cs="Arial"/>
          <w:sz w:val="20"/>
          <w:szCs w:val="20"/>
        </w:rPr>
        <w:t>2025</w:t>
      </w:r>
      <w:r w:rsidR="00B86F6A">
        <w:rPr>
          <w:rFonts w:cs="Arial"/>
          <w:sz w:val="20"/>
          <w:szCs w:val="20"/>
        </w:rPr>
        <w:t xml:space="preserve">. </w:t>
      </w:r>
      <w:r w:rsidR="00FC3CEC">
        <w:rPr>
          <w:rFonts w:cs="Arial"/>
          <w:sz w:val="20"/>
          <w:szCs w:val="20"/>
        </w:rPr>
        <w:t xml:space="preserve">Relevant </w:t>
      </w:r>
      <w:r w:rsidR="000E3C7A">
        <w:rPr>
          <w:rFonts w:cs="Arial"/>
          <w:sz w:val="20"/>
          <w:szCs w:val="20"/>
        </w:rPr>
        <w:t xml:space="preserve">reference documentation of the </w:t>
      </w:r>
      <w:r w:rsidR="00FC3CEC">
        <w:rPr>
          <w:rFonts w:cs="Arial"/>
          <w:sz w:val="20"/>
          <w:szCs w:val="20"/>
        </w:rPr>
        <w:t xml:space="preserve">IFRS Taxonomy </w:t>
      </w:r>
      <w:r w:rsidR="00442B0D">
        <w:rPr>
          <w:rFonts w:cs="Arial"/>
          <w:sz w:val="20"/>
          <w:szCs w:val="20"/>
        </w:rPr>
        <w:t>2025</w:t>
      </w:r>
      <w:r w:rsidR="00484FB6">
        <w:rPr>
          <w:rFonts w:cs="Arial"/>
          <w:sz w:val="20"/>
          <w:szCs w:val="20"/>
        </w:rPr>
        <w:t xml:space="preserve"> </w:t>
      </w:r>
      <w:r w:rsidR="000E3C7A">
        <w:rPr>
          <w:rFonts w:cs="Arial"/>
          <w:sz w:val="20"/>
          <w:szCs w:val="20"/>
        </w:rPr>
        <w:t>should be referred to in conjunction with this document.</w:t>
      </w:r>
      <w:r w:rsidR="0010637B">
        <w:rPr>
          <w:rFonts w:cs="Arial"/>
          <w:sz w:val="20"/>
          <w:szCs w:val="20"/>
        </w:rPr>
        <w:t xml:space="preserve"> </w:t>
      </w:r>
    </w:p>
    <w:p w14:paraId="19ACF304" w14:textId="77777777" w:rsidR="00BA43CC" w:rsidRDefault="00BA43CC" w:rsidP="00D27EB9">
      <w:pPr>
        <w:pStyle w:val="Head2"/>
        <w:tabs>
          <w:tab w:val="num" w:pos="709"/>
        </w:tabs>
        <w:ind w:left="709" w:hanging="709"/>
      </w:pPr>
      <w:bookmarkStart w:id="9" w:name="_Toc205457944"/>
      <w:r w:rsidRPr="00542C3D">
        <w:t>References</w:t>
      </w:r>
      <w:bookmarkEnd w:id="8"/>
      <w:bookmarkEnd w:id="9"/>
    </w:p>
    <w:p w14:paraId="1AF3A670" w14:textId="77777777" w:rsidR="005E04D5" w:rsidRPr="005E04D5" w:rsidRDefault="005E04D5" w:rsidP="005E04D5">
      <w:pPr>
        <w:spacing w:before="120" w:after="120"/>
      </w:pPr>
      <w:r>
        <w:t>List of relevant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4071"/>
        <w:gridCol w:w="4898"/>
      </w:tblGrid>
      <w:tr w:rsidR="00BA43CC" w:rsidRPr="00542C3D" w14:paraId="4BA4A225" w14:textId="77777777" w:rsidTr="002D7ADD">
        <w:tc>
          <w:tcPr>
            <w:tcW w:w="573" w:type="dxa"/>
            <w:shd w:val="clear" w:color="auto" w:fill="C6D9F1"/>
          </w:tcPr>
          <w:p w14:paraId="1044E331" w14:textId="77777777" w:rsidR="00BA43CC" w:rsidRPr="00F1111B" w:rsidRDefault="00BA43CC" w:rsidP="00D43589">
            <w:pPr>
              <w:spacing w:before="120" w:after="120"/>
              <w:rPr>
                <w:rFonts w:cs="Arial"/>
                <w:b/>
                <w:sz w:val="20"/>
                <w:szCs w:val="20"/>
                <w:lang w:val="en-GB"/>
              </w:rPr>
            </w:pPr>
            <w:r w:rsidRPr="00F1111B">
              <w:rPr>
                <w:rFonts w:cs="Arial"/>
                <w:b/>
                <w:sz w:val="20"/>
                <w:szCs w:val="20"/>
                <w:lang w:val="en-GB"/>
              </w:rPr>
              <w:t>Ref</w:t>
            </w:r>
          </w:p>
        </w:tc>
        <w:tc>
          <w:tcPr>
            <w:tcW w:w="4071" w:type="dxa"/>
            <w:shd w:val="clear" w:color="auto" w:fill="C6D9F1"/>
          </w:tcPr>
          <w:p w14:paraId="3DCC93BC" w14:textId="77777777" w:rsidR="00BA43CC" w:rsidRPr="00F1111B" w:rsidRDefault="00BA43CC" w:rsidP="00D43589">
            <w:pPr>
              <w:spacing w:before="120" w:after="120"/>
              <w:rPr>
                <w:rFonts w:cs="Arial"/>
                <w:b/>
                <w:sz w:val="20"/>
                <w:szCs w:val="20"/>
                <w:lang w:val="en-GB"/>
              </w:rPr>
            </w:pPr>
            <w:r w:rsidRPr="00F1111B">
              <w:rPr>
                <w:rFonts w:cs="Arial"/>
                <w:b/>
                <w:sz w:val="20"/>
                <w:szCs w:val="20"/>
                <w:lang w:val="en-GB"/>
              </w:rPr>
              <w:t>Document Link</w:t>
            </w:r>
          </w:p>
        </w:tc>
        <w:tc>
          <w:tcPr>
            <w:tcW w:w="4898" w:type="dxa"/>
            <w:shd w:val="clear" w:color="auto" w:fill="C6D9F1"/>
          </w:tcPr>
          <w:p w14:paraId="6C4C7154" w14:textId="77777777" w:rsidR="00BA43CC" w:rsidRPr="00F1111B" w:rsidRDefault="00BA43CC" w:rsidP="00D43589">
            <w:pPr>
              <w:spacing w:before="120" w:after="120"/>
              <w:rPr>
                <w:rFonts w:cs="Arial"/>
                <w:b/>
                <w:sz w:val="20"/>
                <w:szCs w:val="20"/>
                <w:lang w:val="en-GB"/>
              </w:rPr>
            </w:pPr>
            <w:r w:rsidRPr="00F1111B">
              <w:rPr>
                <w:rFonts w:cs="Arial"/>
                <w:b/>
                <w:sz w:val="20"/>
                <w:szCs w:val="20"/>
                <w:lang w:val="en-GB"/>
              </w:rPr>
              <w:t>Document description</w:t>
            </w:r>
          </w:p>
        </w:tc>
      </w:tr>
      <w:tr w:rsidR="001822EC" w:rsidRPr="00542C3D" w14:paraId="31B7CE0B" w14:textId="77777777" w:rsidTr="002D7ADD">
        <w:tc>
          <w:tcPr>
            <w:tcW w:w="573" w:type="dxa"/>
          </w:tcPr>
          <w:p w14:paraId="05ED3E63" w14:textId="77777777" w:rsidR="001822EC" w:rsidRPr="00F1111B" w:rsidRDefault="001822EC" w:rsidP="00BA43CC">
            <w:pPr>
              <w:pStyle w:val="OutlineNumbered1"/>
              <w:numPr>
                <w:ilvl w:val="0"/>
                <w:numId w:val="5"/>
              </w:numPr>
              <w:tabs>
                <w:tab w:val="clear" w:pos="2960"/>
                <w:tab w:val="num" w:pos="520"/>
              </w:tabs>
              <w:ind w:left="520" w:hanging="520"/>
              <w:rPr>
                <w:sz w:val="20"/>
                <w:lang w:val="en-GB"/>
              </w:rPr>
            </w:pPr>
          </w:p>
        </w:tc>
        <w:tc>
          <w:tcPr>
            <w:tcW w:w="4071" w:type="dxa"/>
          </w:tcPr>
          <w:p w14:paraId="797F0060" w14:textId="23314A16" w:rsidR="00FA2C48" w:rsidRPr="00184527" w:rsidRDefault="00FC3CEC" w:rsidP="00FA2C48">
            <w:pPr>
              <w:rPr>
                <w:sz w:val="20"/>
                <w:szCs w:val="20"/>
              </w:rPr>
            </w:pPr>
            <w:r>
              <w:rPr>
                <w:sz w:val="20"/>
                <w:szCs w:val="20"/>
              </w:rPr>
              <w:t xml:space="preserve">IFRS Taxonomy </w:t>
            </w:r>
            <w:r w:rsidR="00442B0D">
              <w:rPr>
                <w:sz w:val="20"/>
                <w:szCs w:val="20"/>
              </w:rPr>
              <w:t>2025</w:t>
            </w:r>
          </w:p>
          <w:p w14:paraId="183E6DB8" w14:textId="40F3DFF8" w:rsidR="001822EC" w:rsidRPr="008E0D42" w:rsidRDefault="004A650C" w:rsidP="00FA2C48">
            <w:pPr>
              <w:rPr>
                <w:b/>
                <w:color w:val="000000"/>
                <w:sz w:val="20"/>
                <w:szCs w:val="20"/>
                <w:highlight w:val="yellow"/>
                <w:lang w:val="en-GB"/>
              </w:rPr>
            </w:pPr>
            <w:r>
              <w:t xml:space="preserve"> </w:t>
            </w:r>
            <w:r w:rsidR="00B86F6A" w:rsidRPr="00B86F6A">
              <w:rPr>
                <w:b/>
                <w:color w:val="000000"/>
                <w:sz w:val="20"/>
                <w:szCs w:val="20"/>
                <w:lang w:val="en-GB"/>
              </w:rPr>
              <w:t>https://www.ifrs.org/issued-standards/ifrs-taxonomy/ifrs-accounting-taxonomy-</w:t>
            </w:r>
            <w:r w:rsidR="00442B0D">
              <w:rPr>
                <w:b/>
                <w:color w:val="000000"/>
                <w:sz w:val="20"/>
                <w:szCs w:val="20"/>
                <w:lang w:val="en-GB"/>
              </w:rPr>
              <w:t>2025</w:t>
            </w:r>
            <w:r w:rsidR="00B86F6A" w:rsidRPr="00B86F6A">
              <w:rPr>
                <w:b/>
                <w:color w:val="000000"/>
                <w:sz w:val="20"/>
                <w:szCs w:val="20"/>
                <w:lang w:val="en-GB"/>
              </w:rPr>
              <w:t>/</w:t>
            </w:r>
          </w:p>
        </w:tc>
        <w:tc>
          <w:tcPr>
            <w:tcW w:w="4898" w:type="dxa"/>
          </w:tcPr>
          <w:p w14:paraId="3AD2529B" w14:textId="784AB80A" w:rsidR="009B77C1" w:rsidRPr="00B86F6A" w:rsidRDefault="007E65BE" w:rsidP="00B86F6A">
            <w:pPr>
              <w:rPr>
                <w:sz w:val="20"/>
                <w:szCs w:val="20"/>
                <w:lang w:val="en-GB"/>
              </w:rPr>
            </w:pPr>
            <w:r w:rsidRPr="00F1111B">
              <w:rPr>
                <w:sz w:val="20"/>
                <w:szCs w:val="20"/>
                <w:lang w:val="en-GB"/>
              </w:rPr>
              <w:t xml:space="preserve">Reference documentation </w:t>
            </w:r>
            <w:r w:rsidR="000E3C7A">
              <w:rPr>
                <w:sz w:val="20"/>
                <w:szCs w:val="20"/>
                <w:lang w:val="en-GB"/>
              </w:rPr>
              <w:t>of</w:t>
            </w:r>
            <w:r w:rsidR="000E3C7A" w:rsidRPr="00F1111B">
              <w:rPr>
                <w:sz w:val="20"/>
                <w:szCs w:val="20"/>
                <w:lang w:val="en-GB"/>
              </w:rPr>
              <w:t xml:space="preserve"> </w:t>
            </w:r>
            <w:r w:rsidR="00A5449B">
              <w:rPr>
                <w:sz w:val="20"/>
                <w:szCs w:val="20"/>
                <w:lang w:val="en-GB"/>
              </w:rPr>
              <w:t xml:space="preserve">the </w:t>
            </w:r>
            <w:r w:rsidR="00FC3CEC">
              <w:rPr>
                <w:sz w:val="20"/>
                <w:szCs w:val="20"/>
                <w:lang w:val="en-GB"/>
              </w:rPr>
              <w:t xml:space="preserve">IFRS Taxonomy </w:t>
            </w:r>
            <w:r w:rsidR="00442B0D">
              <w:rPr>
                <w:sz w:val="20"/>
                <w:szCs w:val="20"/>
                <w:lang w:val="en-GB"/>
              </w:rPr>
              <w:t>2025</w:t>
            </w:r>
            <w:r w:rsidRPr="00F1111B">
              <w:rPr>
                <w:sz w:val="20"/>
                <w:szCs w:val="20"/>
                <w:lang w:val="en-GB"/>
              </w:rPr>
              <w:t xml:space="preserve"> as issued by </w:t>
            </w:r>
            <w:r w:rsidR="003E1C4C">
              <w:rPr>
                <w:sz w:val="20"/>
                <w:szCs w:val="20"/>
                <w:lang w:val="en-GB"/>
              </w:rPr>
              <w:t>the IFRS Foundation</w:t>
            </w:r>
            <w:r w:rsidRPr="00F1111B">
              <w:rPr>
                <w:sz w:val="20"/>
                <w:szCs w:val="20"/>
                <w:lang w:val="en-GB"/>
              </w:rPr>
              <w:t xml:space="preserve">. </w:t>
            </w:r>
          </w:p>
        </w:tc>
      </w:tr>
      <w:tr w:rsidR="00BA43CC" w:rsidRPr="00542C3D" w14:paraId="502C0FA9" w14:textId="77777777" w:rsidTr="002D7ADD">
        <w:tc>
          <w:tcPr>
            <w:tcW w:w="573" w:type="dxa"/>
          </w:tcPr>
          <w:p w14:paraId="22D310F0" w14:textId="77777777" w:rsidR="00BA43CC" w:rsidRPr="00F1111B" w:rsidRDefault="00BA43CC" w:rsidP="00BA43CC">
            <w:pPr>
              <w:pStyle w:val="OutlineNumbered1"/>
              <w:numPr>
                <w:ilvl w:val="0"/>
                <w:numId w:val="5"/>
              </w:numPr>
              <w:tabs>
                <w:tab w:val="clear" w:pos="2960"/>
                <w:tab w:val="num" w:pos="520"/>
              </w:tabs>
              <w:ind w:left="520" w:hanging="520"/>
              <w:rPr>
                <w:sz w:val="20"/>
                <w:lang w:val="en-GB"/>
              </w:rPr>
            </w:pPr>
          </w:p>
        </w:tc>
        <w:tc>
          <w:tcPr>
            <w:tcW w:w="4071" w:type="dxa"/>
          </w:tcPr>
          <w:p w14:paraId="163D9172" w14:textId="491CBC3F" w:rsidR="00707443" w:rsidRPr="00EA171C" w:rsidRDefault="00FF124D" w:rsidP="000E5315">
            <w:r w:rsidRPr="00EA171C">
              <w:rPr>
                <w:color w:val="000000"/>
                <w:sz w:val="20"/>
                <w:szCs w:val="20"/>
                <w:lang w:val="en-GB"/>
              </w:rPr>
              <w:t xml:space="preserve">The SBR Web Service Implementation Guide document can be downloaded at </w:t>
            </w:r>
            <w:hyperlink r:id="rId25" w:history="1">
              <w:r w:rsidR="00045D40">
                <w:rPr>
                  <w:rStyle w:val="Hyperlink"/>
                </w:rPr>
                <w:t>https://www.sbr.gov.au/digital-service-providers/developer-tools/sbr-core-service-webservice</w:t>
              </w:r>
            </w:hyperlink>
          </w:p>
          <w:p w14:paraId="5301761D" w14:textId="77777777" w:rsidR="00707443" w:rsidRPr="00EA171C" w:rsidRDefault="00707443" w:rsidP="000E5315"/>
        </w:tc>
        <w:tc>
          <w:tcPr>
            <w:tcW w:w="4898" w:type="dxa"/>
          </w:tcPr>
          <w:p w14:paraId="7A1D1D1C" w14:textId="77777777" w:rsidR="00BA43CC" w:rsidRPr="00F1111B" w:rsidRDefault="00BA43CC" w:rsidP="000E5315">
            <w:pPr>
              <w:rPr>
                <w:sz w:val="20"/>
                <w:szCs w:val="20"/>
                <w:lang w:val="en-GB"/>
              </w:rPr>
            </w:pPr>
            <w:r w:rsidRPr="00F1111B">
              <w:rPr>
                <w:sz w:val="20"/>
                <w:szCs w:val="20"/>
                <w:lang w:val="en-GB"/>
              </w:rPr>
              <w:t xml:space="preserve">Technical interface data that is common to all business processes and messages that use the SBR channel: </w:t>
            </w:r>
          </w:p>
          <w:p w14:paraId="49F2AE90" w14:textId="77777777" w:rsidR="00BA43CC" w:rsidRPr="00F1111B" w:rsidRDefault="00BA43CC" w:rsidP="005D1A3D">
            <w:pPr>
              <w:numPr>
                <w:ilvl w:val="0"/>
                <w:numId w:val="19"/>
              </w:numPr>
              <w:rPr>
                <w:sz w:val="20"/>
                <w:szCs w:val="20"/>
                <w:lang w:val="en-GB"/>
              </w:rPr>
            </w:pPr>
            <w:r w:rsidRPr="00F1111B">
              <w:rPr>
                <w:sz w:val="20"/>
                <w:szCs w:val="20"/>
                <w:lang w:val="en-GB"/>
              </w:rPr>
              <w:t>Web service protocol specifications</w:t>
            </w:r>
          </w:p>
          <w:p w14:paraId="7E1F99A8" w14:textId="77777777" w:rsidR="00BA43CC" w:rsidRPr="00F1111B" w:rsidRDefault="00BA43CC" w:rsidP="005D1A3D">
            <w:pPr>
              <w:numPr>
                <w:ilvl w:val="0"/>
                <w:numId w:val="19"/>
              </w:numPr>
              <w:rPr>
                <w:sz w:val="20"/>
                <w:szCs w:val="20"/>
                <w:lang w:val="en-GB"/>
              </w:rPr>
            </w:pPr>
            <w:r w:rsidRPr="00F1111B">
              <w:rPr>
                <w:sz w:val="20"/>
                <w:szCs w:val="20"/>
                <w:lang w:val="en-GB"/>
              </w:rPr>
              <w:t>Standard message header structure</w:t>
            </w:r>
          </w:p>
          <w:p w14:paraId="1D56CFF3" w14:textId="77777777" w:rsidR="00BA43CC" w:rsidRPr="00F1111B" w:rsidRDefault="00BA43CC" w:rsidP="005D1A3D">
            <w:pPr>
              <w:numPr>
                <w:ilvl w:val="0"/>
                <w:numId w:val="19"/>
              </w:numPr>
              <w:rPr>
                <w:sz w:val="20"/>
                <w:szCs w:val="20"/>
                <w:lang w:val="en-GB"/>
              </w:rPr>
            </w:pPr>
            <w:r w:rsidRPr="00F1111B">
              <w:rPr>
                <w:sz w:val="20"/>
                <w:szCs w:val="20"/>
                <w:lang w:val="en-GB"/>
              </w:rPr>
              <w:t>Standard error codes</w:t>
            </w:r>
          </w:p>
          <w:p w14:paraId="267451F4" w14:textId="77777777" w:rsidR="00BA43CC" w:rsidRPr="00F1111B" w:rsidRDefault="00BA43CC" w:rsidP="005D1A3D">
            <w:pPr>
              <w:numPr>
                <w:ilvl w:val="0"/>
                <w:numId w:val="19"/>
              </w:numPr>
              <w:rPr>
                <w:sz w:val="20"/>
                <w:szCs w:val="20"/>
                <w:lang w:val="en-GB"/>
              </w:rPr>
            </w:pPr>
            <w:r w:rsidRPr="00F1111B">
              <w:rPr>
                <w:sz w:val="20"/>
                <w:szCs w:val="20"/>
                <w:lang w:val="en-GB"/>
              </w:rPr>
              <w:t>Authentication protocol and trust broker</w:t>
            </w:r>
          </w:p>
          <w:p w14:paraId="5778CBB7" w14:textId="77777777" w:rsidR="00BA43CC" w:rsidRPr="00F1111B" w:rsidRDefault="00BA43CC" w:rsidP="000E5315">
            <w:pPr>
              <w:pStyle w:val="OutlineNumbered1"/>
              <w:rPr>
                <w:sz w:val="20"/>
                <w:lang w:val="en-GB"/>
              </w:rPr>
            </w:pPr>
          </w:p>
        </w:tc>
      </w:tr>
    </w:tbl>
    <w:p w14:paraId="320DEE41" w14:textId="1EEA9E81" w:rsidR="00643A94" w:rsidRDefault="00643A94" w:rsidP="00643A94">
      <w:pPr>
        <w:pStyle w:val="ListParagraph"/>
        <w:rPr>
          <w:rStyle w:val="Emphasis"/>
          <w:b w:val="0"/>
          <w:sz w:val="18"/>
          <w:szCs w:val="18"/>
        </w:rPr>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29CF7682" w14:textId="3A8C76A3" w:rsidR="00DF214B" w:rsidRPr="00DF7460" w:rsidRDefault="00DF214B" w:rsidP="00DF7460">
      <w:pPr>
        <w:spacing w:before="120" w:after="120"/>
        <w:rPr>
          <w:sz w:val="20"/>
          <w:szCs w:val="20"/>
        </w:rPr>
      </w:pPr>
      <w:r w:rsidRPr="00DF7460">
        <w:rPr>
          <w:sz w:val="20"/>
          <w:szCs w:val="20"/>
        </w:rPr>
        <w:t>In March 2020</w:t>
      </w:r>
      <w:r w:rsidR="00DF7460">
        <w:rPr>
          <w:sz w:val="20"/>
          <w:szCs w:val="20"/>
        </w:rPr>
        <w:t>,</w:t>
      </w:r>
      <w:r w:rsidRPr="00DF7460">
        <w:rPr>
          <w:sz w:val="20"/>
          <w:szCs w:val="20"/>
        </w:rPr>
        <w:t xml:space="preserve"> Auskey was decommissioned</w:t>
      </w:r>
      <w:r w:rsidR="00F55465">
        <w:rPr>
          <w:sz w:val="20"/>
          <w:szCs w:val="20"/>
        </w:rPr>
        <w:t xml:space="preserve"> and </w:t>
      </w:r>
      <w:r w:rsidR="00F55465" w:rsidRPr="00F55465">
        <w:rPr>
          <w:sz w:val="20"/>
          <w:szCs w:val="20"/>
        </w:rPr>
        <w:t xml:space="preserve">the </w:t>
      </w:r>
      <w:r w:rsidR="00B80E5D">
        <w:rPr>
          <w:sz w:val="20"/>
          <w:szCs w:val="20"/>
        </w:rPr>
        <w:t xml:space="preserve">Auskey-based </w:t>
      </w:r>
      <w:r w:rsidR="00F55465" w:rsidRPr="00F55465">
        <w:rPr>
          <w:sz w:val="20"/>
          <w:szCs w:val="20"/>
        </w:rPr>
        <w:t>SBR arrangement for digital financial reports is no longer supported.</w:t>
      </w:r>
      <w:r w:rsidR="00F55465">
        <w:rPr>
          <w:sz w:val="20"/>
          <w:szCs w:val="20"/>
        </w:rPr>
        <w:t xml:space="preserve">  As a result, the Message Implementation Guides as referred to in the previous years’ taxonomy guides are no longer available from this year onward.</w:t>
      </w:r>
      <w:r w:rsidR="00DF7460">
        <w:rPr>
          <w:sz w:val="20"/>
          <w:szCs w:val="20"/>
        </w:rPr>
        <w:t xml:space="preserve"> </w:t>
      </w:r>
      <w:r w:rsidRPr="00DF7460">
        <w:rPr>
          <w:sz w:val="20"/>
          <w:szCs w:val="20"/>
        </w:rPr>
        <w:t xml:space="preserve"> </w:t>
      </w:r>
      <w:r w:rsidR="00B80E5D">
        <w:rPr>
          <w:sz w:val="20"/>
          <w:szCs w:val="20"/>
        </w:rPr>
        <w:t>Refer to section 2.3 for the current arrangement.</w:t>
      </w:r>
    </w:p>
    <w:p w14:paraId="0105BC62" w14:textId="77777777" w:rsidR="00FB129B" w:rsidRPr="00FB129B" w:rsidRDefault="00FB129B" w:rsidP="00FB129B">
      <w:pPr>
        <w:pStyle w:val="Maintext"/>
      </w:pPr>
      <w:bookmarkStart w:id="111" w:name="_Toc226473071"/>
      <w:bookmarkStart w:id="112" w:name="_Toc228954258"/>
      <w:bookmarkStart w:id="113" w:name="_Toc228954263"/>
      <w:bookmarkEnd w:id="0"/>
    </w:p>
    <w:p w14:paraId="54189D3E" w14:textId="77777777" w:rsidR="007E2546" w:rsidRDefault="007E2546" w:rsidP="00B94070">
      <w:pPr>
        <w:pStyle w:val="Head1"/>
        <w:tabs>
          <w:tab w:val="clear" w:pos="1928"/>
          <w:tab w:val="num" w:pos="426"/>
        </w:tabs>
        <w:ind w:hanging="1850"/>
      </w:pPr>
      <w:bookmarkStart w:id="114" w:name="_Ref294601737"/>
      <w:bookmarkStart w:id="115" w:name="_Toc205457945"/>
      <w:r>
        <w:t>Financial reporting content</w:t>
      </w:r>
      <w:bookmarkEnd w:id="114"/>
      <w:bookmarkEnd w:id="115"/>
    </w:p>
    <w:p w14:paraId="4F5542B8" w14:textId="77777777" w:rsidR="007E2546" w:rsidRDefault="007E2546" w:rsidP="007E2546">
      <w:pPr>
        <w:pStyle w:val="Head2"/>
        <w:tabs>
          <w:tab w:val="clear" w:pos="1144"/>
          <w:tab w:val="num" w:pos="426"/>
        </w:tabs>
        <w:ind w:left="426" w:hanging="426"/>
      </w:pPr>
      <w:bookmarkStart w:id="116" w:name="_Toc205457946"/>
      <w:r>
        <w:t>I</w:t>
      </w:r>
      <w:r w:rsidR="004F1E04">
        <w:t>ntroduction</w:t>
      </w:r>
      <w:bookmarkEnd w:id="116"/>
    </w:p>
    <w:p w14:paraId="14ED6111" w14:textId="77777777" w:rsidR="0045354A" w:rsidRPr="00F1111B" w:rsidRDefault="0045354A" w:rsidP="009036F7">
      <w:pPr>
        <w:pStyle w:val="Maintext"/>
        <w:rPr>
          <w:sz w:val="20"/>
          <w:szCs w:val="20"/>
        </w:rPr>
      </w:pPr>
      <w:r w:rsidRPr="00F1111B">
        <w:rPr>
          <w:sz w:val="20"/>
          <w:szCs w:val="20"/>
        </w:rPr>
        <w:t xml:space="preserve">Following the adoption of </w:t>
      </w:r>
      <w:r w:rsidR="00136098" w:rsidRPr="00F1111B">
        <w:rPr>
          <w:sz w:val="20"/>
          <w:szCs w:val="20"/>
        </w:rPr>
        <w:t xml:space="preserve">the </w:t>
      </w:r>
      <w:r w:rsidRPr="00F1111B">
        <w:rPr>
          <w:sz w:val="20"/>
          <w:szCs w:val="20"/>
        </w:rPr>
        <w:t>International Financial Reporting Standards (IFRS</w:t>
      </w:r>
      <w:r w:rsidR="00136098" w:rsidRPr="00F1111B">
        <w:rPr>
          <w:sz w:val="20"/>
          <w:szCs w:val="20"/>
        </w:rPr>
        <w:t>s</w:t>
      </w:r>
      <w:r w:rsidRPr="00F1111B">
        <w:rPr>
          <w:sz w:val="20"/>
          <w:szCs w:val="20"/>
        </w:rPr>
        <w:t>) in Australia</w:t>
      </w:r>
      <w:r w:rsidR="00BF7825">
        <w:rPr>
          <w:sz w:val="20"/>
          <w:szCs w:val="20"/>
        </w:rPr>
        <w:t>,</w:t>
      </w:r>
      <w:r w:rsidRPr="00F1111B">
        <w:rPr>
          <w:sz w:val="20"/>
          <w:szCs w:val="20"/>
        </w:rPr>
        <w:t xml:space="preserve"> effective from 1 January 2005, Australian Accounting Standards (AASB</w:t>
      </w:r>
      <w:r w:rsidR="00136098" w:rsidRPr="00F1111B">
        <w:rPr>
          <w:sz w:val="20"/>
          <w:szCs w:val="20"/>
        </w:rPr>
        <w:t>s</w:t>
      </w:r>
      <w:r w:rsidRPr="00F1111B">
        <w:rPr>
          <w:sz w:val="20"/>
          <w:szCs w:val="20"/>
        </w:rPr>
        <w:t xml:space="preserve">) </w:t>
      </w:r>
      <w:r w:rsidR="003B155C">
        <w:rPr>
          <w:sz w:val="20"/>
          <w:szCs w:val="20"/>
        </w:rPr>
        <w:t xml:space="preserve">largely </w:t>
      </w:r>
      <w:r w:rsidRPr="00F1111B">
        <w:rPr>
          <w:sz w:val="20"/>
          <w:szCs w:val="20"/>
        </w:rPr>
        <w:t>mirror the requirements of IFRS</w:t>
      </w:r>
      <w:r w:rsidR="00BF7825">
        <w:rPr>
          <w:sz w:val="20"/>
          <w:szCs w:val="20"/>
        </w:rPr>
        <w:t>s</w:t>
      </w:r>
      <w:r w:rsidRPr="00F1111B">
        <w:rPr>
          <w:sz w:val="20"/>
          <w:szCs w:val="20"/>
        </w:rPr>
        <w:t xml:space="preserve">. However, </w:t>
      </w:r>
      <w:r w:rsidR="00141A0F" w:rsidRPr="00F1111B">
        <w:rPr>
          <w:sz w:val="20"/>
          <w:szCs w:val="20"/>
        </w:rPr>
        <w:t xml:space="preserve">for the compliance with financial reporting requirements in Australia, </w:t>
      </w:r>
      <w:r w:rsidRPr="00F1111B">
        <w:rPr>
          <w:sz w:val="20"/>
          <w:szCs w:val="20"/>
        </w:rPr>
        <w:t>the</w:t>
      </w:r>
      <w:r w:rsidR="00F1111B">
        <w:rPr>
          <w:sz w:val="20"/>
          <w:szCs w:val="20"/>
        </w:rPr>
        <w:t xml:space="preserve"> following Australian </w:t>
      </w:r>
      <w:r w:rsidR="00141A0F" w:rsidRPr="00F1111B">
        <w:rPr>
          <w:sz w:val="20"/>
          <w:szCs w:val="20"/>
        </w:rPr>
        <w:t xml:space="preserve">specific requirements </w:t>
      </w:r>
      <w:r w:rsidR="00227A67" w:rsidRPr="00F1111B">
        <w:rPr>
          <w:sz w:val="20"/>
          <w:szCs w:val="20"/>
        </w:rPr>
        <w:t xml:space="preserve">also </w:t>
      </w:r>
      <w:r w:rsidR="00141A0F" w:rsidRPr="00F1111B">
        <w:rPr>
          <w:sz w:val="20"/>
          <w:szCs w:val="20"/>
        </w:rPr>
        <w:t>exist</w:t>
      </w:r>
      <w:r w:rsidRPr="00F1111B">
        <w:rPr>
          <w:sz w:val="20"/>
          <w:szCs w:val="20"/>
        </w:rPr>
        <w:t>:</w:t>
      </w:r>
    </w:p>
    <w:p w14:paraId="71B182F1" w14:textId="77777777" w:rsidR="009B77C1" w:rsidRDefault="00136098" w:rsidP="00F069A2">
      <w:pPr>
        <w:pStyle w:val="Maintext"/>
        <w:numPr>
          <w:ilvl w:val="0"/>
          <w:numId w:val="25"/>
        </w:numPr>
        <w:rPr>
          <w:sz w:val="20"/>
          <w:szCs w:val="20"/>
        </w:rPr>
      </w:pPr>
      <w:r w:rsidRPr="00F1111B">
        <w:rPr>
          <w:sz w:val="20"/>
          <w:szCs w:val="20"/>
        </w:rPr>
        <w:t xml:space="preserve">Additional Australian specific requirements that are included in AASBs and not required </w:t>
      </w:r>
      <w:r w:rsidR="00141A0F" w:rsidRPr="00F1111B">
        <w:rPr>
          <w:sz w:val="20"/>
          <w:szCs w:val="20"/>
        </w:rPr>
        <w:t>by IFRSs (those requirements</w:t>
      </w:r>
      <w:r w:rsidRPr="00F1111B">
        <w:rPr>
          <w:sz w:val="20"/>
          <w:szCs w:val="20"/>
        </w:rPr>
        <w:t xml:space="preserve"> are numbered </w:t>
      </w:r>
      <w:r w:rsidR="00BF7825">
        <w:rPr>
          <w:sz w:val="20"/>
          <w:szCs w:val="20"/>
        </w:rPr>
        <w:t xml:space="preserve">in AASBs </w:t>
      </w:r>
      <w:r w:rsidRPr="00F1111B">
        <w:rPr>
          <w:sz w:val="20"/>
          <w:szCs w:val="20"/>
        </w:rPr>
        <w:t>by adding "Aus" in front of the paragraph number);</w:t>
      </w:r>
    </w:p>
    <w:p w14:paraId="41F9597A" w14:textId="29A53C42" w:rsidR="009B77C1" w:rsidRDefault="00136098" w:rsidP="00F069A2">
      <w:pPr>
        <w:pStyle w:val="Maintext"/>
        <w:numPr>
          <w:ilvl w:val="0"/>
          <w:numId w:val="25"/>
        </w:numPr>
        <w:rPr>
          <w:sz w:val="20"/>
          <w:szCs w:val="20"/>
        </w:rPr>
      </w:pPr>
      <w:r w:rsidRPr="00F1111B">
        <w:rPr>
          <w:sz w:val="20"/>
          <w:szCs w:val="20"/>
        </w:rPr>
        <w:t xml:space="preserve">Additional Australian specific legislative requirements arising from provisions of the </w:t>
      </w:r>
      <w:r w:rsidR="00A37510">
        <w:rPr>
          <w:sz w:val="20"/>
          <w:szCs w:val="20"/>
        </w:rPr>
        <w:t xml:space="preserve">Corporations Act 2001 </w:t>
      </w:r>
      <w:r w:rsidR="0059005A">
        <w:rPr>
          <w:sz w:val="20"/>
          <w:szCs w:val="20"/>
        </w:rPr>
        <w:t>("the Act")</w:t>
      </w:r>
      <w:r w:rsidRPr="00F1111B">
        <w:rPr>
          <w:sz w:val="20"/>
          <w:szCs w:val="20"/>
        </w:rPr>
        <w:t>, Corporations Regulations</w:t>
      </w:r>
      <w:r w:rsidR="008F751C">
        <w:rPr>
          <w:sz w:val="20"/>
          <w:szCs w:val="20"/>
        </w:rPr>
        <w:t xml:space="preserve"> and</w:t>
      </w:r>
      <w:r w:rsidRPr="00F1111B">
        <w:rPr>
          <w:sz w:val="20"/>
          <w:szCs w:val="20"/>
        </w:rPr>
        <w:t xml:space="preserve"> </w:t>
      </w:r>
      <w:r w:rsidR="00C425DE" w:rsidRPr="00F1111B">
        <w:rPr>
          <w:sz w:val="20"/>
          <w:szCs w:val="20"/>
        </w:rPr>
        <w:t xml:space="preserve">Australian </w:t>
      </w:r>
      <w:r w:rsidR="00141A0F" w:rsidRPr="00F1111B">
        <w:rPr>
          <w:sz w:val="20"/>
          <w:szCs w:val="20"/>
        </w:rPr>
        <w:t>Auditing Standards</w:t>
      </w:r>
      <w:r w:rsidR="005D129C" w:rsidRPr="00F1111B">
        <w:rPr>
          <w:sz w:val="20"/>
          <w:szCs w:val="20"/>
        </w:rPr>
        <w:t>;</w:t>
      </w:r>
      <w:r w:rsidR="008F751C">
        <w:rPr>
          <w:sz w:val="20"/>
          <w:szCs w:val="20"/>
        </w:rPr>
        <w:t xml:space="preserve"> and</w:t>
      </w:r>
    </w:p>
    <w:p w14:paraId="15EA75F7" w14:textId="5E654AC9" w:rsidR="009B77C1" w:rsidRDefault="00227A67" w:rsidP="00F069A2">
      <w:pPr>
        <w:pStyle w:val="Maintext"/>
        <w:numPr>
          <w:ilvl w:val="0"/>
          <w:numId w:val="25"/>
        </w:numPr>
        <w:rPr>
          <w:sz w:val="20"/>
          <w:szCs w:val="20"/>
        </w:rPr>
      </w:pPr>
      <w:r w:rsidRPr="00F1111B">
        <w:rPr>
          <w:sz w:val="20"/>
          <w:szCs w:val="20"/>
        </w:rPr>
        <w:t>Some IFRSs do not apply in Australia (</w:t>
      </w:r>
      <w:r w:rsidR="003B155C">
        <w:rPr>
          <w:sz w:val="20"/>
          <w:szCs w:val="20"/>
        </w:rPr>
        <w:t>e.g.</w:t>
      </w:r>
      <w:r w:rsidRPr="00F1111B">
        <w:rPr>
          <w:sz w:val="20"/>
          <w:szCs w:val="20"/>
        </w:rPr>
        <w:t xml:space="preserve"> </w:t>
      </w:r>
      <w:r w:rsidR="00A37510">
        <w:rPr>
          <w:sz w:val="20"/>
          <w:szCs w:val="20"/>
        </w:rPr>
        <w:t>IAS</w:t>
      </w:r>
      <w:r w:rsidRPr="00F1111B">
        <w:rPr>
          <w:sz w:val="20"/>
          <w:szCs w:val="20"/>
        </w:rPr>
        <w:t xml:space="preserve"> 26 Accounting and Reporting by Retirement Benefit Plans)</w:t>
      </w:r>
      <w:r w:rsidR="008F751C">
        <w:rPr>
          <w:sz w:val="20"/>
          <w:szCs w:val="20"/>
        </w:rPr>
        <w:t>.</w:t>
      </w:r>
    </w:p>
    <w:p w14:paraId="7515C2D0" w14:textId="77777777" w:rsidR="00136098" w:rsidRPr="00F1111B" w:rsidRDefault="00136098" w:rsidP="00136098">
      <w:pPr>
        <w:pStyle w:val="Maintext"/>
        <w:rPr>
          <w:sz w:val="20"/>
          <w:szCs w:val="20"/>
        </w:rPr>
      </w:pPr>
    </w:p>
    <w:p w14:paraId="5EDF9428" w14:textId="458C718B" w:rsidR="009036F7" w:rsidRPr="00F1111B" w:rsidRDefault="009036F7" w:rsidP="009036F7">
      <w:pPr>
        <w:pStyle w:val="Maintext"/>
        <w:rPr>
          <w:sz w:val="20"/>
          <w:szCs w:val="20"/>
        </w:rPr>
      </w:pPr>
      <w:r w:rsidRPr="00F1111B">
        <w:rPr>
          <w:sz w:val="20"/>
          <w:szCs w:val="20"/>
        </w:rPr>
        <w:t>The</w:t>
      </w:r>
      <w:r w:rsidR="00F1111B">
        <w:rPr>
          <w:sz w:val="20"/>
          <w:szCs w:val="20"/>
        </w:rPr>
        <w:t xml:space="preserve"> Financial Reports </w:t>
      </w:r>
      <w:r w:rsidR="00795C4B">
        <w:rPr>
          <w:sz w:val="20"/>
          <w:szCs w:val="20"/>
        </w:rPr>
        <w:t>are</w:t>
      </w:r>
      <w:r w:rsidR="00F1111B">
        <w:rPr>
          <w:sz w:val="20"/>
          <w:szCs w:val="20"/>
        </w:rPr>
        <w:t xml:space="preserve"> lodged as part of a lodg</w:t>
      </w:r>
      <w:r w:rsidR="00723BE5">
        <w:rPr>
          <w:sz w:val="20"/>
          <w:szCs w:val="20"/>
        </w:rPr>
        <w:t>e</w:t>
      </w:r>
      <w:r w:rsidR="00F1111B">
        <w:rPr>
          <w:sz w:val="20"/>
          <w:szCs w:val="20"/>
        </w:rPr>
        <w:t>ment</w:t>
      </w:r>
      <w:r w:rsidRPr="00F1111B">
        <w:rPr>
          <w:sz w:val="20"/>
          <w:szCs w:val="20"/>
        </w:rPr>
        <w:t xml:space="preserve"> for </w:t>
      </w:r>
      <w:r w:rsidR="00F1111B">
        <w:rPr>
          <w:sz w:val="20"/>
          <w:szCs w:val="20"/>
        </w:rPr>
        <w:t>one</w:t>
      </w:r>
      <w:r w:rsidRPr="00F1111B">
        <w:rPr>
          <w:sz w:val="20"/>
          <w:szCs w:val="20"/>
        </w:rPr>
        <w:t xml:space="preserve"> of the ASIC Forms 388, 7051</w:t>
      </w:r>
      <w:r w:rsidR="00B87F1A">
        <w:rPr>
          <w:sz w:val="20"/>
          <w:szCs w:val="20"/>
        </w:rPr>
        <w:t>,</w:t>
      </w:r>
      <w:r w:rsidRPr="00F1111B">
        <w:rPr>
          <w:sz w:val="20"/>
          <w:szCs w:val="20"/>
        </w:rPr>
        <w:t xml:space="preserve"> FS70</w:t>
      </w:r>
      <w:r w:rsidR="00B87F1A">
        <w:rPr>
          <w:sz w:val="20"/>
          <w:szCs w:val="20"/>
        </w:rPr>
        <w:t xml:space="preserve"> </w:t>
      </w:r>
      <w:r w:rsidR="00C03667">
        <w:rPr>
          <w:sz w:val="20"/>
          <w:szCs w:val="20"/>
        </w:rPr>
        <w:t xml:space="preserve">or </w:t>
      </w:r>
      <w:r w:rsidR="00B87F1A">
        <w:rPr>
          <w:sz w:val="20"/>
          <w:szCs w:val="20"/>
        </w:rPr>
        <w:t>405</w:t>
      </w:r>
      <w:r w:rsidR="00F1111B">
        <w:rPr>
          <w:sz w:val="20"/>
          <w:szCs w:val="20"/>
        </w:rPr>
        <w:t>. The lodgement</w:t>
      </w:r>
      <w:r w:rsidR="003E5931">
        <w:rPr>
          <w:sz w:val="20"/>
          <w:szCs w:val="20"/>
        </w:rPr>
        <w:t>s</w:t>
      </w:r>
      <w:r w:rsidR="00F1111B">
        <w:rPr>
          <w:sz w:val="20"/>
          <w:szCs w:val="20"/>
        </w:rPr>
        <w:t xml:space="preserve"> must contain the following</w:t>
      </w:r>
      <w:r w:rsidRPr="00F1111B">
        <w:rPr>
          <w:sz w:val="20"/>
          <w:szCs w:val="20"/>
        </w:rPr>
        <w:t>:</w:t>
      </w:r>
    </w:p>
    <w:p w14:paraId="4243A044" w14:textId="77777777" w:rsidR="009036F7" w:rsidRPr="00F1111B" w:rsidRDefault="009036F7" w:rsidP="009036F7">
      <w:pPr>
        <w:pStyle w:val="Maintext"/>
        <w:rPr>
          <w:sz w:val="20"/>
          <w:szCs w:val="20"/>
        </w:rPr>
      </w:pPr>
    </w:p>
    <w:p w14:paraId="37683376" w14:textId="2770BE08" w:rsidR="00B87F1A" w:rsidRDefault="009036F7" w:rsidP="00B80E5D">
      <w:pPr>
        <w:pStyle w:val="Maintext"/>
        <w:numPr>
          <w:ilvl w:val="0"/>
          <w:numId w:val="21"/>
        </w:numPr>
        <w:ind w:left="567" w:hanging="425"/>
        <w:rPr>
          <w:sz w:val="20"/>
          <w:szCs w:val="20"/>
        </w:rPr>
      </w:pPr>
      <w:r w:rsidRPr="00F1111B">
        <w:rPr>
          <w:sz w:val="20"/>
          <w:szCs w:val="20"/>
        </w:rPr>
        <w:t xml:space="preserve">The </w:t>
      </w:r>
      <w:r w:rsidR="00B80E5D">
        <w:rPr>
          <w:sz w:val="20"/>
          <w:szCs w:val="20"/>
        </w:rPr>
        <w:t>cover form</w:t>
      </w:r>
      <w:r w:rsidRPr="00F1111B">
        <w:rPr>
          <w:sz w:val="20"/>
          <w:szCs w:val="20"/>
        </w:rPr>
        <w:t xml:space="preserve"> 388 or 7051 or FS70</w:t>
      </w:r>
      <w:r w:rsidR="00B87F1A">
        <w:rPr>
          <w:sz w:val="20"/>
          <w:szCs w:val="20"/>
        </w:rPr>
        <w:t xml:space="preserve"> or 405</w:t>
      </w:r>
    </w:p>
    <w:p w14:paraId="338AF8C7" w14:textId="77777777" w:rsidR="009036F7" w:rsidRPr="00F1111B" w:rsidRDefault="009036F7" w:rsidP="009036F7">
      <w:pPr>
        <w:pStyle w:val="Maintext"/>
        <w:rPr>
          <w:sz w:val="20"/>
          <w:szCs w:val="20"/>
        </w:rPr>
      </w:pPr>
    </w:p>
    <w:p w14:paraId="7576CBFF" w14:textId="77777777" w:rsidR="00B87F1A" w:rsidRDefault="009036F7" w:rsidP="00B80E5D">
      <w:pPr>
        <w:pStyle w:val="Maintext"/>
        <w:numPr>
          <w:ilvl w:val="0"/>
          <w:numId w:val="21"/>
        </w:numPr>
        <w:ind w:left="567" w:hanging="425"/>
        <w:rPr>
          <w:sz w:val="20"/>
          <w:szCs w:val="20"/>
        </w:rPr>
      </w:pPr>
      <w:r w:rsidRPr="00F1111B">
        <w:rPr>
          <w:sz w:val="20"/>
          <w:szCs w:val="20"/>
        </w:rPr>
        <w:t>Financial report</w:t>
      </w:r>
      <w:r w:rsidR="00F1111B">
        <w:rPr>
          <w:sz w:val="20"/>
          <w:szCs w:val="20"/>
        </w:rPr>
        <w:t>,</w:t>
      </w:r>
      <w:r w:rsidRPr="00F1111B">
        <w:rPr>
          <w:sz w:val="20"/>
          <w:szCs w:val="20"/>
        </w:rPr>
        <w:t xml:space="preserve"> generally </w:t>
      </w:r>
      <w:r w:rsidR="00F1111B" w:rsidRPr="00F1111B">
        <w:rPr>
          <w:sz w:val="20"/>
          <w:szCs w:val="20"/>
        </w:rPr>
        <w:t>compris</w:t>
      </w:r>
      <w:r w:rsidR="00F1111B">
        <w:rPr>
          <w:sz w:val="20"/>
          <w:szCs w:val="20"/>
        </w:rPr>
        <w:t>ing:</w:t>
      </w:r>
    </w:p>
    <w:p w14:paraId="697CF071" w14:textId="77777777" w:rsidR="009036F7" w:rsidRPr="00F1111B" w:rsidRDefault="009036F7" w:rsidP="009036F7">
      <w:pPr>
        <w:pStyle w:val="Maintext"/>
        <w:rPr>
          <w:sz w:val="20"/>
          <w:szCs w:val="20"/>
        </w:rPr>
      </w:pPr>
    </w:p>
    <w:p w14:paraId="79211429" w14:textId="77777777" w:rsidR="009B77C1" w:rsidRDefault="00CC4FC2" w:rsidP="00F069A2">
      <w:pPr>
        <w:pStyle w:val="Maintext"/>
        <w:numPr>
          <w:ilvl w:val="0"/>
          <w:numId w:val="25"/>
        </w:numPr>
        <w:rPr>
          <w:sz w:val="20"/>
          <w:szCs w:val="20"/>
        </w:rPr>
      </w:pPr>
      <w:r w:rsidRPr="00CC4FC2">
        <w:rPr>
          <w:sz w:val="20"/>
          <w:szCs w:val="20"/>
        </w:rPr>
        <w:t xml:space="preserve">Directors' declaration that the financial statements comply with accounting standards, give a true and fair view, there are reasonable grounds to believe that the company/scheme/entity will be able to pay its debts, the financial statements have been </w:t>
      </w:r>
      <w:r w:rsidR="00A37510">
        <w:rPr>
          <w:sz w:val="20"/>
          <w:szCs w:val="20"/>
        </w:rPr>
        <w:t>prepared</w:t>
      </w:r>
      <w:r w:rsidRPr="00CC4FC2">
        <w:rPr>
          <w:sz w:val="20"/>
          <w:szCs w:val="20"/>
        </w:rPr>
        <w:t xml:space="preserve"> in accordance with the Act</w:t>
      </w:r>
      <w:r w:rsidR="00A37510">
        <w:rPr>
          <w:sz w:val="20"/>
          <w:szCs w:val="20"/>
        </w:rPr>
        <w:t>;</w:t>
      </w:r>
    </w:p>
    <w:p w14:paraId="050F656E" w14:textId="77777777" w:rsidR="009B77C1" w:rsidRDefault="00CC4FC2" w:rsidP="00F069A2">
      <w:pPr>
        <w:pStyle w:val="Maintext"/>
        <w:numPr>
          <w:ilvl w:val="0"/>
          <w:numId w:val="25"/>
        </w:numPr>
        <w:rPr>
          <w:sz w:val="20"/>
          <w:szCs w:val="20"/>
        </w:rPr>
      </w:pPr>
      <w:r w:rsidRPr="00CC4FC2">
        <w:rPr>
          <w:sz w:val="20"/>
          <w:szCs w:val="20"/>
        </w:rPr>
        <w:t>Directors' report including the auditor's independence declaration</w:t>
      </w:r>
      <w:r w:rsidR="00A37510">
        <w:rPr>
          <w:sz w:val="20"/>
          <w:szCs w:val="20"/>
        </w:rPr>
        <w:t>;</w:t>
      </w:r>
    </w:p>
    <w:p w14:paraId="3AB2DC3E" w14:textId="77777777" w:rsidR="009B77C1" w:rsidRDefault="00CC4FC2" w:rsidP="00F069A2">
      <w:pPr>
        <w:pStyle w:val="Maintext"/>
        <w:numPr>
          <w:ilvl w:val="0"/>
          <w:numId w:val="25"/>
        </w:numPr>
        <w:rPr>
          <w:sz w:val="20"/>
          <w:szCs w:val="20"/>
        </w:rPr>
      </w:pPr>
      <w:r w:rsidRPr="00CC4FC2">
        <w:rPr>
          <w:sz w:val="20"/>
          <w:szCs w:val="20"/>
        </w:rPr>
        <w:t>Auditor's report (audit or review report)</w:t>
      </w:r>
      <w:r w:rsidR="00A37510">
        <w:rPr>
          <w:sz w:val="20"/>
          <w:szCs w:val="20"/>
        </w:rPr>
        <w:t>;</w:t>
      </w:r>
    </w:p>
    <w:p w14:paraId="7AB80199" w14:textId="77777777" w:rsidR="009B77C1" w:rsidRDefault="00CC4FC2" w:rsidP="00F069A2">
      <w:pPr>
        <w:pStyle w:val="Maintext"/>
        <w:numPr>
          <w:ilvl w:val="0"/>
          <w:numId w:val="25"/>
        </w:numPr>
        <w:rPr>
          <w:sz w:val="20"/>
          <w:szCs w:val="20"/>
        </w:rPr>
      </w:pPr>
      <w:r w:rsidRPr="00CC4FC2">
        <w:rPr>
          <w:sz w:val="20"/>
          <w:szCs w:val="20"/>
        </w:rPr>
        <w:t>The primary financial statements f</w:t>
      </w:r>
      <w:r w:rsidR="00C03667">
        <w:rPr>
          <w:sz w:val="20"/>
          <w:szCs w:val="20"/>
        </w:rPr>
        <w:t>or the consolidated entity and/</w:t>
      </w:r>
      <w:r w:rsidRPr="00CC4FC2">
        <w:rPr>
          <w:sz w:val="20"/>
          <w:szCs w:val="20"/>
        </w:rPr>
        <w:t xml:space="preserve">or parent entity in accordance with the </w:t>
      </w:r>
      <w:r w:rsidR="00C03667">
        <w:rPr>
          <w:sz w:val="20"/>
          <w:szCs w:val="20"/>
        </w:rPr>
        <w:t xml:space="preserve">Act </w:t>
      </w:r>
      <w:r w:rsidRPr="00CC4FC2">
        <w:rPr>
          <w:sz w:val="20"/>
          <w:szCs w:val="20"/>
        </w:rPr>
        <w:t xml:space="preserve">and Accounting Standards' requirements </w:t>
      </w:r>
      <w:r w:rsidR="00A958F2">
        <w:rPr>
          <w:sz w:val="20"/>
          <w:szCs w:val="20"/>
        </w:rPr>
        <w:t>comprising</w:t>
      </w:r>
      <w:r w:rsidRPr="00CC4FC2">
        <w:rPr>
          <w:sz w:val="20"/>
          <w:szCs w:val="20"/>
        </w:rPr>
        <w:t>:</w:t>
      </w:r>
    </w:p>
    <w:p w14:paraId="00224AF0" w14:textId="77777777" w:rsidR="009B77C1" w:rsidRDefault="00CC4FC2" w:rsidP="00F069A2">
      <w:pPr>
        <w:pStyle w:val="Maintext"/>
        <w:numPr>
          <w:ilvl w:val="0"/>
          <w:numId w:val="31"/>
        </w:numPr>
        <w:rPr>
          <w:sz w:val="20"/>
          <w:szCs w:val="20"/>
        </w:rPr>
      </w:pPr>
      <w:r w:rsidRPr="00CC4FC2">
        <w:rPr>
          <w:sz w:val="20"/>
          <w:szCs w:val="20"/>
        </w:rPr>
        <w:t>Income statement</w:t>
      </w:r>
      <w:r w:rsidR="00A37510">
        <w:rPr>
          <w:sz w:val="20"/>
          <w:szCs w:val="20"/>
        </w:rPr>
        <w:t>;</w:t>
      </w:r>
    </w:p>
    <w:p w14:paraId="3EA19282" w14:textId="77777777" w:rsidR="009B77C1" w:rsidRDefault="00CC4FC2" w:rsidP="00F069A2">
      <w:pPr>
        <w:pStyle w:val="Maintext"/>
        <w:numPr>
          <w:ilvl w:val="0"/>
          <w:numId w:val="31"/>
        </w:numPr>
        <w:rPr>
          <w:sz w:val="20"/>
          <w:szCs w:val="20"/>
        </w:rPr>
      </w:pPr>
      <w:r w:rsidRPr="00CC4FC2">
        <w:rPr>
          <w:sz w:val="20"/>
          <w:szCs w:val="20"/>
        </w:rPr>
        <w:t>Statement of financial position</w:t>
      </w:r>
      <w:r w:rsidR="00A37510">
        <w:rPr>
          <w:sz w:val="20"/>
          <w:szCs w:val="20"/>
        </w:rPr>
        <w:t>;</w:t>
      </w:r>
    </w:p>
    <w:p w14:paraId="577E5D58" w14:textId="77777777" w:rsidR="009B77C1" w:rsidRDefault="00CC4FC2" w:rsidP="00F069A2">
      <w:pPr>
        <w:pStyle w:val="Maintext"/>
        <w:numPr>
          <w:ilvl w:val="0"/>
          <w:numId w:val="31"/>
        </w:numPr>
        <w:rPr>
          <w:sz w:val="20"/>
          <w:szCs w:val="20"/>
        </w:rPr>
      </w:pPr>
      <w:r w:rsidRPr="00CC4FC2">
        <w:rPr>
          <w:sz w:val="20"/>
          <w:szCs w:val="20"/>
        </w:rPr>
        <w:t>Statement of comprehensive income</w:t>
      </w:r>
      <w:r w:rsidR="00A37510">
        <w:rPr>
          <w:sz w:val="20"/>
          <w:szCs w:val="20"/>
        </w:rPr>
        <w:t>;</w:t>
      </w:r>
    </w:p>
    <w:p w14:paraId="25CFD236" w14:textId="77777777" w:rsidR="009B77C1" w:rsidRDefault="00CC4FC2" w:rsidP="00F069A2">
      <w:pPr>
        <w:pStyle w:val="Maintext"/>
        <w:numPr>
          <w:ilvl w:val="0"/>
          <w:numId w:val="31"/>
        </w:numPr>
        <w:rPr>
          <w:sz w:val="20"/>
          <w:szCs w:val="20"/>
        </w:rPr>
      </w:pPr>
      <w:r w:rsidRPr="00CC4FC2">
        <w:rPr>
          <w:sz w:val="20"/>
          <w:szCs w:val="20"/>
        </w:rPr>
        <w:t>Statement of changes in equity</w:t>
      </w:r>
      <w:r w:rsidR="00A37510">
        <w:rPr>
          <w:sz w:val="20"/>
          <w:szCs w:val="20"/>
        </w:rPr>
        <w:t>; and</w:t>
      </w:r>
    </w:p>
    <w:p w14:paraId="30C021E8" w14:textId="77777777" w:rsidR="009B77C1" w:rsidRDefault="00CC4FC2" w:rsidP="00F069A2">
      <w:pPr>
        <w:pStyle w:val="Maintext"/>
        <w:numPr>
          <w:ilvl w:val="0"/>
          <w:numId w:val="31"/>
        </w:numPr>
        <w:rPr>
          <w:sz w:val="20"/>
          <w:szCs w:val="20"/>
        </w:rPr>
      </w:pPr>
      <w:r w:rsidRPr="00CC4FC2">
        <w:rPr>
          <w:sz w:val="20"/>
          <w:szCs w:val="20"/>
        </w:rPr>
        <w:t>Statement of cash flows</w:t>
      </w:r>
      <w:r w:rsidR="00A37510">
        <w:rPr>
          <w:sz w:val="20"/>
          <w:szCs w:val="20"/>
        </w:rPr>
        <w:t>.</w:t>
      </w:r>
    </w:p>
    <w:p w14:paraId="1129F7BF" w14:textId="6F717B3B" w:rsidR="00CC4FC2" w:rsidRPr="00D100AE" w:rsidRDefault="00CC4FC2" w:rsidP="00F069A2">
      <w:pPr>
        <w:pStyle w:val="Maintext"/>
        <w:numPr>
          <w:ilvl w:val="0"/>
          <w:numId w:val="25"/>
        </w:numPr>
        <w:rPr>
          <w:sz w:val="20"/>
          <w:szCs w:val="20"/>
        </w:rPr>
      </w:pPr>
      <w:r w:rsidRPr="00CC4FC2">
        <w:rPr>
          <w:sz w:val="20"/>
          <w:szCs w:val="20"/>
        </w:rPr>
        <w:t>Notes to financial statements (disclosure</w:t>
      </w:r>
      <w:r w:rsidR="003E1C81">
        <w:rPr>
          <w:sz w:val="20"/>
          <w:szCs w:val="20"/>
        </w:rPr>
        <w:t>s</w:t>
      </w:r>
      <w:r w:rsidRPr="00CC4FC2">
        <w:rPr>
          <w:sz w:val="20"/>
          <w:szCs w:val="20"/>
        </w:rPr>
        <w:t xml:space="preserve"> required by regulations, notes required by accounting standards and any other information necessary to give a true and fair view)</w:t>
      </w:r>
      <w:r w:rsidR="00A37510">
        <w:rPr>
          <w:sz w:val="20"/>
          <w:szCs w:val="20"/>
        </w:rPr>
        <w:t>.</w:t>
      </w:r>
    </w:p>
    <w:p w14:paraId="6112630C" w14:textId="77777777" w:rsidR="00086DFD" w:rsidRPr="00086DFD" w:rsidRDefault="009036F7" w:rsidP="009036F7">
      <w:pPr>
        <w:pStyle w:val="Head2"/>
        <w:tabs>
          <w:tab w:val="clear" w:pos="1144"/>
          <w:tab w:val="num" w:pos="426"/>
        </w:tabs>
        <w:ind w:left="426" w:hanging="426"/>
        <w:rPr>
          <w:szCs w:val="22"/>
        </w:rPr>
      </w:pPr>
      <w:bookmarkStart w:id="117" w:name="_Toc262109256"/>
      <w:bookmarkStart w:id="118" w:name="_Toc205457947"/>
      <w:r w:rsidRPr="008053D0">
        <w:t>Comparisons with other SBR repor</w:t>
      </w:r>
      <w:bookmarkEnd w:id="117"/>
      <w:r w:rsidR="00086DFD">
        <w:t>ts</w:t>
      </w:r>
      <w:bookmarkEnd w:id="118"/>
    </w:p>
    <w:p w14:paraId="4AD9AE89" w14:textId="65186D10" w:rsidR="009036F7" w:rsidRDefault="009036F7" w:rsidP="00B80E5D">
      <w:pPr>
        <w:rPr>
          <w:sz w:val="20"/>
          <w:szCs w:val="20"/>
        </w:rPr>
      </w:pPr>
      <w:r w:rsidRPr="00086DFD">
        <w:rPr>
          <w:sz w:val="20"/>
          <w:szCs w:val="20"/>
        </w:rPr>
        <w:t xml:space="preserve">The </w:t>
      </w:r>
      <w:r w:rsidR="00057B9A">
        <w:rPr>
          <w:sz w:val="20"/>
          <w:szCs w:val="20"/>
        </w:rPr>
        <w:t>financial reports</w:t>
      </w:r>
      <w:r w:rsidRPr="00086DFD">
        <w:rPr>
          <w:sz w:val="20"/>
          <w:szCs w:val="20"/>
        </w:rPr>
        <w:t xml:space="preserve">, due to its nature and design, </w:t>
      </w:r>
      <w:r w:rsidR="00057B9A">
        <w:rPr>
          <w:sz w:val="20"/>
          <w:szCs w:val="20"/>
        </w:rPr>
        <w:t>have</w:t>
      </w:r>
      <w:r w:rsidR="00057B9A" w:rsidRPr="00086DFD">
        <w:rPr>
          <w:sz w:val="20"/>
          <w:szCs w:val="20"/>
        </w:rPr>
        <w:t xml:space="preserve"> </w:t>
      </w:r>
      <w:r w:rsidRPr="00086DFD">
        <w:rPr>
          <w:sz w:val="20"/>
          <w:szCs w:val="20"/>
        </w:rPr>
        <w:t xml:space="preserve">a number of differing characteristics to the other </w:t>
      </w:r>
      <w:r w:rsidR="00DD4231" w:rsidRPr="00086DFD">
        <w:rPr>
          <w:sz w:val="20"/>
          <w:szCs w:val="20"/>
        </w:rPr>
        <w:t>report</w:t>
      </w:r>
      <w:r w:rsidR="00DD4231">
        <w:rPr>
          <w:sz w:val="20"/>
          <w:szCs w:val="20"/>
        </w:rPr>
        <w:t>s</w:t>
      </w:r>
      <w:r w:rsidR="00B80E5D">
        <w:rPr>
          <w:sz w:val="20"/>
          <w:szCs w:val="20"/>
        </w:rPr>
        <w:t xml:space="preserve"> </w:t>
      </w:r>
      <w:r w:rsidRPr="00086DFD">
        <w:rPr>
          <w:sz w:val="20"/>
          <w:szCs w:val="20"/>
        </w:rPr>
        <w:t>within the SBR program</w:t>
      </w:r>
      <w:r w:rsidR="00B80E5D">
        <w:rPr>
          <w:sz w:val="20"/>
          <w:szCs w:val="20"/>
        </w:rPr>
        <w:t>.</w:t>
      </w:r>
    </w:p>
    <w:p w14:paraId="1E9130EA" w14:textId="77777777" w:rsidR="00B80E5D" w:rsidRPr="008053D0" w:rsidRDefault="00B80E5D" w:rsidP="00B80E5D"/>
    <w:p w14:paraId="1C09A4B9" w14:textId="74593483" w:rsidR="009036F7" w:rsidRPr="00086DFD" w:rsidRDefault="009036F7" w:rsidP="009036F7">
      <w:pPr>
        <w:autoSpaceDE w:val="0"/>
        <w:autoSpaceDN w:val="0"/>
        <w:adjustRightInd w:val="0"/>
        <w:rPr>
          <w:rFonts w:ascii="Helv" w:eastAsia="MS Mincho" w:hAnsi="Helv" w:cs="Helv"/>
          <w:sz w:val="20"/>
          <w:szCs w:val="20"/>
          <w:lang w:eastAsia="ja-JP"/>
        </w:rPr>
      </w:pPr>
      <w:r w:rsidRPr="00086DFD">
        <w:rPr>
          <w:rFonts w:cs="Arial"/>
          <w:sz w:val="20"/>
          <w:szCs w:val="20"/>
        </w:rPr>
        <w:t xml:space="preserve">Financial reports are not developed and presented in a fixed form basis in the way that other government forms are (e.g. Tax File Number Declaration).  Although the Australian Accounting Standards do refer to minimum and prescribed disclosures that are required to be made in the financial </w:t>
      </w:r>
      <w:r w:rsidRPr="00086DFD">
        <w:rPr>
          <w:sz w:val="20"/>
          <w:szCs w:val="20"/>
        </w:rPr>
        <w:t xml:space="preserve">report the form of the disclosures may vary between entities due to the different circumstances of each entity and because many of the disclosures required under the Standards are ‘principles based’.  Additional disclosures are also required to meet the </w:t>
      </w:r>
      <w:r w:rsidR="002541C9">
        <w:rPr>
          <w:sz w:val="20"/>
          <w:szCs w:val="20"/>
        </w:rPr>
        <w:t>'</w:t>
      </w:r>
      <w:r w:rsidRPr="00086DFD">
        <w:rPr>
          <w:sz w:val="20"/>
          <w:szCs w:val="20"/>
        </w:rPr>
        <w:t>true and fair view’ requirement.</w:t>
      </w:r>
    </w:p>
    <w:p w14:paraId="390116B6" w14:textId="77777777" w:rsidR="009036F7" w:rsidRPr="00086DFD" w:rsidRDefault="009036F7" w:rsidP="009036F7">
      <w:pPr>
        <w:jc w:val="both"/>
        <w:rPr>
          <w:sz w:val="20"/>
          <w:szCs w:val="20"/>
        </w:rPr>
      </w:pPr>
    </w:p>
    <w:p w14:paraId="79D12539" w14:textId="5504F281" w:rsidR="009036F7" w:rsidRPr="00086DFD" w:rsidRDefault="009036F7" w:rsidP="009036F7">
      <w:pPr>
        <w:jc w:val="both"/>
        <w:rPr>
          <w:sz w:val="20"/>
          <w:szCs w:val="20"/>
        </w:rPr>
      </w:pPr>
      <w:r w:rsidRPr="00086DFD">
        <w:rPr>
          <w:sz w:val="20"/>
          <w:szCs w:val="20"/>
        </w:rPr>
        <w:t xml:space="preserve">The fact that the content of the financial report is not restricted means the </w:t>
      </w:r>
      <w:r w:rsidR="002541C9">
        <w:rPr>
          <w:sz w:val="20"/>
          <w:szCs w:val="20"/>
        </w:rPr>
        <w:t>T</w:t>
      </w:r>
      <w:r w:rsidRPr="00086DFD">
        <w:rPr>
          <w:sz w:val="20"/>
          <w:szCs w:val="20"/>
        </w:rPr>
        <w:t xml:space="preserve">axonomy could </w:t>
      </w:r>
      <w:r w:rsidR="00770C06">
        <w:rPr>
          <w:sz w:val="20"/>
          <w:szCs w:val="20"/>
        </w:rPr>
        <w:t>not cover all possible</w:t>
      </w:r>
      <w:r w:rsidRPr="00086DFD">
        <w:rPr>
          <w:sz w:val="20"/>
          <w:szCs w:val="20"/>
        </w:rPr>
        <w:t xml:space="preserve"> disclosures</w:t>
      </w:r>
      <w:r w:rsidR="00770C06">
        <w:rPr>
          <w:sz w:val="20"/>
          <w:szCs w:val="20"/>
        </w:rPr>
        <w:t xml:space="preserve"> as </w:t>
      </w:r>
      <w:r w:rsidR="00A3496C">
        <w:rPr>
          <w:sz w:val="20"/>
          <w:szCs w:val="20"/>
        </w:rPr>
        <w:t>the entities</w:t>
      </w:r>
      <w:r w:rsidR="00770C06">
        <w:rPr>
          <w:sz w:val="20"/>
          <w:szCs w:val="20"/>
        </w:rPr>
        <w:t xml:space="preserve"> may need when they apply the accounting principles.</w:t>
      </w:r>
      <w:r w:rsidRPr="00086DFD">
        <w:rPr>
          <w:sz w:val="20"/>
          <w:szCs w:val="20"/>
        </w:rPr>
        <w:t xml:space="preserve"> </w:t>
      </w:r>
    </w:p>
    <w:p w14:paraId="678DE521" w14:textId="77777777" w:rsidR="009036F7" w:rsidRPr="00086DFD" w:rsidRDefault="009036F7" w:rsidP="009036F7">
      <w:pPr>
        <w:jc w:val="both"/>
        <w:rPr>
          <w:sz w:val="20"/>
          <w:szCs w:val="20"/>
        </w:rPr>
      </w:pPr>
    </w:p>
    <w:p w14:paraId="499C12B5" w14:textId="77777777" w:rsidR="009036F7" w:rsidRPr="00086DFD" w:rsidRDefault="009036F7" w:rsidP="009036F7">
      <w:pPr>
        <w:jc w:val="both"/>
        <w:rPr>
          <w:sz w:val="20"/>
          <w:szCs w:val="20"/>
        </w:rPr>
      </w:pPr>
      <w:r w:rsidRPr="00086DFD">
        <w:rPr>
          <w:sz w:val="20"/>
          <w:szCs w:val="20"/>
        </w:rPr>
        <w:t xml:space="preserve">The elements within the </w:t>
      </w:r>
      <w:r w:rsidR="000477CF">
        <w:rPr>
          <w:sz w:val="20"/>
          <w:szCs w:val="20"/>
        </w:rPr>
        <w:t>IFRS AU Taxonomy</w:t>
      </w:r>
      <w:r w:rsidRPr="00086DFD">
        <w:rPr>
          <w:sz w:val="20"/>
          <w:szCs w:val="20"/>
        </w:rPr>
        <w:t xml:space="preserve"> have been designed to best encompass the free-form nature of the financial report. The design and development of these elements is discussed in detail below.</w:t>
      </w:r>
    </w:p>
    <w:p w14:paraId="03867CEE" w14:textId="35CD79CF" w:rsidR="009036F7" w:rsidRPr="008053D0" w:rsidRDefault="00F55465" w:rsidP="00EC3EE2">
      <w:pPr>
        <w:pStyle w:val="Head2"/>
        <w:tabs>
          <w:tab w:val="clear" w:pos="1144"/>
          <w:tab w:val="num" w:pos="426"/>
        </w:tabs>
        <w:ind w:left="426" w:hanging="426"/>
      </w:pPr>
      <w:bookmarkStart w:id="119" w:name="_Toc261933155"/>
      <w:bookmarkStart w:id="120" w:name="_Toc261934226"/>
      <w:bookmarkStart w:id="121" w:name="_Toc261934405"/>
      <w:bookmarkStart w:id="122" w:name="_Toc261934583"/>
      <w:bookmarkStart w:id="123" w:name="_Toc261934760"/>
      <w:bookmarkStart w:id="124" w:name="_Toc261935220"/>
      <w:bookmarkStart w:id="125" w:name="_Toc261935318"/>
      <w:bookmarkStart w:id="126" w:name="_Toc261935418"/>
      <w:bookmarkStart w:id="127" w:name="_Toc261937628"/>
      <w:bookmarkStart w:id="128" w:name="_Toc261961178"/>
      <w:bookmarkStart w:id="129" w:name="_Toc262109056"/>
      <w:bookmarkStart w:id="130" w:name="_Toc262109159"/>
      <w:bookmarkStart w:id="131" w:name="_Toc262109261"/>
      <w:bookmarkStart w:id="132" w:name="_Toc262109262"/>
      <w:bookmarkStart w:id="133" w:name="_Toc205457948"/>
      <w:bookmarkEnd w:id="119"/>
      <w:bookmarkEnd w:id="120"/>
      <w:bookmarkEnd w:id="121"/>
      <w:bookmarkEnd w:id="122"/>
      <w:bookmarkEnd w:id="123"/>
      <w:bookmarkEnd w:id="124"/>
      <w:bookmarkEnd w:id="125"/>
      <w:bookmarkEnd w:id="126"/>
      <w:bookmarkEnd w:id="127"/>
      <w:bookmarkEnd w:id="128"/>
      <w:bookmarkEnd w:id="129"/>
      <w:bookmarkEnd w:id="130"/>
      <w:bookmarkEnd w:id="131"/>
      <w:r>
        <w:t xml:space="preserve">Voluntary </w:t>
      </w:r>
      <w:r w:rsidR="009036F7" w:rsidRPr="008053D0">
        <w:t>Lodgement</w:t>
      </w:r>
      <w:bookmarkEnd w:id="132"/>
      <w:bookmarkEnd w:id="133"/>
    </w:p>
    <w:p w14:paraId="3823D21E" w14:textId="693CCB6F" w:rsidR="000F72F0" w:rsidRDefault="00454DA4" w:rsidP="000F72F0">
      <w:pPr>
        <w:pStyle w:val="Maintext"/>
        <w:rPr>
          <w:sz w:val="20"/>
          <w:szCs w:val="20"/>
        </w:rPr>
      </w:pPr>
      <w:r>
        <w:rPr>
          <w:sz w:val="20"/>
          <w:szCs w:val="20"/>
        </w:rPr>
        <w:t>Entities</w:t>
      </w:r>
      <w:r w:rsidR="00EC3EE2">
        <w:rPr>
          <w:sz w:val="20"/>
          <w:szCs w:val="20"/>
        </w:rPr>
        <w:t xml:space="preserve"> can </w:t>
      </w:r>
      <w:r w:rsidR="00EC3EE2" w:rsidRPr="00EC3EE2">
        <w:rPr>
          <w:sz w:val="20"/>
          <w:szCs w:val="20"/>
        </w:rPr>
        <w:t xml:space="preserve">voluntarily lodge </w:t>
      </w:r>
      <w:r w:rsidR="002271AB">
        <w:rPr>
          <w:sz w:val="20"/>
          <w:szCs w:val="20"/>
        </w:rPr>
        <w:t>digital financial reports</w:t>
      </w:r>
      <w:r w:rsidR="00EC3EE2" w:rsidRPr="00EC3EE2">
        <w:rPr>
          <w:sz w:val="20"/>
          <w:szCs w:val="20"/>
        </w:rPr>
        <w:t xml:space="preserve"> </w:t>
      </w:r>
      <w:r>
        <w:rPr>
          <w:sz w:val="20"/>
          <w:szCs w:val="20"/>
        </w:rPr>
        <w:t xml:space="preserve">(i.e. instance document) </w:t>
      </w:r>
      <w:r w:rsidR="00EC3EE2" w:rsidRPr="00EC3EE2">
        <w:rPr>
          <w:sz w:val="20"/>
          <w:szCs w:val="20"/>
        </w:rPr>
        <w:t xml:space="preserve">with ASIC by emailing </w:t>
      </w:r>
      <w:r w:rsidR="00EC3EE2">
        <w:rPr>
          <w:sz w:val="20"/>
          <w:szCs w:val="20"/>
        </w:rPr>
        <w:t xml:space="preserve">the </w:t>
      </w:r>
      <w:r>
        <w:rPr>
          <w:sz w:val="20"/>
          <w:szCs w:val="20"/>
        </w:rPr>
        <w:t>them</w:t>
      </w:r>
      <w:r w:rsidR="00EC3EE2">
        <w:rPr>
          <w:sz w:val="20"/>
          <w:szCs w:val="20"/>
        </w:rPr>
        <w:t xml:space="preserve"> to</w:t>
      </w:r>
      <w:r w:rsidR="00EC3EE2" w:rsidRPr="00EC3EE2">
        <w:rPr>
          <w:sz w:val="20"/>
          <w:szCs w:val="20"/>
        </w:rPr>
        <w:t xml:space="preserve">: </w:t>
      </w:r>
      <w:hyperlink r:id="rId26" w:history="1">
        <w:r w:rsidR="00634AB9" w:rsidRPr="00585FCD">
          <w:rPr>
            <w:rStyle w:val="Hyperlink"/>
            <w:noProof w:val="0"/>
            <w:sz w:val="20"/>
            <w:szCs w:val="20"/>
          </w:rPr>
          <w:t>xbrl_financial_reports@asic.gov.au</w:t>
        </w:r>
      </w:hyperlink>
      <w:r w:rsidR="00634AB9">
        <w:rPr>
          <w:sz w:val="20"/>
          <w:szCs w:val="20"/>
        </w:rPr>
        <w:t xml:space="preserve"> . When the entities voluntarily lodge an </w:t>
      </w:r>
      <w:r w:rsidR="00634AB9" w:rsidRPr="00D07281">
        <w:rPr>
          <w:sz w:val="20"/>
          <w:szCs w:val="20"/>
        </w:rPr>
        <w:t xml:space="preserve">XBRL </w:t>
      </w:r>
      <w:r w:rsidR="00634AB9">
        <w:rPr>
          <w:sz w:val="20"/>
          <w:szCs w:val="20"/>
        </w:rPr>
        <w:t xml:space="preserve">or iXBRL </w:t>
      </w:r>
      <w:r w:rsidR="00634AB9" w:rsidRPr="00D07281">
        <w:rPr>
          <w:sz w:val="20"/>
          <w:szCs w:val="20"/>
        </w:rPr>
        <w:t>instance document</w:t>
      </w:r>
      <w:r w:rsidR="00634AB9">
        <w:rPr>
          <w:sz w:val="20"/>
          <w:szCs w:val="20"/>
        </w:rPr>
        <w:t>s</w:t>
      </w:r>
      <w:r w:rsidR="00634AB9" w:rsidRPr="00D07281">
        <w:rPr>
          <w:sz w:val="20"/>
          <w:szCs w:val="20"/>
        </w:rPr>
        <w:t xml:space="preserve">, </w:t>
      </w:r>
      <w:r w:rsidR="00634AB9">
        <w:rPr>
          <w:sz w:val="20"/>
          <w:szCs w:val="20"/>
        </w:rPr>
        <w:t xml:space="preserve">they </w:t>
      </w:r>
      <w:r w:rsidR="00634AB9" w:rsidRPr="00D07281">
        <w:rPr>
          <w:sz w:val="20"/>
          <w:szCs w:val="20"/>
        </w:rPr>
        <w:t xml:space="preserve">must also lodge the financial report </w:t>
      </w:r>
      <w:r w:rsidR="00634AB9">
        <w:rPr>
          <w:sz w:val="20"/>
          <w:szCs w:val="20"/>
        </w:rPr>
        <w:t>either as paper lodgements or as</w:t>
      </w:r>
      <w:r w:rsidR="00634AB9" w:rsidRPr="00D07281">
        <w:rPr>
          <w:sz w:val="20"/>
          <w:szCs w:val="20"/>
        </w:rPr>
        <w:t xml:space="preserve"> PDF </w:t>
      </w:r>
      <w:r w:rsidR="00634AB9">
        <w:rPr>
          <w:sz w:val="20"/>
          <w:szCs w:val="20"/>
        </w:rPr>
        <w:t>attachments to fulfil their reporting requirements</w:t>
      </w:r>
      <w:r w:rsidR="00634AB9" w:rsidRPr="00D07281">
        <w:rPr>
          <w:sz w:val="20"/>
          <w:szCs w:val="20"/>
        </w:rPr>
        <w:t xml:space="preserve">. </w:t>
      </w:r>
      <w:r w:rsidR="000F72F0" w:rsidRPr="00D07281">
        <w:rPr>
          <w:sz w:val="20"/>
          <w:szCs w:val="20"/>
        </w:rPr>
        <w:t>Although the financial report</w:t>
      </w:r>
      <w:r w:rsidR="000F72F0">
        <w:rPr>
          <w:sz w:val="20"/>
          <w:szCs w:val="20"/>
        </w:rPr>
        <w:t>s</w:t>
      </w:r>
      <w:r w:rsidR="000F72F0" w:rsidRPr="00D07281">
        <w:rPr>
          <w:sz w:val="20"/>
          <w:szCs w:val="20"/>
        </w:rPr>
        <w:t xml:space="preserve"> may be required to be audited under existing requirements, the XBRL </w:t>
      </w:r>
      <w:r w:rsidR="000F72F0">
        <w:rPr>
          <w:sz w:val="20"/>
          <w:szCs w:val="20"/>
        </w:rPr>
        <w:t xml:space="preserve">tags in </w:t>
      </w:r>
      <w:r w:rsidR="000F72F0" w:rsidRPr="00D07281">
        <w:rPr>
          <w:sz w:val="20"/>
          <w:szCs w:val="20"/>
        </w:rPr>
        <w:t>instance document</w:t>
      </w:r>
      <w:r w:rsidR="000F72F0">
        <w:rPr>
          <w:sz w:val="20"/>
          <w:szCs w:val="20"/>
        </w:rPr>
        <w:t>s</w:t>
      </w:r>
      <w:r w:rsidR="000F72F0" w:rsidRPr="00D07281">
        <w:rPr>
          <w:sz w:val="20"/>
          <w:szCs w:val="20"/>
        </w:rPr>
        <w:t xml:space="preserve"> </w:t>
      </w:r>
      <w:r w:rsidR="000F72F0">
        <w:rPr>
          <w:sz w:val="20"/>
          <w:szCs w:val="20"/>
        </w:rPr>
        <w:t>are</w:t>
      </w:r>
      <w:r w:rsidR="000F72F0" w:rsidRPr="00D07281">
        <w:rPr>
          <w:sz w:val="20"/>
          <w:szCs w:val="20"/>
        </w:rPr>
        <w:t xml:space="preserve"> not required to be audited.</w:t>
      </w:r>
    </w:p>
    <w:p w14:paraId="718CEB65" w14:textId="6B64707D" w:rsidR="00EC3EE2" w:rsidRDefault="00EC3EE2" w:rsidP="009036F7">
      <w:pPr>
        <w:jc w:val="both"/>
        <w:rPr>
          <w:sz w:val="20"/>
          <w:szCs w:val="20"/>
        </w:rPr>
      </w:pPr>
    </w:p>
    <w:p w14:paraId="2837BB06" w14:textId="77777777" w:rsidR="000F72F0" w:rsidRPr="00D07281" w:rsidRDefault="000F72F0" w:rsidP="000F72F0">
      <w:pPr>
        <w:pStyle w:val="Maintext"/>
        <w:rPr>
          <w:sz w:val="20"/>
          <w:szCs w:val="20"/>
        </w:rPr>
      </w:pPr>
      <w:r w:rsidRPr="00EC3EE2">
        <w:rPr>
          <w:sz w:val="20"/>
          <w:szCs w:val="20"/>
        </w:rPr>
        <w:t xml:space="preserve">Listed companies who voluntarily prepare digital financial reports </w:t>
      </w:r>
      <w:r>
        <w:rPr>
          <w:sz w:val="20"/>
          <w:szCs w:val="20"/>
        </w:rPr>
        <w:t xml:space="preserve">using this taxonomy </w:t>
      </w:r>
      <w:r w:rsidRPr="00EC3EE2">
        <w:rPr>
          <w:sz w:val="20"/>
          <w:szCs w:val="20"/>
        </w:rPr>
        <w:t>are encouraged to publish these financial reports in their websites.</w:t>
      </w:r>
    </w:p>
    <w:p w14:paraId="24CB4038" w14:textId="77777777" w:rsidR="00EC3EE2" w:rsidRPr="00D07281" w:rsidRDefault="00EC3EE2" w:rsidP="009036F7">
      <w:pPr>
        <w:jc w:val="both"/>
        <w:rPr>
          <w:sz w:val="20"/>
          <w:szCs w:val="20"/>
        </w:rPr>
      </w:pPr>
    </w:p>
    <w:p w14:paraId="0508E32E" w14:textId="4100109C" w:rsidR="00EC3EE2" w:rsidRDefault="00EC3EE2" w:rsidP="009036F7">
      <w:pPr>
        <w:pStyle w:val="Maintext"/>
        <w:rPr>
          <w:sz w:val="20"/>
          <w:szCs w:val="20"/>
        </w:rPr>
      </w:pPr>
    </w:p>
    <w:p w14:paraId="0C4E8554" w14:textId="77777777" w:rsidR="007E2546" w:rsidRPr="00D07281" w:rsidRDefault="007E2546" w:rsidP="007E2546">
      <w:pPr>
        <w:pStyle w:val="Head2"/>
        <w:numPr>
          <w:ilvl w:val="0"/>
          <w:numId w:val="0"/>
        </w:numPr>
        <w:ind w:left="426"/>
        <w:rPr>
          <w:sz w:val="20"/>
          <w:szCs w:val="20"/>
        </w:rPr>
      </w:pPr>
    </w:p>
    <w:p w14:paraId="3B5D98BE" w14:textId="77777777" w:rsidR="00EF0ED1" w:rsidRPr="00EF0ED1" w:rsidRDefault="003C3983" w:rsidP="00B94070">
      <w:pPr>
        <w:pStyle w:val="Head1"/>
        <w:tabs>
          <w:tab w:val="clear" w:pos="1928"/>
          <w:tab w:val="num" w:pos="709"/>
        </w:tabs>
        <w:ind w:hanging="1850"/>
      </w:pPr>
      <w:bookmarkStart w:id="134" w:name="_Toc205457949"/>
      <w:r>
        <w:t>IFRS</w:t>
      </w:r>
      <w:r w:rsidR="00086DFD">
        <w:t xml:space="preserve"> AU</w:t>
      </w:r>
      <w:r>
        <w:t xml:space="preserve"> Taxonomy</w:t>
      </w:r>
      <w:r w:rsidR="006B5616">
        <w:t xml:space="preserve"> </w:t>
      </w:r>
      <w:r w:rsidR="00F572E7">
        <w:t>Architecture</w:t>
      </w:r>
      <w:bookmarkEnd w:id="134"/>
    </w:p>
    <w:p w14:paraId="10B997D4" w14:textId="77777777" w:rsidR="001B7B13" w:rsidRDefault="00FB1E0E" w:rsidP="00B94070">
      <w:pPr>
        <w:pStyle w:val="Head2"/>
        <w:tabs>
          <w:tab w:val="clear" w:pos="1144"/>
          <w:tab w:val="num" w:pos="709"/>
        </w:tabs>
        <w:ind w:left="709" w:hanging="709"/>
      </w:pPr>
      <w:bookmarkStart w:id="135" w:name="_Toc261425825"/>
      <w:bookmarkStart w:id="136" w:name="_Toc262111464"/>
      <w:bookmarkStart w:id="137" w:name="_Toc262121431"/>
      <w:bookmarkStart w:id="138" w:name="_Toc261425826"/>
      <w:bookmarkStart w:id="139" w:name="_Toc262111465"/>
      <w:bookmarkStart w:id="140" w:name="_Toc262121432"/>
      <w:bookmarkStart w:id="141" w:name="_Toc261425827"/>
      <w:bookmarkStart w:id="142" w:name="_Toc262111466"/>
      <w:bookmarkStart w:id="143" w:name="_Toc262121433"/>
      <w:bookmarkStart w:id="144" w:name="_Toc261425828"/>
      <w:bookmarkStart w:id="145" w:name="_Toc262111467"/>
      <w:bookmarkStart w:id="146" w:name="_Toc262121434"/>
      <w:bookmarkStart w:id="147" w:name="_Toc261425829"/>
      <w:bookmarkStart w:id="148" w:name="_Toc262111468"/>
      <w:bookmarkStart w:id="149" w:name="_Toc262121435"/>
      <w:bookmarkStart w:id="150" w:name="_Toc205457950"/>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t xml:space="preserve">Australian </w:t>
      </w:r>
      <w:r w:rsidR="006B00E9">
        <w:t>E</w:t>
      </w:r>
      <w:r w:rsidR="001B7B13">
        <w:t>xtension of</w:t>
      </w:r>
      <w:r w:rsidR="00BA7C82">
        <w:t xml:space="preserve"> </w:t>
      </w:r>
      <w:r w:rsidR="00977F4F">
        <w:t>the IFRS</w:t>
      </w:r>
      <w:r w:rsidR="006B00E9">
        <w:t xml:space="preserve"> T</w:t>
      </w:r>
      <w:r w:rsidR="001B7B13">
        <w:t>axonomy</w:t>
      </w:r>
      <w:bookmarkEnd w:id="150"/>
      <w:r w:rsidR="00786C17">
        <w:t xml:space="preserve"> </w:t>
      </w:r>
    </w:p>
    <w:p w14:paraId="3B025B96" w14:textId="77777777" w:rsidR="00086DFD" w:rsidRDefault="00086DFD" w:rsidP="00086DFD">
      <w:pPr>
        <w:pStyle w:val="Head3"/>
      </w:pPr>
      <w:bookmarkStart w:id="151" w:name="_Toc205457951"/>
      <w:r>
        <w:t>Background</w:t>
      </w:r>
      <w:bookmarkEnd w:id="151"/>
    </w:p>
    <w:p w14:paraId="64804C7A" w14:textId="77777777" w:rsidR="003178BC" w:rsidRPr="00086DFD" w:rsidRDefault="003178BC" w:rsidP="003178BC">
      <w:pPr>
        <w:pStyle w:val="Maintext"/>
        <w:rPr>
          <w:sz w:val="20"/>
          <w:szCs w:val="20"/>
        </w:rPr>
      </w:pPr>
      <w:r w:rsidRPr="00086DFD">
        <w:rPr>
          <w:sz w:val="20"/>
          <w:szCs w:val="20"/>
        </w:rPr>
        <w:t xml:space="preserve">The </w:t>
      </w:r>
      <w:r w:rsidR="000B03DB">
        <w:rPr>
          <w:sz w:val="20"/>
          <w:szCs w:val="20"/>
        </w:rPr>
        <w:t xml:space="preserve">overall </w:t>
      </w:r>
      <w:r w:rsidRPr="00086DFD">
        <w:rPr>
          <w:sz w:val="20"/>
          <w:szCs w:val="20"/>
        </w:rPr>
        <w:t xml:space="preserve">goal of the SBR Program is to reduce the regulatory reporting burden on business. </w:t>
      </w:r>
      <w:r w:rsidR="000B03DB">
        <w:rPr>
          <w:sz w:val="20"/>
          <w:szCs w:val="20"/>
        </w:rPr>
        <w:t xml:space="preserve">The </w:t>
      </w:r>
      <w:r w:rsidR="00AA6FDE">
        <w:rPr>
          <w:sz w:val="20"/>
          <w:szCs w:val="20"/>
        </w:rPr>
        <w:t xml:space="preserve">integration </w:t>
      </w:r>
      <w:r w:rsidR="000B03DB">
        <w:rPr>
          <w:sz w:val="20"/>
          <w:szCs w:val="20"/>
        </w:rPr>
        <w:t xml:space="preserve">of </w:t>
      </w:r>
      <w:r w:rsidR="00C7725B">
        <w:rPr>
          <w:sz w:val="20"/>
          <w:szCs w:val="20"/>
        </w:rPr>
        <w:t xml:space="preserve">the </w:t>
      </w:r>
      <w:r w:rsidR="000B03DB">
        <w:rPr>
          <w:sz w:val="20"/>
          <w:szCs w:val="20"/>
        </w:rPr>
        <w:t>IFRS Taxonomy as part of</w:t>
      </w:r>
      <w:r w:rsidR="00370A3B">
        <w:rPr>
          <w:sz w:val="20"/>
          <w:szCs w:val="20"/>
        </w:rPr>
        <w:t xml:space="preserve"> the</w:t>
      </w:r>
      <w:r w:rsidR="000B03DB">
        <w:rPr>
          <w:sz w:val="20"/>
          <w:szCs w:val="20"/>
        </w:rPr>
        <w:t xml:space="preserve"> IFRS AU Taxonomy</w:t>
      </w:r>
      <w:r w:rsidR="006B5616">
        <w:rPr>
          <w:sz w:val="20"/>
          <w:szCs w:val="20"/>
        </w:rPr>
        <w:t xml:space="preserve"> </w:t>
      </w:r>
      <w:r w:rsidR="000B03DB">
        <w:rPr>
          <w:sz w:val="20"/>
          <w:szCs w:val="20"/>
        </w:rPr>
        <w:t xml:space="preserve">represents a practical step in achieving this goal in the area of financial reporting. This approach is considered appropriate not only because of </w:t>
      </w:r>
      <w:r w:rsidR="001808F0">
        <w:rPr>
          <w:sz w:val="20"/>
          <w:szCs w:val="20"/>
        </w:rPr>
        <w:t xml:space="preserve">the </w:t>
      </w:r>
      <w:r w:rsidR="000B03DB">
        <w:rPr>
          <w:sz w:val="20"/>
          <w:szCs w:val="20"/>
        </w:rPr>
        <w:t xml:space="preserve">close alignment of </w:t>
      </w:r>
      <w:r w:rsidR="00370A3B">
        <w:rPr>
          <w:sz w:val="20"/>
          <w:szCs w:val="20"/>
        </w:rPr>
        <w:t xml:space="preserve">the International Financial Reporting Standards (IFRS) </w:t>
      </w:r>
      <w:r w:rsidR="000B03DB">
        <w:rPr>
          <w:sz w:val="20"/>
          <w:szCs w:val="20"/>
        </w:rPr>
        <w:t xml:space="preserve">and </w:t>
      </w:r>
      <w:r w:rsidR="00370A3B">
        <w:rPr>
          <w:sz w:val="20"/>
          <w:szCs w:val="20"/>
        </w:rPr>
        <w:t>the Australian Accounting Standards</w:t>
      </w:r>
      <w:r w:rsidR="00A958F2">
        <w:rPr>
          <w:sz w:val="20"/>
          <w:szCs w:val="20"/>
        </w:rPr>
        <w:t xml:space="preserve"> </w:t>
      </w:r>
      <w:r w:rsidR="00370A3B">
        <w:rPr>
          <w:sz w:val="20"/>
          <w:szCs w:val="20"/>
        </w:rPr>
        <w:t>(</w:t>
      </w:r>
      <w:r w:rsidR="000B03DB">
        <w:rPr>
          <w:sz w:val="20"/>
          <w:szCs w:val="20"/>
        </w:rPr>
        <w:t>AASB</w:t>
      </w:r>
      <w:r w:rsidR="003E1C81">
        <w:rPr>
          <w:sz w:val="20"/>
          <w:szCs w:val="20"/>
        </w:rPr>
        <w:t>s</w:t>
      </w:r>
      <w:r w:rsidR="00370A3B">
        <w:rPr>
          <w:sz w:val="20"/>
          <w:szCs w:val="20"/>
        </w:rPr>
        <w:t>)</w:t>
      </w:r>
      <w:r w:rsidR="000B03DB">
        <w:rPr>
          <w:sz w:val="20"/>
          <w:szCs w:val="20"/>
        </w:rPr>
        <w:t xml:space="preserve"> but also because i</w:t>
      </w:r>
      <w:r w:rsidR="008F6818">
        <w:rPr>
          <w:sz w:val="20"/>
          <w:szCs w:val="20"/>
        </w:rPr>
        <w:t>t is anticipated that</w:t>
      </w:r>
      <w:r w:rsidR="00355224">
        <w:rPr>
          <w:sz w:val="20"/>
          <w:szCs w:val="20"/>
        </w:rPr>
        <w:t xml:space="preserve"> companies </w:t>
      </w:r>
      <w:r w:rsidR="000B03DB">
        <w:rPr>
          <w:sz w:val="20"/>
          <w:szCs w:val="20"/>
        </w:rPr>
        <w:t xml:space="preserve">reporting internationally will be able to </w:t>
      </w:r>
      <w:r w:rsidR="00355224">
        <w:rPr>
          <w:sz w:val="20"/>
          <w:szCs w:val="20"/>
        </w:rPr>
        <w:t xml:space="preserve">reuse </w:t>
      </w:r>
      <w:r w:rsidR="00D84DA5">
        <w:rPr>
          <w:sz w:val="20"/>
          <w:szCs w:val="20"/>
        </w:rPr>
        <w:t xml:space="preserve">a significant portion of </w:t>
      </w:r>
      <w:r w:rsidR="00355224">
        <w:rPr>
          <w:sz w:val="20"/>
          <w:szCs w:val="20"/>
        </w:rPr>
        <w:t xml:space="preserve">their </w:t>
      </w:r>
      <w:r w:rsidR="00E52DAF">
        <w:rPr>
          <w:sz w:val="20"/>
          <w:szCs w:val="20"/>
        </w:rPr>
        <w:t>instance document</w:t>
      </w:r>
      <w:r w:rsidR="00355224">
        <w:rPr>
          <w:sz w:val="20"/>
          <w:szCs w:val="20"/>
        </w:rPr>
        <w:t xml:space="preserve"> </w:t>
      </w:r>
      <w:r w:rsidR="000B03DB">
        <w:rPr>
          <w:sz w:val="20"/>
          <w:szCs w:val="20"/>
        </w:rPr>
        <w:t xml:space="preserve">prepared using either </w:t>
      </w:r>
      <w:r w:rsidR="002541C9">
        <w:rPr>
          <w:sz w:val="20"/>
          <w:szCs w:val="20"/>
        </w:rPr>
        <w:t xml:space="preserve">the </w:t>
      </w:r>
      <w:r w:rsidR="000B03DB">
        <w:rPr>
          <w:sz w:val="20"/>
          <w:szCs w:val="20"/>
        </w:rPr>
        <w:t>IFRS AU Taxonomy</w:t>
      </w:r>
      <w:r w:rsidR="006B5616">
        <w:rPr>
          <w:sz w:val="20"/>
          <w:szCs w:val="20"/>
        </w:rPr>
        <w:t xml:space="preserve"> </w:t>
      </w:r>
      <w:r w:rsidR="000B03DB">
        <w:rPr>
          <w:sz w:val="20"/>
          <w:szCs w:val="20"/>
        </w:rPr>
        <w:t xml:space="preserve">or taxonomies in other jurisdictions </w:t>
      </w:r>
      <w:r w:rsidR="002541C9">
        <w:rPr>
          <w:sz w:val="20"/>
          <w:szCs w:val="20"/>
        </w:rPr>
        <w:t xml:space="preserve">that are </w:t>
      </w:r>
      <w:r w:rsidR="000B03DB">
        <w:rPr>
          <w:sz w:val="20"/>
          <w:szCs w:val="20"/>
        </w:rPr>
        <w:t>based on</w:t>
      </w:r>
      <w:r w:rsidR="002541C9">
        <w:rPr>
          <w:sz w:val="20"/>
          <w:szCs w:val="20"/>
        </w:rPr>
        <w:t xml:space="preserve"> the</w:t>
      </w:r>
      <w:r w:rsidR="000B03DB">
        <w:rPr>
          <w:sz w:val="20"/>
          <w:szCs w:val="20"/>
        </w:rPr>
        <w:t xml:space="preserve"> IFRS Taxonomy. </w:t>
      </w:r>
    </w:p>
    <w:p w14:paraId="2902CCFF" w14:textId="77777777" w:rsidR="00086DFD" w:rsidRDefault="00086DFD" w:rsidP="00086DFD">
      <w:pPr>
        <w:rPr>
          <w:rFonts w:cs="Arial"/>
          <w:sz w:val="19"/>
          <w:szCs w:val="19"/>
        </w:rPr>
      </w:pPr>
    </w:p>
    <w:p w14:paraId="6B7F22F5" w14:textId="51F6D0EA" w:rsidR="00086DFD" w:rsidRPr="00086DFD" w:rsidRDefault="00086DFD" w:rsidP="00086DFD">
      <w:pPr>
        <w:rPr>
          <w:rFonts w:cs="Arial"/>
          <w:sz w:val="20"/>
          <w:szCs w:val="20"/>
        </w:rPr>
      </w:pPr>
      <w:r w:rsidRPr="00086DFD">
        <w:rPr>
          <w:rFonts w:cs="Arial"/>
          <w:sz w:val="20"/>
          <w:szCs w:val="20"/>
        </w:rPr>
        <w:t xml:space="preserve">The </w:t>
      </w:r>
      <w:r w:rsidR="00FC3CEC">
        <w:rPr>
          <w:rFonts w:cs="Arial"/>
          <w:sz w:val="20"/>
          <w:szCs w:val="20"/>
        </w:rPr>
        <w:t xml:space="preserve">IFRS AU Taxonomy </w:t>
      </w:r>
      <w:r w:rsidR="00442B0D">
        <w:rPr>
          <w:rFonts w:cs="Arial"/>
          <w:sz w:val="20"/>
          <w:szCs w:val="20"/>
        </w:rPr>
        <w:t>2025</w:t>
      </w:r>
      <w:r w:rsidRPr="00086DFD">
        <w:rPr>
          <w:rFonts w:cs="Arial"/>
          <w:sz w:val="20"/>
          <w:szCs w:val="20"/>
        </w:rPr>
        <w:t xml:space="preserve"> is based on the IFRS </w:t>
      </w:r>
      <w:r w:rsidR="002541C9">
        <w:rPr>
          <w:rFonts w:cs="Arial"/>
          <w:sz w:val="20"/>
          <w:szCs w:val="20"/>
        </w:rPr>
        <w:t>T</w:t>
      </w:r>
      <w:r w:rsidRPr="00086DFD">
        <w:rPr>
          <w:rFonts w:cs="Arial"/>
          <w:sz w:val="20"/>
          <w:szCs w:val="20"/>
        </w:rPr>
        <w:t xml:space="preserve">axonomy </w:t>
      </w:r>
      <w:r w:rsidR="00442B0D">
        <w:rPr>
          <w:rFonts w:cs="Arial"/>
          <w:sz w:val="20"/>
          <w:szCs w:val="20"/>
        </w:rPr>
        <w:t>2025</w:t>
      </w:r>
      <w:r w:rsidRPr="00086DFD">
        <w:rPr>
          <w:rFonts w:cs="Arial"/>
          <w:sz w:val="20"/>
          <w:szCs w:val="20"/>
        </w:rPr>
        <w:t xml:space="preserve"> as issued by the IFRS Foundation </w:t>
      </w:r>
      <w:r w:rsidR="00DE2ED9">
        <w:rPr>
          <w:rFonts w:cs="Arial"/>
          <w:sz w:val="20"/>
          <w:szCs w:val="20"/>
        </w:rPr>
        <w:t>and is</w:t>
      </w:r>
      <w:r w:rsidR="00DE2ED9" w:rsidRPr="00086DFD">
        <w:rPr>
          <w:rFonts w:cs="Arial"/>
          <w:sz w:val="20"/>
          <w:szCs w:val="20"/>
        </w:rPr>
        <w:t xml:space="preserve"> </w:t>
      </w:r>
      <w:r w:rsidRPr="00086DFD">
        <w:rPr>
          <w:rFonts w:cs="Arial"/>
          <w:sz w:val="20"/>
          <w:szCs w:val="20"/>
        </w:rPr>
        <w:t>extended to include</w:t>
      </w:r>
      <w:r w:rsidR="000B03DB">
        <w:rPr>
          <w:rFonts w:cs="Arial"/>
          <w:sz w:val="20"/>
          <w:szCs w:val="20"/>
        </w:rPr>
        <w:t xml:space="preserve"> </w:t>
      </w:r>
      <w:r w:rsidRPr="00086DFD">
        <w:rPr>
          <w:rFonts w:cs="Arial"/>
          <w:sz w:val="20"/>
          <w:szCs w:val="20"/>
        </w:rPr>
        <w:t>Australian specific</w:t>
      </w:r>
      <w:r w:rsidR="000B03DB">
        <w:rPr>
          <w:rFonts w:cs="Arial"/>
          <w:sz w:val="20"/>
          <w:szCs w:val="20"/>
        </w:rPr>
        <w:t xml:space="preserve"> jurisdictional requirements</w:t>
      </w:r>
      <w:r w:rsidR="005D733F">
        <w:rPr>
          <w:rFonts w:cs="Arial"/>
          <w:sz w:val="20"/>
          <w:szCs w:val="20"/>
        </w:rPr>
        <w:t xml:space="preserve"> (“AU Extension”)</w:t>
      </w:r>
      <w:r w:rsidRPr="00086DFD">
        <w:rPr>
          <w:rFonts w:cs="Arial"/>
          <w:sz w:val="20"/>
          <w:szCs w:val="20"/>
        </w:rPr>
        <w:t>.</w:t>
      </w:r>
    </w:p>
    <w:p w14:paraId="076D066C" w14:textId="77777777" w:rsidR="00E07903" w:rsidRDefault="00E07903" w:rsidP="00E07903">
      <w:pPr>
        <w:pStyle w:val="Maintext"/>
      </w:pPr>
      <w:r>
        <w:t xml:space="preserve"> </w:t>
      </w:r>
    </w:p>
    <w:p w14:paraId="7C9C029F" w14:textId="1D93279F" w:rsidR="008F6818" w:rsidRPr="00F37C9E" w:rsidRDefault="00D84DA5" w:rsidP="008F6818">
      <w:pPr>
        <w:pStyle w:val="Maintext"/>
        <w:rPr>
          <w:rFonts w:cs="Arial"/>
          <w:sz w:val="20"/>
          <w:szCs w:val="20"/>
        </w:rPr>
      </w:pPr>
      <w:r w:rsidRPr="00F37C9E">
        <w:rPr>
          <w:rFonts w:cs="Arial"/>
          <w:sz w:val="20"/>
          <w:szCs w:val="20"/>
        </w:rPr>
        <w:t>The r</w:t>
      </w:r>
      <w:r w:rsidR="008F6818" w:rsidRPr="00F37C9E">
        <w:rPr>
          <w:rFonts w:cs="Arial"/>
          <w:sz w:val="20"/>
          <w:szCs w:val="20"/>
        </w:rPr>
        <w:t xml:space="preserve">eference documentation for the IFRS Taxonomy </w:t>
      </w:r>
      <w:r w:rsidR="00442B0D">
        <w:rPr>
          <w:rFonts w:cs="Arial"/>
          <w:sz w:val="20"/>
          <w:szCs w:val="20"/>
        </w:rPr>
        <w:t>2025</w:t>
      </w:r>
      <w:r w:rsidR="00753C7B" w:rsidRPr="00F37C9E">
        <w:rPr>
          <w:rFonts w:cs="Arial"/>
          <w:sz w:val="20"/>
          <w:szCs w:val="20"/>
        </w:rPr>
        <w:t xml:space="preserve"> </w:t>
      </w:r>
      <w:r w:rsidR="008F6818" w:rsidRPr="00F37C9E">
        <w:rPr>
          <w:rFonts w:cs="Arial"/>
          <w:sz w:val="20"/>
          <w:szCs w:val="20"/>
        </w:rPr>
        <w:t xml:space="preserve">as issued by </w:t>
      </w:r>
      <w:r w:rsidR="00193114" w:rsidRPr="00F37C9E">
        <w:rPr>
          <w:rFonts w:cs="Arial"/>
          <w:sz w:val="20"/>
          <w:szCs w:val="20"/>
        </w:rPr>
        <w:t xml:space="preserve">the </w:t>
      </w:r>
      <w:r w:rsidR="000B03DB" w:rsidRPr="00F37C9E">
        <w:rPr>
          <w:rFonts w:cs="Arial"/>
          <w:sz w:val="20"/>
          <w:szCs w:val="20"/>
        </w:rPr>
        <w:t>IFRS Foundation</w:t>
      </w:r>
      <w:r w:rsidR="008F6818" w:rsidRPr="00F37C9E">
        <w:rPr>
          <w:rFonts w:cs="Arial"/>
          <w:sz w:val="20"/>
          <w:szCs w:val="20"/>
        </w:rPr>
        <w:t xml:space="preserve"> </w:t>
      </w:r>
      <w:r w:rsidRPr="00F37C9E">
        <w:rPr>
          <w:rFonts w:cs="Arial"/>
          <w:sz w:val="20"/>
          <w:szCs w:val="20"/>
        </w:rPr>
        <w:t>(</w:t>
      </w:r>
      <w:r w:rsidRPr="00CB2DBD">
        <w:rPr>
          <w:rFonts w:cs="Arial"/>
          <w:sz w:val="20"/>
          <w:szCs w:val="20"/>
        </w:rPr>
        <w:t xml:space="preserve">see </w:t>
      </w:r>
      <w:r w:rsidR="00116F48" w:rsidRPr="00CB2DBD">
        <w:rPr>
          <w:rFonts w:cs="Arial"/>
          <w:sz w:val="20"/>
          <w:szCs w:val="20"/>
        </w:rPr>
        <w:t xml:space="preserve">the </w:t>
      </w:r>
      <w:r w:rsidR="00B86F6A">
        <w:rPr>
          <w:rFonts w:cs="Arial"/>
          <w:sz w:val="20"/>
          <w:szCs w:val="20"/>
        </w:rPr>
        <w:t>link</w:t>
      </w:r>
      <w:r w:rsidR="00116F48" w:rsidRPr="00CB2DBD">
        <w:rPr>
          <w:rFonts w:cs="Arial"/>
          <w:sz w:val="20"/>
          <w:szCs w:val="20"/>
        </w:rPr>
        <w:t xml:space="preserve"> </w:t>
      </w:r>
      <w:r w:rsidR="00A3496C" w:rsidRPr="00CB2DBD">
        <w:rPr>
          <w:rFonts w:cs="Arial"/>
          <w:sz w:val="20"/>
          <w:szCs w:val="20"/>
        </w:rPr>
        <w:t xml:space="preserve">provided </w:t>
      </w:r>
      <w:r w:rsidR="00723BE5" w:rsidRPr="00CB2DBD">
        <w:rPr>
          <w:rFonts w:cs="Arial"/>
          <w:sz w:val="20"/>
          <w:szCs w:val="20"/>
        </w:rPr>
        <w:t>in section 1.</w:t>
      </w:r>
      <w:r w:rsidR="00723BE5">
        <w:rPr>
          <w:rFonts w:cs="Arial"/>
          <w:sz w:val="20"/>
          <w:szCs w:val="20"/>
        </w:rPr>
        <w:t>3</w:t>
      </w:r>
      <w:r w:rsidRPr="00F37C9E">
        <w:rPr>
          <w:rFonts w:cs="Arial"/>
          <w:sz w:val="20"/>
          <w:szCs w:val="20"/>
        </w:rPr>
        <w:t xml:space="preserve">) </w:t>
      </w:r>
      <w:r w:rsidR="008F6818" w:rsidRPr="00F37C9E">
        <w:rPr>
          <w:rFonts w:cs="Arial"/>
          <w:sz w:val="20"/>
          <w:szCs w:val="20"/>
        </w:rPr>
        <w:t xml:space="preserve">is important </w:t>
      </w:r>
      <w:r w:rsidR="00193114" w:rsidRPr="00F37C9E">
        <w:rPr>
          <w:rFonts w:cs="Arial"/>
          <w:sz w:val="20"/>
          <w:szCs w:val="20"/>
        </w:rPr>
        <w:t>in</w:t>
      </w:r>
      <w:r w:rsidR="008F6818" w:rsidRPr="00F37C9E">
        <w:rPr>
          <w:rFonts w:cs="Arial"/>
          <w:sz w:val="20"/>
          <w:szCs w:val="20"/>
        </w:rPr>
        <w:t xml:space="preserve"> understand</w:t>
      </w:r>
      <w:r w:rsidR="00193114" w:rsidRPr="00F37C9E">
        <w:rPr>
          <w:rFonts w:cs="Arial"/>
          <w:sz w:val="20"/>
          <w:szCs w:val="20"/>
        </w:rPr>
        <w:t>ing</w:t>
      </w:r>
      <w:r w:rsidR="008F6818" w:rsidRPr="00F37C9E">
        <w:rPr>
          <w:rFonts w:cs="Arial"/>
          <w:sz w:val="20"/>
          <w:szCs w:val="20"/>
        </w:rPr>
        <w:t xml:space="preserve"> the IFRS AU Taxonomy</w:t>
      </w:r>
      <w:r w:rsidR="00FC3CEC">
        <w:rPr>
          <w:rFonts w:cs="Arial"/>
          <w:sz w:val="20"/>
          <w:szCs w:val="20"/>
        </w:rPr>
        <w:t xml:space="preserve"> </w:t>
      </w:r>
      <w:r w:rsidR="00442B0D">
        <w:rPr>
          <w:rFonts w:cs="Arial"/>
          <w:sz w:val="20"/>
          <w:szCs w:val="20"/>
        </w:rPr>
        <w:t>2025</w:t>
      </w:r>
      <w:r w:rsidR="00193114" w:rsidRPr="00F37C9E">
        <w:rPr>
          <w:rFonts w:cs="Arial"/>
          <w:sz w:val="20"/>
          <w:szCs w:val="20"/>
        </w:rPr>
        <w:t>,</w:t>
      </w:r>
      <w:r w:rsidR="008F6818" w:rsidRPr="00F37C9E">
        <w:rPr>
          <w:rFonts w:cs="Arial"/>
          <w:sz w:val="20"/>
          <w:szCs w:val="20"/>
        </w:rPr>
        <w:t xml:space="preserve"> as </w:t>
      </w:r>
      <w:r w:rsidR="000B03DB" w:rsidRPr="00F37C9E">
        <w:rPr>
          <w:rFonts w:cs="Arial"/>
          <w:sz w:val="20"/>
          <w:szCs w:val="20"/>
        </w:rPr>
        <w:t xml:space="preserve">its </w:t>
      </w:r>
      <w:r w:rsidR="008F6818" w:rsidRPr="00F37C9E">
        <w:rPr>
          <w:rFonts w:cs="Arial"/>
          <w:sz w:val="20"/>
          <w:szCs w:val="20"/>
        </w:rPr>
        <w:t xml:space="preserve">architecture follows the architecture </w:t>
      </w:r>
      <w:r w:rsidRPr="00F37C9E">
        <w:rPr>
          <w:rFonts w:cs="Arial"/>
          <w:sz w:val="20"/>
          <w:szCs w:val="20"/>
        </w:rPr>
        <w:t xml:space="preserve">designed </w:t>
      </w:r>
      <w:r w:rsidR="008F6818" w:rsidRPr="00F37C9E">
        <w:rPr>
          <w:rFonts w:cs="Arial"/>
          <w:sz w:val="20"/>
          <w:szCs w:val="20"/>
        </w:rPr>
        <w:t>by</w:t>
      </w:r>
      <w:r w:rsidR="00193114" w:rsidRPr="00F37C9E">
        <w:rPr>
          <w:rFonts w:cs="Arial"/>
          <w:sz w:val="20"/>
          <w:szCs w:val="20"/>
        </w:rPr>
        <w:t xml:space="preserve"> the</w:t>
      </w:r>
      <w:r w:rsidR="008F6818" w:rsidRPr="00F37C9E">
        <w:rPr>
          <w:rFonts w:cs="Arial"/>
          <w:sz w:val="20"/>
          <w:szCs w:val="20"/>
        </w:rPr>
        <w:t xml:space="preserve"> IFRS Foundation</w:t>
      </w:r>
      <w:r w:rsidR="00A3496C">
        <w:rPr>
          <w:rFonts w:cs="Arial"/>
          <w:sz w:val="20"/>
          <w:szCs w:val="20"/>
        </w:rPr>
        <w:t>.</w:t>
      </w:r>
      <w:r w:rsidR="008F6818" w:rsidRPr="00F37C9E">
        <w:rPr>
          <w:rFonts w:cs="Arial"/>
          <w:sz w:val="20"/>
          <w:szCs w:val="20"/>
        </w:rPr>
        <w:t xml:space="preserve"> </w:t>
      </w:r>
    </w:p>
    <w:p w14:paraId="081D801B" w14:textId="77777777" w:rsidR="002C180C" w:rsidRPr="0006381D" w:rsidRDefault="002C180C" w:rsidP="002C180C"/>
    <w:p w14:paraId="6EC8467A" w14:textId="4EEA5FA7" w:rsidR="002C180C" w:rsidRDefault="002C180C" w:rsidP="002C180C">
      <w:pPr>
        <w:rPr>
          <w:sz w:val="20"/>
          <w:szCs w:val="20"/>
        </w:rPr>
      </w:pPr>
      <w:r w:rsidRPr="008F6818">
        <w:rPr>
          <w:sz w:val="20"/>
          <w:szCs w:val="20"/>
        </w:rPr>
        <w:t xml:space="preserve">The </w:t>
      </w:r>
      <w:r w:rsidR="00FC3CEC">
        <w:rPr>
          <w:sz w:val="20"/>
          <w:szCs w:val="20"/>
        </w:rPr>
        <w:t xml:space="preserve">IFRS AU Taxonomy </w:t>
      </w:r>
      <w:r w:rsidR="00442B0D">
        <w:rPr>
          <w:sz w:val="20"/>
          <w:szCs w:val="20"/>
        </w:rPr>
        <w:t>2025</w:t>
      </w:r>
      <w:r w:rsidR="00753C7B" w:rsidRPr="008F6818">
        <w:rPr>
          <w:sz w:val="20"/>
          <w:szCs w:val="20"/>
        </w:rPr>
        <w:t xml:space="preserve"> </w:t>
      </w:r>
      <w:r w:rsidR="008F6818">
        <w:rPr>
          <w:sz w:val="20"/>
          <w:szCs w:val="20"/>
        </w:rPr>
        <w:t>may</w:t>
      </w:r>
      <w:r w:rsidRPr="008F6818">
        <w:rPr>
          <w:sz w:val="20"/>
          <w:szCs w:val="20"/>
        </w:rPr>
        <w:t xml:space="preserve"> </w:t>
      </w:r>
      <w:r w:rsidR="000B03DB">
        <w:rPr>
          <w:sz w:val="20"/>
          <w:szCs w:val="20"/>
        </w:rPr>
        <w:t xml:space="preserve">also </w:t>
      </w:r>
      <w:r w:rsidRPr="008F6818">
        <w:rPr>
          <w:sz w:val="20"/>
          <w:szCs w:val="20"/>
        </w:rPr>
        <w:t xml:space="preserve">be </w:t>
      </w:r>
      <w:r w:rsidR="00573986">
        <w:rPr>
          <w:sz w:val="20"/>
          <w:szCs w:val="20"/>
        </w:rPr>
        <w:t>used</w:t>
      </w:r>
      <w:r w:rsidRPr="008F6818">
        <w:rPr>
          <w:sz w:val="20"/>
          <w:szCs w:val="20"/>
        </w:rPr>
        <w:t xml:space="preserve"> by businesses to meet the requirements of stakeholder</w:t>
      </w:r>
      <w:r w:rsidR="000B03DB">
        <w:rPr>
          <w:sz w:val="20"/>
          <w:szCs w:val="20"/>
        </w:rPr>
        <w:t>s</w:t>
      </w:r>
      <w:r w:rsidRPr="008F6818">
        <w:rPr>
          <w:sz w:val="20"/>
          <w:szCs w:val="20"/>
        </w:rPr>
        <w:t xml:space="preserve"> </w:t>
      </w:r>
      <w:r w:rsidR="00A3496C">
        <w:rPr>
          <w:sz w:val="20"/>
          <w:szCs w:val="20"/>
        </w:rPr>
        <w:t>who</w:t>
      </w:r>
      <w:r w:rsidRPr="008F6818">
        <w:rPr>
          <w:sz w:val="20"/>
          <w:szCs w:val="20"/>
        </w:rPr>
        <w:t xml:space="preserve"> are capable of consuming </w:t>
      </w:r>
      <w:r w:rsidR="00A3496C">
        <w:rPr>
          <w:sz w:val="20"/>
          <w:szCs w:val="20"/>
        </w:rPr>
        <w:t xml:space="preserve">digital financial </w:t>
      </w:r>
      <w:r w:rsidRPr="008F6818">
        <w:rPr>
          <w:sz w:val="20"/>
          <w:szCs w:val="20"/>
        </w:rPr>
        <w:t>information.</w:t>
      </w:r>
    </w:p>
    <w:p w14:paraId="144498C7" w14:textId="1BC8A944" w:rsidR="002C430F" w:rsidRDefault="002C430F" w:rsidP="002C180C">
      <w:pPr>
        <w:rPr>
          <w:sz w:val="20"/>
          <w:szCs w:val="20"/>
        </w:rPr>
      </w:pPr>
    </w:p>
    <w:p w14:paraId="67B3172B" w14:textId="77777777" w:rsidR="00C12919" w:rsidRDefault="00C12919" w:rsidP="00C12919">
      <w:pPr>
        <w:rPr>
          <w:sz w:val="20"/>
          <w:szCs w:val="20"/>
        </w:rPr>
      </w:pPr>
      <w:r>
        <w:rPr>
          <w:sz w:val="20"/>
          <w:szCs w:val="20"/>
        </w:rPr>
        <w:t xml:space="preserve">In March 2020, the Australian Accounting Standard Board issued AASB 1060 </w:t>
      </w:r>
      <w:r w:rsidRPr="00544527">
        <w:rPr>
          <w:i/>
          <w:iCs/>
          <w:sz w:val="20"/>
          <w:szCs w:val="20"/>
        </w:rPr>
        <w:t>General Purpose Financial Statements-Simplified Disclosures for For-Profit and Not-for-Profit Tier 2 Entities</w:t>
      </w:r>
      <w:r>
        <w:rPr>
          <w:i/>
          <w:iCs/>
          <w:sz w:val="20"/>
          <w:szCs w:val="20"/>
        </w:rPr>
        <w:t>.</w:t>
      </w:r>
      <w:r>
        <w:rPr>
          <w:sz w:val="20"/>
          <w:szCs w:val="20"/>
        </w:rPr>
        <w:t xml:space="preserve"> </w:t>
      </w:r>
      <w:r w:rsidRPr="00544527">
        <w:rPr>
          <w:sz w:val="20"/>
          <w:szCs w:val="20"/>
        </w:rPr>
        <w:t>This Standard sets out a new, separate disclosure Standard to be applied by all entities that are reporting under Tier 2 of the Differential Reporting Framework in AASB 1053. This Standard replace</w:t>
      </w:r>
      <w:r>
        <w:rPr>
          <w:sz w:val="20"/>
          <w:szCs w:val="20"/>
        </w:rPr>
        <w:t>s</w:t>
      </w:r>
      <w:r w:rsidRPr="00544527">
        <w:rPr>
          <w:sz w:val="20"/>
          <w:szCs w:val="20"/>
        </w:rPr>
        <w:t xml:space="preserve"> the Reduced Disclosure Requirements (RDR) framework</w:t>
      </w:r>
      <w:r>
        <w:rPr>
          <w:sz w:val="20"/>
          <w:szCs w:val="20"/>
        </w:rPr>
        <w:t>.</w:t>
      </w:r>
    </w:p>
    <w:p w14:paraId="5C8CC986" w14:textId="77777777" w:rsidR="00C12919" w:rsidRDefault="00C12919" w:rsidP="00C12919">
      <w:pPr>
        <w:rPr>
          <w:sz w:val="20"/>
          <w:szCs w:val="20"/>
        </w:rPr>
      </w:pPr>
    </w:p>
    <w:p w14:paraId="7C125E28" w14:textId="2678AE04" w:rsidR="00C12919" w:rsidRDefault="00C12919" w:rsidP="002C180C">
      <w:pPr>
        <w:rPr>
          <w:sz w:val="20"/>
          <w:szCs w:val="20"/>
        </w:rPr>
      </w:pPr>
      <w:r>
        <w:rPr>
          <w:sz w:val="20"/>
          <w:szCs w:val="20"/>
        </w:rPr>
        <w:t xml:space="preserve">AASB 1060 refers to IFRS for SMEs Standard which has a separate set of IFRS taxonomy being IFRS Taxonomy for SMEs. This taxonomy is not used in the IFRS AU Taxonomy </w:t>
      </w:r>
      <w:r w:rsidR="00442B0D">
        <w:rPr>
          <w:sz w:val="20"/>
          <w:szCs w:val="20"/>
        </w:rPr>
        <w:t>2025</w:t>
      </w:r>
      <w:r>
        <w:rPr>
          <w:sz w:val="20"/>
          <w:szCs w:val="20"/>
        </w:rPr>
        <w:t xml:space="preserve">. </w:t>
      </w:r>
      <w:r w:rsidRPr="00544527">
        <w:rPr>
          <w:sz w:val="20"/>
          <w:szCs w:val="20"/>
        </w:rPr>
        <w:t>.</w:t>
      </w:r>
      <w:r>
        <w:rPr>
          <w:sz w:val="20"/>
          <w:szCs w:val="20"/>
        </w:rPr>
        <w:t xml:space="preserve">As a result, the IFRS AU Taxonomy </w:t>
      </w:r>
      <w:r w:rsidR="00442B0D">
        <w:rPr>
          <w:sz w:val="20"/>
          <w:szCs w:val="20"/>
        </w:rPr>
        <w:t>2025</w:t>
      </w:r>
      <w:r>
        <w:rPr>
          <w:sz w:val="20"/>
          <w:szCs w:val="20"/>
        </w:rPr>
        <w:t xml:space="preserve"> should be only used for entities reporting under Tier 1.  </w:t>
      </w:r>
    </w:p>
    <w:p w14:paraId="26A5D7D8" w14:textId="2C84F369" w:rsidR="002C430F" w:rsidRPr="001A3E4D" w:rsidRDefault="002C430F" w:rsidP="002C430F">
      <w:pPr>
        <w:pStyle w:val="Head3"/>
      </w:pPr>
      <w:bookmarkStart w:id="152" w:name="_Toc205457952"/>
      <w:r w:rsidRPr="0032117F">
        <w:t>Changes to the previous version</w:t>
      </w:r>
      <w:bookmarkEnd w:id="152"/>
    </w:p>
    <w:p w14:paraId="4356533C" w14:textId="56AF83EB" w:rsidR="002C430F" w:rsidRPr="005A4695" w:rsidRDefault="002C430F" w:rsidP="002C430F">
      <w:pPr>
        <w:pStyle w:val="Maintext"/>
        <w:rPr>
          <w:rFonts w:cs="Arial"/>
          <w:bCs/>
          <w:iCs/>
          <w:sz w:val="20"/>
          <w:szCs w:val="20"/>
        </w:rPr>
      </w:pPr>
      <w:r w:rsidRPr="005A4695">
        <w:rPr>
          <w:rFonts w:cs="Arial"/>
          <w:bCs/>
          <w:iCs/>
          <w:sz w:val="20"/>
          <w:szCs w:val="20"/>
        </w:rPr>
        <w:t xml:space="preserve">The main changes in the </w:t>
      </w:r>
      <w:r w:rsidR="00FC3CEC">
        <w:rPr>
          <w:rFonts w:cs="Arial"/>
          <w:bCs/>
          <w:iCs/>
          <w:sz w:val="20"/>
          <w:szCs w:val="20"/>
        </w:rPr>
        <w:t xml:space="preserve">IFRS AU Taxonomy </w:t>
      </w:r>
      <w:r w:rsidR="00442B0D">
        <w:rPr>
          <w:rFonts w:cs="Arial"/>
          <w:bCs/>
          <w:iCs/>
          <w:sz w:val="20"/>
          <w:szCs w:val="20"/>
        </w:rPr>
        <w:t>2025</w:t>
      </w:r>
      <w:r w:rsidRPr="005A4695">
        <w:rPr>
          <w:rFonts w:cs="Arial"/>
          <w:bCs/>
          <w:iCs/>
          <w:sz w:val="20"/>
          <w:szCs w:val="20"/>
        </w:rPr>
        <w:t xml:space="preserve"> relate to the following:</w:t>
      </w:r>
    </w:p>
    <w:p w14:paraId="61C3EF80" w14:textId="6511FE4D" w:rsidR="002C430F" w:rsidRPr="005A4695" w:rsidRDefault="002C430F" w:rsidP="00F069A2">
      <w:pPr>
        <w:pStyle w:val="Maintext"/>
        <w:numPr>
          <w:ilvl w:val="0"/>
          <w:numId w:val="33"/>
        </w:numPr>
        <w:spacing w:after="120"/>
        <w:rPr>
          <w:sz w:val="20"/>
          <w:szCs w:val="20"/>
        </w:rPr>
      </w:pPr>
      <w:r w:rsidRPr="005A4695">
        <w:rPr>
          <w:sz w:val="20"/>
          <w:szCs w:val="20"/>
        </w:rPr>
        <w:t xml:space="preserve">Updates to </w:t>
      </w:r>
      <w:r w:rsidR="00FC3CEC">
        <w:rPr>
          <w:sz w:val="20"/>
          <w:szCs w:val="20"/>
        </w:rPr>
        <w:t xml:space="preserve">IFRS Taxonomy </w:t>
      </w:r>
      <w:r w:rsidR="00442B0D">
        <w:rPr>
          <w:sz w:val="20"/>
          <w:szCs w:val="20"/>
        </w:rPr>
        <w:t>2025</w:t>
      </w:r>
      <w:r w:rsidRPr="005A4695">
        <w:rPr>
          <w:sz w:val="20"/>
          <w:szCs w:val="20"/>
        </w:rPr>
        <w:t xml:space="preserve"> in relation to changes to IFRSs</w:t>
      </w:r>
      <w:r w:rsidR="007A3DFB">
        <w:rPr>
          <w:sz w:val="20"/>
          <w:szCs w:val="20"/>
        </w:rPr>
        <w:t xml:space="preserve"> that are adopted in Australia</w:t>
      </w:r>
      <w:r w:rsidRPr="005A4695">
        <w:rPr>
          <w:sz w:val="20"/>
          <w:szCs w:val="20"/>
        </w:rPr>
        <w:t>;</w:t>
      </w:r>
      <w:r w:rsidR="00544527">
        <w:rPr>
          <w:sz w:val="20"/>
          <w:szCs w:val="20"/>
        </w:rPr>
        <w:t xml:space="preserve"> and</w:t>
      </w:r>
    </w:p>
    <w:p w14:paraId="34C7DF03" w14:textId="79690EAC" w:rsidR="002C430F" w:rsidRDefault="002C430F" w:rsidP="00F069A2">
      <w:pPr>
        <w:pStyle w:val="Maintext"/>
        <w:numPr>
          <w:ilvl w:val="0"/>
          <w:numId w:val="33"/>
        </w:numPr>
        <w:spacing w:after="120"/>
        <w:rPr>
          <w:sz w:val="20"/>
          <w:szCs w:val="20"/>
        </w:rPr>
      </w:pPr>
      <w:r w:rsidRPr="005A4695">
        <w:rPr>
          <w:sz w:val="20"/>
          <w:szCs w:val="20"/>
        </w:rPr>
        <w:t xml:space="preserve">Inclusion of </w:t>
      </w:r>
      <w:r>
        <w:rPr>
          <w:sz w:val="20"/>
          <w:szCs w:val="20"/>
        </w:rPr>
        <w:t xml:space="preserve">further </w:t>
      </w:r>
      <w:r w:rsidRPr="005A4695">
        <w:rPr>
          <w:sz w:val="20"/>
          <w:szCs w:val="20"/>
        </w:rPr>
        <w:t>common practice elements</w:t>
      </w:r>
      <w:r w:rsidR="00525C92">
        <w:rPr>
          <w:sz w:val="20"/>
          <w:szCs w:val="20"/>
        </w:rPr>
        <w:t xml:space="preserve"> and other general </w:t>
      </w:r>
      <w:r w:rsidR="001F638A">
        <w:rPr>
          <w:sz w:val="20"/>
          <w:szCs w:val="20"/>
        </w:rPr>
        <w:t>taxonomy improvements</w:t>
      </w:r>
      <w:r w:rsidRPr="005A4695">
        <w:rPr>
          <w:sz w:val="20"/>
          <w:szCs w:val="20"/>
        </w:rPr>
        <w:t xml:space="preserve"> in the </w:t>
      </w:r>
      <w:r w:rsidR="00FC3CEC">
        <w:rPr>
          <w:sz w:val="20"/>
          <w:szCs w:val="20"/>
        </w:rPr>
        <w:t xml:space="preserve">IFRS Taxonomy </w:t>
      </w:r>
      <w:r w:rsidR="00442B0D">
        <w:rPr>
          <w:sz w:val="20"/>
          <w:szCs w:val="20"/>
        </w:rPr>
        <w:t>2025</w:t>
      </w:r>
      <w:r w:rsidR="00544527">
        <w:rPr>
          <w:sz w:val="20"/>
          <w:szCs w:val="20"/>
        </w:rPr>
        <w:t>.</w:t>
      </w:r>
    </w:p>
    <w:p w14:paraId="23ED5A8D" w14:textId="4ACB0C71" w:rsidR="001B7B13" w:rsidRDefault="008263E0" w:rsidP="005819BE">
      <w:pPr>
        <w:pStyle w:val="Head3"/>
      </w:pPr>
      <w:bookmarkStart w:id="153" w:name="_Toc205457953"/>
      <w:r>
        <w:t>F</w:t>
      </w:r>
      <w:r w:rsidR="00A3496C" w:rsidRPr="00646A5E">
        <w:t xml:space="preserve">ile structure and architecture of the IFRS AU </w:t>
      </w:r>
      <w:r w:rsidR="007C00E9">
        <w:t>taxonomy</w:t>
      </w:r>
      <w:bookmarkEnd w:id="153"/>
    </w:p>
    <w:p w14:paraId="63B78AE4" w14:textId="3D8E4090" w:rsidR="00355224" w:rsidRPr="00355224" w:rsidRDefault="00014CD4" w:rsidP="00355224">
      <w:pPr>
        <w:rPr>
          <w:sz w:val="20"/>
          <w:szCs w:val="20"/>
        </w:rPr>
      </w:pPr>
      <w:r>
        <w:rPr>
          <w:sz w:val="20"/>
          <w:szCs w:val="20"/>
        </w:rPr>
        <w:t>As AASBs mirror the requirements of full IFRSs</w:t>
      </w:r>
      <w:r w:rsidR="00355224" w:rsidRPr="00355224">
        <w:rPr>
          <w:sz w:val="20"/>
          <w:szCs w:val="20"/>
        </w:rPr>
        <w:t xml:space="preserve">, </w:t>
      </w:r>
      <w:r w:rsidR="00B372C6">
        <w:rPr>
          <w:sz w:val="20"/>
          <w:szCs w:val="20"/>
        </w:rPr>
        <w:t>preparers</w:t>
      </w:r>
      <w:r w:rsidR="00355224" w:rsidRPr="00355224">
        <w:rPr>
          <w:sz w:val="20"/>
          <w:szCs w:val="20"/>
        </w:rPr>
        <w:t xml:space="preserve"> should be aware that reference</w:t>
      </w:r>
      <w:r>
        <w:rPr>
          <w:sz w:val="20"/>
          <w:szCs w:val="20"/>
        </w:rPr>
        <w:t>s</w:t>
      </w:r>
      <w:r w:rsidR="00355224" w:rsidRPr="00355224">
        <w:rPr>
          <w:sz w:val="20"/>
          <w:szCs w:val="20"/>
        </w:rPr>
        <w:t xml:space="preserve"> to IFRSs</w:t>
      </w:r>
      <w:r>
        <w:rPr>
          <w:sz w:val="20"/>
          <w:szCs w:val="20"/>
        </w:rPr>
        <w:t xml:space="preserve"> in the </w:t>
      </w:r>
      <w:r w:rsidR="00FC3CEC">
        <w:rPr>
          <w:sz w:val="20"/>
          <w:szCs w:val="20"/>
        </w:rPr>
        <w:t xml:space="preserve">IFRS AU Taxonomy </w:t>
      </w:r>
      <w:r w:rsidR="00442B0D">
        <w:rPr>
          <w:sz w:val="20"/>
          <w:szCs w:val="20"/>
        </w:rPr>
        <w:t>2025</w:t>
      </w:r>
      <w:r w:rsidR="00355224" w:rsidRPr="00355224">
        <w:rPr>
          <w:sz w:val="20"/>
          <w:szCs w:val="20"/>
        </w:rPr>
        <w:t xml:space="preserve"> for concepts originally belonging to </w:t>
      </w:r>
      <w:r w:rsidR="00193114">
        <w:rPr>
          <w:sz w:val="20"/>
          <w:szCs w:val="20"/>
        </w:rPr>
        <w:t xml:space="preserve">the </w:t>
      </w:r>
      <w:r w:rsidR="00FC3CEC">
        <w:rPr>
          <w:sz w:val="20"/>
          <w:szCs w:val="20"/>
        </w:rPr>
        <w:t xml:space="preserve">IFRS Taxonomy </w:t>
      </w:r>
      <w:r w:rsidR="00442B0D">
        <w:rPr>
          <w:sz w:val="20"/>
          <w:szCs w:val="20"/>
        </w:rPr>
        <w:t>2025</w:t>
      </w:r>
      <w:r w:rsidR="00355224" w:rsidRPr="00355224">
        <w:rPr>
          <w:sz w:val="20"/>
          <w:szCs w:val="20"/>
        </w:rPr>
        <w:t xml:space="preserve"> have not been changed for the purpose of its integration into </w:t>
      </w:r>
      <w:r w:rsidR="003E1C4C">
        <w:rPr>
          <w:sz w:val="20"/>
          <w:szCs w:val="20"/>
        </w:rPr>
        <w:t xml:space="preserve">the </w:t>
      </w:r>
      <w:r w:rsidR="00FC3CEC">
        <w:rPr>
          <w:sz w:val="20"/>
          <w:szCs w:val="20"/>
        </w:rPr>
        <w:t xml:space="preserve">IFRS AU Taxonomy </w:t>
      </w:r>
      <w:r w:rsidR="00442B0D">
        <w:rPr>
          <w:sz w:val="20"/>
          <w:szCs w:val="20"/>
        </w:rPr>
        <w:t>2025</w:t>
      </w:r>
      <w:r w:rsidR="00355224" w:rsidRPr="00355224">
        <w:rPr>
          <w:sz w:val="20"/>
          <w:szCs w:val="20"/>
        </w:rPr>
        <w:t>. Therefore, references to IFRSs, IASs, IFRICs or SICs should be read as representing references to corresponding AASBs or Interpretations. For example</w:t>
      </w:r>
      <w:r w:rsidR="007060D0">
        <w:rPr>
          <w:sz w:val="20"/>
          <w:szCs w:val="20"/>
        </w:rPr>
        <w:t>,</w:t>
      </w:r>
      <w:r w:rsidR="00355224" w:rsidRPr="00355224">
        <w:rPr>
          <w:sz w:val="20"/>
          <w:szCs w:val="20"/>
        </w:rPr>
        <w:t xml:space="preserve"> </w:t>
      </w:r>
      <w:r w:rsidR="008B40C0">
        <w:rPr>
          <w:sz w:val="20"/>
          <w:szCs w:val="20"/>
        </w:rPr>
        <w:t>the reference "</w:t>
      </w:r>
      <w:r w:rsidR="00355224" w:rsidRPr="00355224">
        <w:rPr>
          <w:sz w:val="20"/>
          <w:szCs w:val="20"/>
        </w:rPr>
        <w:t>IFRS 1.24</w:t>
      </w:r>
      <w:r w:rsidR="008B40C0">
        <w:rPr>
          <w:sz w:val="20"/>
          <w:szCs w:val="20"/>
        </w:rPr>
        <w:t>"</w:t>
      </w:r>
      <w:r w:rsidR="00355224" w:rsidRPr="00355224">
        <w:rPr>
          <w:sz w:val="20"/>
          <w:szCs w:val="20"/>
        </w:rPr>
        <w:t xml:space="preserve"> is identical to </w:t>
      </w:r>
      <w:r w:rsidR="008B40C0">
        <w:rPr>
          <w:sz w:val="20"/>
          <w:szCs w:val="20"/>
        </w:rPr>
        <w:t>"</w:t>
      </w:r>
      <w:r w:rsidR="00355224" w:rsidRPr="00355224">
        <w:rPr>
          <w:sz w:val="20"/>
          <w:szCs w:val="20"/>
        </w:rPr>
        <w:t>AASB 1.24</w:t>
      </w:r>
      <w:r w:rsidR="008B40C0">
        <w:rPr>
          <w:sz w:val="20"/>
          <w:szCs w:val="20"/>
        </w:rPr>
        <w:t>"</w:t>
      </w:r>
      <w:r w:rsidR="00355224" w:rsidRPr="00355224">
        <w:rPr>
          <w:sz w:val="20"/>
          <w:szCs w:val="20"/>
        </w:rPr>
        <w:t xml:space="preserve">, </w:t>
      </w:r>
      <w:r w:rsidR="008B40C0">
        <w:rPr>
          <w:sz w:val="20"/>
          <w:szCs w:val="20"/>
        </w:rPr>
        <w:t>"</w:t>
      </w:r>
      <w:r w:rsidR="00355224" w:rsidRPr="00355224">
        <w:rPr>
          <w:sz w:val="20"/>
          <w:szCs w:val="20"/>
        </w:rPr>
        <w:t>IAS 1.51</w:t>
      </w:r>
      <w:r w:rsidR="008B40C0">
        <w:rPr>
          <w:sz w:val="20"/>
          <w:szCs w:val="20"/>
        </w:rPr>
        <w:t>"</w:t>
      </w:r>
      <w:r w:rsidR="00355224" w:rsidRPr="00355224">
        <w:rPr>
          <w:sz w:val="20"/>
          <w:szCs w:val="20"/>
        </w:rPr>
        <w:t xml:space="preserve"> is identical to </w:t>
      </w:r>
      <w:r w:rsidR="008B40C0">
        <w:rPr>
          <w:sz w:val="20"/>
          <w:szCs w:val="20"/>
        </w:rPr>
        <w:t>"</w:t>
      </w:r>
      <w:r w:rsidR="00355224" w:rsidRPr="00355224">
        <w:rPr>
          <w:sz w:val="20"/>
          <w:szCs w:val="20"/>
        </w:rPr>
        <w:t>AASB 101.51</w:t>
      </w:r>
      <w:r w:rsidR="008B40C0">
        <w:rPr>
          <w:sz w:val="20"/>
          <w:szCs w:val="20"/>
        </w:rPr>
        <w:t>"</w:t>
      </w:r>
      <w:r w:rsidR="00355224" w:rsidRPr="00355224">
        <w:rPr>
          <w:sz w:val="20"/>
          <w:szCs w:val="20"/>
        </w:rPr>
        <w:t>. Australian specific concepts arising from additional local requirements (</w:t>
      </w:r>
      <w:r w:rsidR="00355224" w:rsidRPr="0035768D">
        <w:rPr>
          <w:sz w:val="20"/>
          <w:szCs w:val="20"/>
        </w:rPr>
        <w:t xml:space="preserve">see section </w:t>
      </w:r>
      <w:r w:rsidR="0057724D" w:rsidRPr="0035768D">
        <w:rPr>
          <w:sz w:val="20"/>
          <w:szCs w:val="20"/>
        </w:rPr>
        <w:fldChar w:fldCharType="begin"/>
      </w:r>
      <w:r w:rsidR="00355224" w:rsidRPr="0035768D">
        <w:rPr>
          <w:sz w:val="20"/>
          <w:szCs w:val="20"/>
        </w:rPr>
        <w:instrText xml:space="preserve"> REF _Ref294601737 \r \h </w:instrText>
      </w:r>
      <w:r w:rsidR="00EF6A86">
        <w:rPr>
          <w:sz w:val="20"/>
          <w:szCs w:val="20"/>
          <w:highlight w:val="yellow"/>
        </w:rPr>
        <w:instrText xml:space="preserve"> \* MERGEFORMAT </w:instrText>
      </w:r>
      <w:r w:rsidR="0057724D" w:rsidRPr="0035768D">
        <w:rPr>
          <w:sz w:val="20"/>
          <w:szCs w:val="20"/>
        </w:rPr>
      </w:r>
      <w:r w:rsidR="0057724D" w:rsidRPr="0035768D">
        <w:rPr>
          <w:sz w:val="20"/>
          <w:szCs w:val="20"/>
        </w:rPr>
        <w:fldChar w:fldCharType="separate"/>
      </w:r>
      <w:r w:rsidR="00DD4231" w:rsidRPr="0035768D">
        <w:rPr>
          <w:sz w:val="20"/>
          <w:szCs w:val="20"/>
        </w:rPr>
        <w:t>2</w:t>
      </w:r>
      <w:r w:rsidR="0057724D" w:rsidRPr="0035768D">
        <w:rPr>
          <w:sz w:val="20"/>
          <w:szCs w:val="20"/>
        </w:rPr>
        <w:fldChar w:fldCharType="end"/>
      </w:r>
      <w:r w:rsidR="00355224" w:rsidRPr="0035768D">
        <w:rPr>
          <w:sz w:val="20"/>
          <w:szCs w:val="20"/>
        </w:rPr>
        <w:t xml:space="preserve"> above</w:t>
      </w:r>
      <w:r w:rsidR="00355224" w:rsidRPr="00355224">
        <w:rPr>
          <w:sz w:val="20"/>
          <w:szCs w:val="20"/>
        </w:rPr>
        <w:t>) are created and referenced to relevant author</w:t>
      </w:r>
      <w:r w:rsidR="00193114">
        <w:rPr>
          <w:sz w:val="20"/>
          <w:szCs w:val="20"/>
        </w:rPr>
        <w:t>i</w:t>
      </w:r>
      <w:r w:rsidR="00355224" w:rsidRPr="00355224">
        <w:rPr>
          <w:sz w:val="20"/>
          <w:szCs w:val="20"/>
        </w:rPr>
        <w:t>t</w:t>
      </w:r>
      <w:r w:rsidR="00193114">
        <w:rPr>
          <w:sz w:val="20"/>
          <w:szCs w:val="20"/>
        </w:rPr>
        <w:t>at</w:t>
      </w:r>
      <w:r w:rsidR="00355224" w:rsidRPr="00355224">
        <w:rPr>
          <w:sz w:val="20"/>
          <w:szCs w:val="20"/>
        </w:rPr>
        <w:t>ive requirement such as AASB</w:t>
      </w:r>
      <w:r w:rsidR="008B40C0">
        <w:rPr>
          <w:sz w:val="20"/>
          <w:szCs w:val="20"/>
        </w:rPr>
        <w:t>s</w:t>
      </w:r>
      <w:r w:rsidR="00355224" w:rsidRPr="00355224">
        <w:rPr>
          <w:sz w:val="20"/>
          <w:szCs w:val="20"/>
        </w:rPr>
        <w:t xml:space="preserve">, </w:t>
      </w:r>
      <w:r w:rsidR="00A37510">
        <w:rPr>
          <w:sz w:val="20"/>
          <w:szCs w:val="20"/>
        </w:rPr>
        <w:t>Act</w:t>
      </w:r>
      <w:r w:rsidR="003E1C81">
        <w:rPr>
          <w:sz w:val="20"/>
          <w:szCs w:val="20"/>
        </w:rPr>
        <w:t>,</w:t>
      </w:r>
      <w:r w:rsidR="00355224" w:rsidRPr="00355224">
        <w:rPr>
          <w:sz w:val="20"/>
          <w:szCs w:val="20"/>
        </w:rPr>
        <w:t xml:space="preserve"> etc.</w:t>
      </w:r>
    </w:p>
    <w:p w14:paraId="13584B76" w14:textId="77777777" w:rsidR="00355224" w:rsidRDefault="00355224" w:rsidP="00FA7B87">
      <w:pPr>
        <w:pStyle w:val="Maintext"/>
        <w:rPr>
          <w:sz w:val="20"/>
          <w:szCs w:val="20"/>
        </w:rPr>
      </w:pPr>
    </w:p>
    <w:p w14:paraId="3D53A04B" w14:textId="77777777" w:rsidR="00355224" w:rsidRPr="00355224" w:rsidRDefault="00FA7B87" w:rsidP="00355224">
      <w:pPr>
        <w:pStyle w:val="Maintext"/>
        <w:rPr>
          <w:sz w:val="20"/>
          <w:szCs w:val="20"/>
        </w:rPr>
      </w:pPr>
      <w:r w:rsidRPr="00355224">
        <w:rPr>
          <w:sz w:val="20"/>
          <w:szCs w:val="20"/>
        </w:rPr>
        <w:t xml:space="preserve">The additional </w:t>
      </w:r>
      <w:r w:rsidR="008B40C0">
        <w:rPr>
          <w:sz w:val="20"/>
          <w:szCs w:val="20"/>
        </w:rPr>
        <w:t xml:space="preserve">Australian </w:t>
      </w:r>
      <w:r w:rsidRPr="00355224">
        <w:rPr>
          <w:sz w:val="20"/>
          <w:szCs w:val="20"/>
        </w:rPr>
        <w:t xml:space="preserve">requirements have been added as a jurisdictional extension to </w:t>
      </w:r>
      <w:r w:rsidR="00193114">
        <w:rPr>
          <w:sz w:val="20"/>
          <w:szCs w:val="20"/>
        </w:rPr>
        <w:t xml:space="preserve">the </w:t>
      </w:r>
      <w:r w:rsidRPr="00355224">
        <w:rPr>
          <w:sz w:val="20"/>
          <w:szCs w:val="20"/>
        </w:rPr>
        <w:t>IFRS Taxonomy following the IFRS principles for creatin</w:t>
      </w:r>
      <w:r w:rsidR="008B40C0">
        <w:rPr>
          <w:sz w:val="20"/>
          <w:szCs w:val="20"/>
        </w:rPr>
        <w:t>g</w:t>
      </w:r>
      <w:r w:rsidRPr="00355224">
        <w:rPr>
          <w:sz w:val="20"/>
          <w:szCs w:val="20"/>
        </w:rPr>
        <w:t xml:space="preserve"> extension</w:t>
      </w:r>
      <w:r w:rsidR="00193114">
        <w:rPr>
          <w:sz w:val="20"/>
          <w:szCs w:val="20"/>
        </w:rPr>
        <w:t>s</w:t>
      </w:r>
      <w:r w:rsidR="00370A3B">
        <w:rPr>
          <w:sz w:val="20"/>
          <w:szCs w:val="20"/>
        </w:rPr>
        <w:t xml:space="preserve"> (referred to as "AU Extension"). </w:t>
      </w:r>
      <w:r w:rsidR="00355224" w:rsidRPr="00355224">
        <w:rPr>
          <w:sz w:val="20"/>
          <w:szCs w:val="20"/>
        </w:rPr>
        <w:t>The integration of</w:t>
      </w:r>
      <w:r w:rsidR="00193114">
        <w:rPr>
          <w:sz w:val="20"/>
          <w:szCs w:val="20"/>
        </w:rPr>
        <w:t xml:space="preserve"> the</w:t>
      </w:r>
      <w:r w:rsidR="00355224" w:rsidRPr="00355224">
        <w:rPr>
          <w:sz w:val="20"/>
          <w:szCs w:val="20"/>
        </w:rPr>
        <w:t xml:space="preserve"> IFRS Taxonomy and</w:t>
      </w:r>
      <w:r w:rsidR="00193114">
        <w:rPr>
          <w:sz w:val="20"/>
          <w:szCs w:val="20"/>
        </w:rPr>
        <w:t xml:space="preserve"> the</w:t>
      </w:r>
      <w:r w:rsidR="00355224" w:rsidRPr="00355224">
        <w:rPr>
          <w:sz w:val="20"/>
          <w:szCs w:val="20"/>
        </w:rPr>
        <w:t xml:space="preserve"> AU Extension required the following additions:</w:t>
      </w:r>
    </w:p>
    <w:p w14:paraId="4C394073" w14:textId="77777777" w:rsidR="00355224" w:rsidRPr="00355224" w:rsidRDefault="00355224" w:rsidP="00355224">
      <w:pPr>
        <w:pStyle w:val="Maintext"/>
        <w:rPr>
          <w:sz w:val="20"/>
          <w:szCs w:val="20"/>
        </w:rPr>
      </w:pPr>
    </w:p>
    <w:p w14:paraId="4B6A687F" w14:textId="608EBC89" w:rsidR="009B77C1" w:rsidRDefault="00355224" w:rsidP="00F069A2">
      <w:pPr>
        <w:pStyle w:val="Maintext"/>
        <w:numPr>
          <w:ilvl w:val="0"/>
          <w:numId w:val="33"/>
        </w:numPr>
        <w:spacing w:after="120"/>
        <w:rPr>
          <w:sz w:val="20"/>
          <w:szCs w:val="20"/>
        </w:rPr>
      </w:pPr>
      <w:r w:rsidRPr="00355224">
        <w:rPr>
          <w:sz w:val="20"/>
          <w:szCs w:val="20"/>
        </w:rPr>
        <w:t xml:space="preserve">For additional </w:t>
      </w:r>
      <w:r w:rsidR="00A37510" w:rsidRPr="00355224">
        <w:rPr>
          <w:sz w:val="20"/>
          <w:szCs w:val="20"/>
        </w:rPr>
        <w:t xml:space="preserve">Australian </w:t>
      </w:r>
      <w:r w:rsidRPr="00355224">
        <w:rPr>
          <w:sz w:val="20"/>
          <w:szCs w:val="20"/>
        </w:rPr>
        <w:t xml:space="preserve">disclosures to existing IFRS requirements, AU Extension concepts are added to </w:t>
      </w:r>
      <w:r w:rsidR="00A53E62">
        <w:rPr>
          <w:sz w:val="20"/>
          <w:szCs w:val="20"/>
        </w:rPr>
        <w:t xml:space="preserve">the </w:t>
      </w:r>
      <w:r w:rsidR="00FC3CEC">
        <w:rPr>
          <w:sz w:val="20"/>
          <w:szCs w:val="20"/>
        </w:rPr>
        <w:t xml:space="preserve">IFRS Taxonomy </w:t>
      </w:r>
      <w:r w:rsidR="00442B0D">
        <w:rPr>
          <w:sz w:val="20"/>
          <w:szCs w:val="20"/>
        </w:rPr>
        <w:t>2025</w:t>
      </w:r>
      <w:r w:rsidR="00C7725B">
        <w:rPr>
          <w:sz w:val="20"/>
          <w:szCs w:val="20"/>
        </w:rPr>
        <w:t xml:space="preserve"> </w:t>
      </w:r>
      <w:r w:rsidRPr="00355224">
        <w:rPr>
          <w:sz w:val="20"/>
          <w:szCs w:val="20"/>
        </w:rPr>
        <w:t xml:space="preserve">concepts within the hierarchical structure contained in </w:t>
      </w:r>
      <w:r w:rsidR="00A53E62">
        <w:rPr>
          <w:sz w:val="20"/>
          <w:szCs w:val="20"/>
        </w:rPr>
        <w:t xml:space="preserve">the </w:t>
      </w:r>
      <w:r w:rsidR="00FC3CEC">
        <w:rPr>
          <w:sz w:val="20"/>
          <w:szCs w:val="20"/>
        </w:rPr>
        <w:t xml:space="preserve">IFRS Taxonomy </w:t>
      </w:r>
      <w:r w:rsidR="00442B0D">
        <w:rPr>
          <w:sz w:val="20"/>
          <w:szCs w:val="20"/>
        </w:rPr>
        <w:t>2025</w:t>
      </w:r>
      <w:r w:rsidR="00C7725B">
        <w:rPr>
          <w:sz w:val="20"/>
          <w:szCs w:val="20"/>
        </w:rPr>
        <w:t xml:space="preserve"> E</w:t>
      </w:r>
      <w:r w:rsidR="008B40C0">
        <w:rPr>
          <w:sz w:val="20"/>
          <w:szCs w:val="20"/>
        </w:rPr>
        <w:t xml:space="preserve">xtended </w:t>
      </w:r>
      <w:r w:rsidR="00C7725B">
        <w:rPr>
          <w:sz w:val="20"/>
          <w:szCs w:val="20"/>
        </w:rPr>
        <w:t>L</w:t>
      </w:r>
      <w:r w:rsidR="008B40C0">
        <w:rPr>
          <w:sz w:val="20"/>
          <w:szCs w:val="20"/>
        </w:rPr>
        <w:t xml:space="preserve">ink </w:t>
      </w:r>
      <w:r w:rsidR="00C7725B">
        <w:rPr>
          <w:sz w:val="20"/>
          <w:szCs w:val="20"/>
        </w:rPr>
        <w:t>R</w:t>
      </w:r>
      <w:r w:rsidR="008B40C0">
        <w:rPr>
          <w:sz w:val="20"/>
          <w:szCs w:val="20"/>
        </w:rPr>
        <w:t>oles (</w:t>
      </w:r>
      <w:r w:rsidRPr="00355224">
        <w:rPr>
          <w:sz w:val="20"/>
          <w:szCs w:val="20"/>
        </w:rPr>
        <w:t>ELRs</w:t>
      </w:r>
      <w:r w:rsidR="008B40C0">
        <w:rPr>
          <w:sz w:val="20"/>
          <w:szCs w:val="20"/>
        </w:rPr>
        <w:t>)</w:t>
      </w:r>
      <w:r w:rsidRPr="00355224">
        <w:rPr>
          <w:sz w:val="20"/>
          <w:szCs w:val="20"/>
        </w:rPr>
        <w:t>;</w:t>
      </w:r>
    </w:p>
    <w:p w14:paraId="4C37BF7B" w14:textId="77777777" w:rsidR="009B77C1" w:rsidRDefault="00355224" w:rsidP="00F069A2">
      <w:pPr>
        <w:pStyle w:val="Maintext"/>
        <w:numPr>
          <w:ilvl w:val="0"/>
          <w:numId w:val="33"/>
        </w:numPr>
        <w:spacing w:after="120"/>
        <w:rPr>
          <w:sz w:val="20"/>
          <w:szCs w:val="20"/>
        </w:rPr>
      </w:pPr>
      <w:r w:rsidRPr="00355224">
        <w:rPr>
          <w:sz w:val="20"/>
          <w:szCs w:val="20"/>
        </w:rPr>
        <w:t xml:space="preserve">For additional </w:t>
      </w:r>
      <w:r w:rsidR="00A37510" w:rsidRPr="00355224">
        <w:rPr>
          <w:sz w:val="20"/>
          <w:szCs w:val="20"/>
        </w:rPr>
        <w:t xml:space="preserve">Australian </w:t>
      </w:r>
      <w:r w:rsidRPr="00355224">
        <w:rPr>
          <w:sz w:val="20"/>
          <w:szCs w:val="20"/>
        </w:rPr>
        <w:t xml:space="preserve">disclosures without corresponding IFRS requirements, AU Extension concepts are grouped within </w:t>
      </w:r>
      <w:r w:rsidR="00A958F2">
        <w:rPr>
          <w:sz w:val="20"/>
          <w:szCs w:val="20"/>
        </w:rPr>
        <w:t xml:space="preserve">the following </w:t>
      </w:r>
      <w:r w:rsidRPr="00355224">
        <w:rPr>
          <w:sz w:val="20"/>
          <w:szCs w:val="20"/>
        </w:rPr>
        <w:t>new ELRs</w:t>
      </w:r>
      <w:r w:rsidR="00A958F2">
        <w:rPr>
          <w:sz w:val="20"/>
          <w:szCs w:val="20"/>
        </w:rPr>
        <w:t>:</w:t>
      </w:r>
    </w:p>
    <w:p w14:paraId="11B9A861" w14:textId="77777777" w:rsidR="009B77C1" w:rsidRDefault="00A958F2" w:rsidP="00F069A2">
      <w:pPr>
        <w:pStyle w:val="Maintext"/>
        <w:numPr>
          <w:ilvl w:val="0"/>
          <w:numId w:val="34"/>
        </w:numPr>
        <w:spacing w:after="120"/>
        <w:ind w:firstLine="273"/>
        <w:rPr>
          <w:sz w:val="20"/>
          <w:szCs w:val="20"/>
        </w:rPr>
      </w:pPr>
      <w:r>
        <w:rPr>
          <w:sz w:val="20"/>
          <w:szCs w:val="20"/>
        </w:rPr>
        <w:t>[105005] – Australian Extension – other jurisdictional disclosures;</w:t>
      </w:r>
    </w:p>
    <w:p w14:paraId="59BB1CB3" w14:textId="35E9CDF3" w:rsidR="009B77C1" w:rsidRPr="004545C8" w:rsidRDefault="002C03A8" w:rsidP="00F069A2">
      <w:pPr>
        <w:pStyle w:val="Maintext"/>
        <w:numPr>
          <w:ilvl w:val="0"/>
          <w:numId w:val="34"/>
        </w:numPr>
        <w:spacing w:after="120"/>
        <w:ind w:firstLine="273"/>
        <w:rPr>
          <w:sz w:val="20"/>
          <w:szCs w:val="20"/>
        </w:rPr>
      </w:pPr>
      <w:r>
        <w:rPr>
          <w:sz w:val="20"/>
          <w:szCs w:val="20"/>
        </w:rPr>
        <w:t>[831800] Notes – Income of not for profit entities</w:t>
      </w:r>
      <w:r w:rsidR="004545C8">
        <w:rPr>
          <w:sz w:val="20"/>
          <w:szCs w:val="20"/>
        </w:rPr>
        <w:t xml:space="preserve">; </w:t>
      </w:r>
      <w:r w:rsidR="00A845B4" w:rsidRPr="004545C8">
        <w:rPr>
          <w:sz w:val="20"/>
          <w:szCs w:val="20"/>
        </w:rPr>
        <w:t>and</w:t>
      </w:r>
    </w:p>
    <w:p w14:paraId="7A48EB98" w14:textId="2C19C8BD" w:rsidR="009B77C1" w:rsidRDefault="00A845B4" w:rsidP="00F069A2">
      <w:pPr>
        <w:pStyle w:val="Maintext"/>
        <w:numPr>
          <w:ilvl w:val="0"/>
          <w:numId w:val="34"/>
        </w:numPr>
        <w:ind w:firstLine="273"/>
        <w:rPr>
          <w:sz w:val="20"/>
          <w:szCs w:val="20"/>
        </w:rPr>
      </w:pPr>
      <w:r w:rsidRPr="00A845B4">
        <w:rPr>
          <w:sz w:val="20"/>
          <w:szCs w:val="20"/>
        </w:rPr>
        <w:t>[83</w:t>
      </w:r>
      <w:r>
        <w:rPr>
          <w:sz w:val="20"/>
          <w:szCs w:val="20"/>
        </w:rPr>
        <w:t>3000</w:t>
      </w:r>
      <w:r w:rsidRPr="00A845B4">
        <w:rPr>
          <w:sz w:val="20"/>
          <w:szCs w:val="20"/>
        </w:rPr>
        <w:t xml:space="preserve">] Notes – </w:t>
      </w:r>
      <w:r>
        <w:rPr>
          <w:sz w:val="20"/>
          <w:szCs w:val="20"/>
        </w:rPr>
        <w:t xml:space="preserve">Parent </w:t>
      </w:r>
      <w:r w:rsidR="00BD0C03">
        <w:rPr>
          <w:sz w:val="20"/>
          <w:szCs w:val="20"/>
        </w:rPr>
        <w:t>entity disclosur</w:t>
      </w:r>
      <w:r w:rsidR="00700ACA">
        <w:rPr>
          <w:sz w:val="20"/>
          <w:szCs w:val="20"/>
        </w:rPr>
        <w:t>e</w:t>
      </w:r>
    </w:p>
    <w:p w14:paraId="5A832DFD" w14:textId="77777777" w:rsidR="00A845B4" w:rsidRDefault="00A845B4" w:rsidP="003E5931">
      <w:pPr>
        <w:pStyle w:val="Maintext"/>
        <w:spacing w:after="120"/>
        <w:ind w:left="1560" w:hanging="142"/>
        <w:rPr>
          <w:sz w:val="20"/>
          <w:szCs w:val="20"/>
        </w:rPr>
      </w:pPr>
    </w:p>
    <w:p w14:paraId="758821D7" w14:textId="6900AFCB" w:rsidR="009B77C1" w:rsidRPr="001050A8" w:rsidRDefault="00355224" w:rsidP="00F069A2">
      <w:pPr>
        <w:pStyle w:val="Maintext"/>
        <w:numPr>
          <w:ilvl w:val="0"/>
          <w:numId w:val="33"/>
        </w:numPr>
        <w:spacing w:after="120"/>
        <w:rPr>
          <w:sz w:val="20"/>
          <w:szCs w:val="20"/>
        </w:rPr>
      </w:pPr>
      <w:r w:rsidRPr="00E858C4">
        <w:rPr>
          <w:sz w:val="20"/>
          <w:szCs w:val="20"/>
        </w:rPr>
        <w:t>Australian specific references are added to IFRS concepts where appropriate, such as Corporations Regulations</w:t>
      </w:r>
      <w:r w:rsidR="00A5449B" w:rsidRPr="00E858C4">
        <w:rPr>
          <w:sz w:val="20"/>
          <w:szCs w:val="20"/>
        </w:rPr>
        <w:t xml:space="preserve">. </w:t>
      </w:r>
      <w:r w:rsidR="00B2072D">
        <w:rPr>
          <w:sz w:val="20"/>
          <w:szCs w:val="20"/>
        </w:rPr>
        <w:t>(see column "Additional AU reference to IFRS elements" in Appendix A)</w:t>
      </w:r>
    </w:p>
    <w:p w14:paraId="02873AA2" w14:textId="3C949014" w:rsidR="002C03A8" w:rsidRDefault="00C7725B" w:rsidP="00E858C4">
      <w:pPr>
        <w:pStyle w:val="NormalWeb"/>
        <w:rPr>
          <w:rFonts w:ascii="Arial" w:hAnsi="Arial"/>
          <w:sz w:val="20"/>
          <w:szCs w:val="20"/>
          <w:lang w:eastAsia="en-AU"/>
        </w:rPr>
      </w:pPr>
      <w:r w:rsidRPr="00E858C4">
        <w:rPr>
          <w:rFonts w:ascii="Arial" w:hAnsi="Arial"/>
          <w:sz w:val="20"/>
          <w:szCs w:val="20"/>
          <w:lang w:eastAsia="en-AU"/>
        </w:rPr>
        <w:t xml:space="preserve">The </w:t>
      </w:r>
      <w:r w:rsidR="00FC3CEC">
        <w:rPr>
          <w:rFonts w:ascii="Arial" w:hAnsi="Arial"/>
          <w:sz w:val="20"/>
          <w:szCs w:val="20"/>
          <w:lang w:eastAsia="en-AU"/>
        </w:rPr>
        <w:t xml:space="preserve">IFRS AU Taxonomy </w:t>
      </w:r>
      <w:r w:rsidR="00442B0D">
        <w:rPr>
          <w:rFonts w:ascii="Arial" w:hAnsi="Arial"/>
          <w:sz w:val="20"/>
          <w:szCs w:val="20"/>
          <w:lang w:eastAsia="en-AU"/>
        </w:rPr>
        <w:t>2025</w:t>
      </w:r>
      <w:r w:rsidR="00355224" w:rsidRPr="00E858C4">
        <w:rPr>
          <w:rFonts w:ascii="Arial" w:hAnsi="Arial"/>
          <w:sz w:val="20"/>
          <w:szCs w:val="20"/>
          <w:lang w:eastAsia="en-AU"/>
        </w:rPr>
        <w:t xml:space="preserve"> file </w:t>
      </w:r>
      <w:r w:rsidR="002C03A8">
        <w:rPr>
          <w:rFonts w:ascii="Arial" w:hAnsi="Arial"/>
          <w:sz w:val="20"/>
          <w:szCs w:val="20"/>
          <w:lang w:eastAsia="en-AU"/>
        </w:rPr>
        <w:t>resides within</w:t>
      </w:r>
      <w:r w:rsidR="00E908D4" w:rsidRPr="00E858C4">
        <w:rPr>
          <w:rFonts w:ascii="Arial" w:hAnsi="Arial"/>
          <w:sz w:val="20"/>
          <w:szCs w:val="20"/>
          <w:lang w:eastAsia="en-AU"/>
        </w:rPr>
        <w:t xml:space="preserve"> the</w:t>
      </w:r>
      <w:r w:rsidR="005E2F1A" w:rsidRPr="00E858C4">
        <w:rPr>
          <w:rFonts w:ascii="Arial" w:hAnsi="Arial"/>
          <w:sz w:val="20"/>
          <w:szCs w:val="20"/>
          <w:lang w:eastAsia="en-AU"/>
        </w:rPr>
        <w:t xml:space="preserve"> </w:t>
      </w:r>
      <w:r w:rsidR="00E908D4" w:rsidRPr="00E858C4">
        <w:rPr>
          <w:rFonts w:ascii="Arial" w:hAnsi="Arial"/>
          <w:sz w:val="20"/>
          <w:szCs w:val="20"/>
          <w:lang w:eastAsia="en-AU"/>
        </w:rPr>
        <w:t>“sbr_au” folder in a specific folder designed to contain taxonomies that are external to the SBR taxonomy but are somehow related to it or leveraged in it. This folder is called “external folder”</w:t>
      </w:r>
      <w:r w:rsidR="00736143" w:rsidRPr="00E858C4">
        <w:rPr>
          <w:rFonts w:ascii="Arial" w:hAnsi="Arial"/>
          <w:sz w:val="20"/>
          <w:szCs w:val="20"/>
          <w:lang w:eastAsia="en-AU"/>
        </w:rPr>
        <w:t xml:space="preserve"> and the folder name is</w:t>
      </w:r>
      <w:r w:rsidR="00E908D4" w:rsidRPr="00E858C4">
        <w:rPr>
          <w:rFonts w:ascii="Arial" w:hAnsi="Arial"/>
          <w:sz w:val="20"/>
          <w:szCs w:val="20"/>
          <w:lang w:eastAsia="en-AU"/>
        </w:rPr>
        <w:t xml:space="preserve"> </w:t>
      </w:r>
      <w:r w:rsidR="00736143" w:rsidRPr="00E858C4">
        <w:rPr>
          <w:rFonts w:ascii="Arial" w:hAnsi="Arial"/>
          <w:sz w:val="20"/>
          <w:szCs w:val="20"/>
          <w:lang w:eastAsia="en-AU"/>
        </w:rPr>
        <w:t>[</w:t>
      </w:r>
      <w:r w:rsidR="00E908D4" w:rsidRPr="00E858C4">
        <w:rPr>
          <w:rFonts w:ascii="Arial" w:hAnsi="Arial"/>
          <w:sz w:val="20"/>
          <w:szCs w:val="20"/>
          <w:lang w:eastAsia="en-AU"/>
        </w:rPr>
        <w:t>extl</w:t>
      </w:r>
      <w:r w:rsidR="00736143" w:rsidRPr="00E858C4">
        <w:rPr>
          <w:rFonts w:ascii="Arial" w:hAnsi="Arial"/>
          <w:sz w:val="20"/>
          <w:szCs w:val="20"/>
          <w:lang w:eastAsia="en-AU"/>
        </w:rPr>
        <w:t>]</w:t>
      </w:r>
      <w:r w:rsidR="005E2F1A" w:rsidRPr="00E858C4">
        <w:rPr>
          <w:rFonts w:ascii="Arial" w:hAnsi="Arial"/>
          <w:sz w:val="20"/>
          <w:szCs w:val="20"/>
          <w:lang w:eastAsia="en-AU"/>
        </w:rPr>
        <w:t xml:space="preserve">. </w:t>
      </w:r>
    </w:p>
    <w:p w14:paraId="18E10057" w14:textId="2A5AE18D" w:rsidR="002C03A8" w:rsidRDefault="00BD18FE" w:rsidP="00E858C4">
      <w:pPr>
        <w:pStyle w:val="NormalWeb"/>
        <w:rPr>
          <w:rFonts w:ascii="Arial" w:hAnsi="Arial"/>
          <w:sz w:val="20"/>
          <w:szCs w:val="20"/>
          <w:lang w:eastAsia="en-AU"/>
        </w:rPr>
      </w:pPr>
      <w:r w:rsidRPr="00E858C4">
        <w:rPr>
          <w:rFonts w:ascii="Arial" w:hAnsi="Arial"/>
          <w:sz w:val="20"/>
          <w:szCs w:val="20"/>
          <w:lang w:eastAsia="en-AU"/>
        </w:rPr>
        <w:t xml:space="preserve">The [extl] folder contains </w:t>
      </w:r>
      <w:r w:rsidR="002C03A8">
        <w:rPr>
          <w:rFonts w:ascii="Arial" w:hAnsi="Arial"/>
          <w:sz w:val="20"/>
          <w:szCs w:val="20"/>
          <w:lang w:eastAsia="en-AU"/>
        </w:rPr>
        <w:t>one</w:t>
      </w:r>
      <w:r w:rsidR="002C03A8" w:rsidRPr="00E858C4">
        <w:rPr>
          <w:rFonts w:ascii="Arial" w:hAnsi="Arial"/>
          <w:sz w:val="20"/>
          <w:szCs w:val="20"/>
          <w:lang w:eastAsia="en-AU"/>
        </w:rPr>
        <w:t xml:space="preserve"> </w:t>
      </w:r>
      <w:r w:rsidRPr="00E858C4">
        <w:rPr>
          <w:rFonts w:ascii="Arial" w:hAnsi="Arial"/>
          <w:sz w:val="20"/>
          <w:szCs w:val="20"/>
          <w:lang w:eastAsia="en-AU"/>
        </w:rPr>
        <w:t>folder</w:t>
      </w:r>
      <w:r w:rsidR="002C03A8">
        <w:rPr>
          <w:rFonts w:ascii="Arial" w:hAnsi="Arial"/>
          <w:sz w:val="20"/>
          <w:szCs w:val="20"/>
          <w:lang w:eastAsia="en-AU"/>
        </w:rPr>
        <w:t xml:space="preserve"> named “ifrs_au_</w:t>
      </w:r>
      <w:r w:rsidR="009A4824">
        <w:rPr>
          <w:rFonts w:ascii="Arial" w:hAnsi="Arial"/>
          <w:sz w:val="20"/>
          <w:szCs w:val="20"/>
          <w:lang w:eastAsia="en-AU"/>
        </w:rPr>
        <w:t>20250821</w:t>
      </w:r>
      <w:r w:rsidR="002C03A8">
        <w:rPr>
          <w:rFonts w:ascii="Arial" w:hAnsi="Arial"/>
          <w:sz w:val="20"/>
          <w:szCs w:val="20"/>
          <w:lang w:eastAsia="en-AU"/>
        </w:rPr>
        <w:t>”</w:t>
      </w:r>
      <w:r w:rsidR="004965C8" w:rsidRPr="00E858C4">
        <w:rPr>
          <w:rFonts w:ascii="Arial" w:hAnsi="Arial"/>
          <w:sz w:val="20"/>
          <w:szCs w:val="20"/>
          <w:lang w:eastAsia="en-AU"/>
        </w:rPr>
        <w:t xml:space="preserve"> that </w:t>
      </w:r>
      <w:r w:rsidR="002C03A8">
        <w:rPr>
          <w:rFonts w:ascii="Arial" w:hAnsi="Arial"/>
          <w:sz w:val="20"/>
          <w:szCs w:val="20"/>
          <w:lang w:eastAsia="en-AU"/>
        </w:rPr>
        <w:t>is</w:t>
      </w:r>
      <w:r w:rsidR="004965C8" w:rsidRPr="00E858C4">
        <w:rPr>
          <w:rFonts w:ascii="Arial" w:hAnsi="Arial"/>
          <w:sz w:val="20"/>
          <w:szCs w:val="20"/>
          <w:lang w:eastAsia="en-AU"/>
        </w:rPr>
        <w:t xml:space="preserve"> the IFRS </w:t>
      </w:r>
      <w:r w:rsidR="00E50B00" w:rsidRPr="00E858C4">
        <w:rPr>
          <w:rFonts w:ascii="Arial" w:hAnsi="Arial"/>
          <w:sz w:val="20"/>
          <w:szCs w:val="20"/>
          <w:lang w:eastAsia="en-AU"/>
        </w:rPr>
        <w:t>AU taxonomy</w:t>
      </w:r>
      <w:r w:rsidR="00FC3CEC">
        <w:rPr>
          <w:rFonts w:ascii="Arial" w:hAnsi="Arial"/>
          <w:sz w:val="20"/>
          <w:szCs w:val="20"/>
          <w:lang w:eastAsia="en-AU"/>
        </w:rPr>
        <w:t xml:space="preserve"> </w:t>
      </w:r>
      <w:r w:rsidR="00442B0D">
        <w:rPr>
          <w:rFonts w:ascii="Arial" w:hAnsi="Arial"/>
          <w:sz w:val="20"/>
          <w:szCs w:val="20"/>
          <w:lang w:eastAsia="en-AU"/>
        </w:rPr>
        <w:t>2025</w:t>
      </w:r>
      <w:r w:rsidR="002C03A8">
        <w:rPr>
          <w:rFonts w:ascii="Arial" w:hAnsi="Arial"/>
          <w:sz w:val="20"/>
          <w:szCs w:val="20"/>
          <w:lang w:eastAsia="en-AU"/>
        </w:rPr>
        <w:t>.  This folder contains:</w:t>
      </w:r>
    </w:p>
    <w:p w14:paraId="0AD6D8E3" w14:textId="77777777" w:rsidR="00BD18FE" w:rsidRDefault="00781B18" w:rsidP="002C03A8">
      <w:pPr>
        <w:pStyle w:val="NormalWeb"/>
        <w:ind w:left="426"/>
        <w:rPr>
          <w:rFonts w:ascii="Arial" w:hAnsi="Arial"/>
          <w:sz w:val="20"/>
          <w:szCs w:val="20"/>
          <w:lang w:eastAsia="en-AU"/>
        </w:rPr>
      </w:pPr>
      <w:r>
        <w:rPr>
          <w:rFonts w:ascii="Arial" w:hAnsi="Arial"/>
          <w:sz w:val="20"/>
          <w:szCs w:val="20"/>
          <w:lang w:eastAsia="en-AU"/>
        </w:rPr>
        <w:t xml:space="preserve">1. </w:t>
      </w:r>
      <w:r w:rsidR="002C03A8">
        <w:rPr>
          <w:rFonts w:ascii="Arial" w:hAnsi="Arial"/>
          <w:sz w:val="20"/>
          <w:szCs w:val="20"/>
          <w:lang w:eastAsia="en-AU"/>
        </w:rPr>
        <w:t>Folder “au_extensions” which contains all AU Extension files (including the core schema of the AU Extension and all AU Extension’s linkbase files)</w:t>
      </w:r>
      <w:r>
        <w:rPr>
          <w:rFonts w:ascii="Arial" w:hAnsi="Arial"/>
          <w:sz w:val="20"/>
          <w:szCs w:val="20"/>
          <w:lang w:eastAsia="en-AU"/>
        </w:rPr>
        <w:t>.</w:t>
      </w:r>
    </w:p>
    <w:p w14:paraId="6F4B2752" w14:textId="77777777" w:rsidR="00A85E77" w:rsidRDefault="00A85E77" w:rsidP="002C03A8">
      <w:pPr>
        <w:pStyle w:val="NormalWeb"/>
        <w:ind w:left="426"/>
        <w:rPr>
          <w:rFonts w:ascii="Arial" w:hAnsi="Arial"/>
          <w:sz w:val="20"/>
          <w:szCs w:val="20"/>
          <w:lang w:eastAsia="en-AU"/>
        </w:rPr>
      </w:pPr>
      <w:r>
        <w:rPr>
          <w:rFonts w:ascii="Arial" w:hAnsi="Arial"/>
          <w:sz w:val="20"/>
          <w:szCs w:val="20"/>
          <w:lang w:eastAsia="en-AU"/>
        </w:rPr>
        <w:t>2. Folder "deprecated" which contains AU reporting concepts that are no longer used in the current taxonomy.</w:t>
      </w:r>
    </w:p>
    <w:p w14:paraId="31307119" w14:textId="7FB6D79D" w:rsidR="00781B18" w:rsidRDefault="00A85E77" w:rsidP="002C03A8">
      <w:pPr>
        <w:pStyle w:val="NormalWeb"/>
        <w:ind w:left="426"/>
        <w:rPr>
          <w:rFonts w:ascii="Arial" w:hAnsi="Arial"/>
          <w:sz w:val="20"/>
          <w:szCs w:val="20"/>
          <w:lang w:eastAsia="en-AU"/>
        </w:rPr>
      </w:pPr>
      <w:r>
        <w:rPr>
          <w:rFonts w:ascii="Arial" w:hAnsi="Arial"/>
          <w:sz w:val="20"/>
          <w:szCs w:val="20"/>
          <w:lang w:eastAsia="en-AU"/>
        </w:rPr>
        <w:t>3</w:t>
      </w:r>
      <w:r w:rsidR="00781B18">
        <w:rPr>
          <w:rFonts w:ascii="Arial" w:hAnsi="Arial"/>
          <w:sz w:val="20"/>
          <w:szCs w:val="20"/>
          <w:lang w:eastAsia="en-AU"/>
        </w:rPr>
        <w:t xml:space="preserve">. Folder “ifrs-full” which is the original IFRS Taxonomy linkbase files and core scheme.  This folder is copied across from the </w:t>
      </w:r>
      <w:r w:rsidR="00FC3CEC">
        <w:rPr>
          <w:rFonts w:ascii="Arial" w:hAnsi="Arial"/>
          <w:sz w:val="20"/>
          <w:szCs w:val="20"/>
          <w:lang w:eastAsia="en-AU"/>
        </w:rPr>
        <w:t xml:space="preserve">IFRS Taxonomy </w:t>
      </w:r>
      <w:r w:rsidR="00442B0D">
        <w:rPr>
          <w:rFonts w:ascii="Arial" w:hAnsi="Arial"/>
          <w:sz w:val="20"/>
          <w:szCs w:val="20"/>
          <w:lang w:eastAsia="en-AU"/>
        </w:rPr>
        <w:t>2025</w:t>
      </w:r>
      <w:r w:rsidR="00781B18">
        <w:rPr>
          <w:rFonts w:ascii="Arial" w:hAnsi="Arial"/>
          <w:sz w:val="20"/>
          <w:szCs w:val="20"/>
          <w:lang w:eastAsia="en-AU"/>
        </w:rPr>
        <w:t xml:space="preserve"> without making any changes.</w:t>
      </w:r>
    </w:p>
    <w:p w14:paraId="2A6F8CBF" w14:textId="67DCBAB8" w:rsidR="00781B18" w:rsidRDefault="00A85E77" w:rsidP="002C03A8">
      <w:pPr>
        <w:pStyle w:val="NormalWeb"/>
        <w:ind w:left="426"/>
        <w:rPr>
          <w:rFonts w:ascii="Arial" w:hAnsi="Arial"/>
          <w:sz w:val="20"/>
          <w:szCs w:val="20"/>
          <w:lang w:eastAsia="en-AU"/>
        </w:rPr>
      </w:pPr>
      <w:r>
        <w:rPr>
          <w:rFonts w:ascii="Arial" w:hAnsi="Arial"/>
          <w:sz w:val="20"/>
          <w:szCs w:val="20"/>
          <w:lang w:eastAsia="en-AU"/>
        </w:rPr>
        <w:t>4</w:t>
      </w:r>
      <w:r w:rsidR="00781B18">
        <w:rPr>
          <w:rFonts w:ascii="Arial" w:hAnsi="Arial"/>
          <w:sz w:val="20"/>
          <w:szCs w:val="20"/>
          <w:lang w:eastAsia="en-AU"/>
        </w:rPr>
        <w:t>. The entry point “</w:t>
      </w:r>
      <w:r w:rsidR="00781B18" w:rsidRPr="00781B18">
        <w:rPr>
          <w:rFonts w:ascii="Arial" w:hAnsi="Arial"/>
          <w:sz w:val="20"/>
          <w:szCs w:val="20"/>
          <w:lang w:eastAsia="en-AU"/>
        </w:rPr>
        <w:t>full_ifrs_with_AU_extensions_entry_point_1_</w:t>
      </w:r>
      <w:r w:rsidR="009A4824">
        <w:rPr>
          <w:rFonts w:ascii="Arial" w:hAnsi="Arial"/>
          <w:sz w:val="20"/>
          <w:szCs w:val="20"/>
          <w:lang w:eastAsia="en-AU"/>
        </w:rPr>
        <w:t>2025-08-21</w:t>
      </w:r>
      <w:r w:rsidR="00781B18" w:rsidRPr="00781B18">
        <w:rPr>
          <w:rFonts w:ascii="Arial" w:hAnsi="Arial"/>
          <w:sz w:val="20"/>
          <w:szCs w:val="20"/>
          <w:lang w:eastAsia="en-AU"/>
        </w:rPr>
        <w:t>.xsd</w:t>
      </w:r>
      <w:r w:rsidR="00781B18">
        <w:rPr>
          <w:rFonts w:ascii="Arial" w:hAnsi="Arial"/>
          <w:sz w:val="20"/>
          <w:szCs w:val="20"/>
          <w:lang w:eastAsia="en-AU"/>
        </w:rPr>
        <w:t xml:space="preserve">” which will be used by entities presenting consolidated financial statements only.  This is referred to as “entry point </w:t>
      </w:r>
      <w:r w:rsidR="00B86F6A">
        <w:rPr>
          <w:rFonts w:ascii="Arial" w:hAnsi="Arial"/>
          <w:sz w:val="20"/>
          <w:szCs w:val="20"/>
          <w:lang w:eastAsia="en-AU"/>
        </w:rPr>
        <w:t>1</w:t>
      </w:r>
      <w:r w:rsidR="00781B18">
        <w:rPr>
          <w:rFonts w:ascii="Arial" w:hAnsi="Arial"/>
          <w:sz w:val="20"/>
          <w:szCs w:val="20"/>
          <w:lang w:eastAsia="en-AU"/>
        </w:rPr>
        <w:t>”.</w:t>
      </w:r>
    </w:p>
    <w:p w14:paraId="3FA613E9" w14:textId="77777777" w:rsidR="00A97744" w:rsidRPr="00E858C4" w:rsidRDefault="00A97744" w:rsidP="002C03A8">
      <w:pPr>
        <w:pStyle w:val="NormalWeb"/>
        <w:ind w:left="426"/>
        <w:rPr>
          <w:rFonts w:ascii="Arial" w:hAnsi="Arial"/>
          <w:sz w:val="20"/>
          <w:szCs w:val="20"/>
          <w:lang w:eastAsia="en-AU"/>
        </w:rPr>
      </w:pPr>
      <w:r w:rsidRPr="00823A5D">
        <w:rPr>
          <w:rFonts w:ascii="Arial" w:hAnsi="Arial"/>
          <w:sz w:val="20"/>
          <w:szCs w:val="20"/>
          <w:lang w:eastAsia="en-AU"/>
        </w:rPr>
        <w:t>Folders and Files Structure at section 3.3.1</w:t>
      </w:r>
      <w:r w:rsidRPr="00A97744">
        <w:rPr>
          <w:rFonts w:ascii="Arial" w:hAnsi="Arial"/>
          <w:sz w:val="20"/>
          <w:szCs w:val="20"/>
          <w:lang w:eastAsia="en-AU"/>
        </w:rPr>
        <w:t xml:space="preserve"> for more information.</w:t>
      </w:r>
    </w:p>
    <w:p w14:paraId="61569514" w14:textId="77777777" w:rsidR="00024EAF" w:rsidRPr="005819BE" w:rsidRDefault="00B2072D" w:rsidP="005819BE">
      <w:pPr>
        <w:pStyle w:val="Head3"/>
      </w:pPr>
      <w:bookmarkStart w:id="154" w:name="_Toc487431134"/>
      <w:bookmarkStart w:id="155" w:name="_Toc487431135"/>
      <w:bookmarkStart w:id="156" w:name="_Toc487431136"/>
      <w:bookmarkStart w:id="157" w:name="_Toc487431137"/>
      <w:bookmarkStart w:id="158" w:name="_Toc487431138"/>
      <w:bookmarkStart w:id="159" w:name="_Toc487431139"/>
      <w:bookmarkStart w:id="160" w:name="_Toc487431140"/>
      <w:bookmarkStart w:id="161" w:name="_Toc487431141"/>
      <w:bookmarkStart w:id="162" w:name="_Toc487431142"/>
      <w:bookmarkStart w:id="163" w:name="_Toc487431143"/>
      <w:bookmarkStart w:id="164" w:name="_Toc205457954"/>
      <w:bookmarkEnd w:id="154"/>
      <w:bookmarkEnd w:id="155"/>
      <w:bookmarkEnd w:id="156"/>
      <w:bookmarkEnd w:id="157"/>
      <w:bookmarkEnd w:id="158"/>
      <w:bookmarkEnd w:id="159"/>
      <w:bookmarkEnd w:id="160"/>
      <w:bookmarkEnd w:id="161"/>
      <w:bookmarkEnd w:id="162"/>
      <w:bookmarkEnd w:id="163"/>
      <w:r>
        <w:t>Preparer's</w:t>
      </w:r>
      <w:r w:rsidRPr="005819BE">
        <w:t xml:space="preserve"> </w:t>
      </w:r>
      <w:r w:rsidR="00024EAF" w:rsidRPr="005819BE">
        <w:t>extension</w:t>
      </w:r>
      <w:r>
        <w:t xml:space="preserve"> or customisation of IFRS AU taxonomy</w:t>
      </w:r>
      <w:bookmarkEnd w:id="164"/>
    </w:p>
    <w:p w14:paraId="51A20C63" w14:textId="7491A56F" w:rsidR="00821300" w:rsidRDefault="004D6E9B" w:rsidP="001167B2">
      <w:pPr>
        <w:pStyle w:val="Maintext"/>
        <w:rPr>
          <w:rFonts w:cs="Arial"/>
          <w:bCs/>
          <w:iCs/>
          <w:sz w:val="20"/>
          <w:szCs w:val="20"/>
        </w:rPr>
      </w:pPr>
      <w:r>
        <w:rPr>
          <w:rFonts w:cs="Arial"/>
          <w:bCs/>
          <w:iCs/>
          <w:sz w:val="20"/>
          <w:szCs w:val="20"/>
        </w:rPr>
        <w:t xml:space="preserve">The </w:t>
      </w:r>
      <w:r w:rsidR="00FC3CEC">
        <w:rPr>
          <w:rFonts w:cs="Arial"/>
          <w:bCs/>
          <w:iCs/>
          <w:sz w:val="20"/>
          <w:szCs w:val="20"/>
        </w:rPr>
        <w:t xml:space="preserve">IFRS AU Taxonomy </w:t>
      </w:r>
      <w:r w:rsidR="00442B0D">
        <w:rPr>
          <w:rFonts w:cs="Arial"/>
          <w:bCs/>
          <w:iCs/>
          <w:sz w:val="20"/>
          <w:szCs w:val="20"/>
        </w:rPr>
        <w:t>2025</w:t>
      </w:r>
      <w:r>
        <w:rPr>
          <w:rFonts w:cs="Arial"/>
          <w:bCs/>
          <w:iCs/>
          <w:sz w:val="20"/>
          <w:szCs w:val="20"/>
        </w:rPr>
        <w:t xml:space="preserve"> has been designed </w:t>
      </w:r>
      <w:r w:rsidR="00D201D6">
        <w:rPr>
          <w:rFonts w:cs="Arial"/>
          <w:bCs/>
          <w:iCs/>
          <w:sz w:val="20"/>
          <w:szCs w:val="20"/>
        </w:rPr>
        <w:t>for tagging</w:t>
      </w:r>
      <w:r>
        <w:rPr>
          <w:rFonts w:cs="Arial"/>
          <w:bCs/>
          <w:iCs/>
          <w:sz w:val="20"/>
          <w:szCs w:val="20"/>
        </w:rPr>
        <w:t xml:space="preserve"> </w:t>
      </w:r>
      <w:r w:rsidR="005353A4">
        <w:rPr>
          <w:rFonts w:cs="Arial"/>
          <w:bCs/>
          <w:iCs/>
          <w:sz w:val="20"/>
          <w:szCs w:val="20"/>
        </w:rPr>
        <w:t xml:space="preserve">the </w:t>
      </w:r>
      <w:r>
        <w:rPr>
          <w:rFonts w:cs="Arial"/>
          <w:bCs/>
          <w:iCs/>
          <w:sz w:val="20"/>
          <w:szCs w:val="20"/>
        </w:rPr>
        <w:t xml:space="preserve">disclosures prescribed </w:t>
      </w:r>
      <w:r w:rsidR="00536B30">
        <w:rPr>
          <w:rFonts w:cs="Arial"/>
          <w:bCs/>
          <w:iCs/>
          <w:sz w:val="20"/>
          <w:szCs w:val="20"/>
        </w:rPr>
        <w:t xml:space="preserve">in the </w:t>
      </w:r>
      <w:r w:rsidR="00CF7C4A">
        <w:rPr>
          <w:rFonts w:cs="Arial"/>
          <w:bCs/>
          <w:iCs/>
          <w:sz w:val="20"/>
          <w:szCs w:val="20"/>
        </w:rPr>
        <w:t>accounting standards</w:t>
      </w:r>
      <w:r w:rsidR="00370A3B">
        <w:rPr>
          <w:rFonts w:cs="Arial"/>
          <w:bCs/>
          <w:iCs/>
          <w:sz w:val="20"/>
          <w:szCs w:val="20"/>
        </w:rPr>
        <w:t xml:space="preserve">. In some circumstances the accounting standards may require disclosure of certain information at a more </w:t>
      </w:r>
      <w:r w:rsidR="00B80E5D">
        <w:rPr>
          <w:rFonts w:cs="Arial"/>
          <w:bCs/>
          <w:iCs/>
          <w:sz w:val="20"/>
          <w:szCs w:val="20"/>
        </w:rPr>
        <w:t>granular</w:t>
      </w:r>
      <w:r w:rsidR="00370A3B">
        <w:rPr>
          <w:rFonts w:cs="Arial"/>
          <w:bCs/>
          <w:iCs/>
          <w:sz w:val="20"/>
          <w:szCs w:val="20"/>
        </w:rPr>
        <w:t xml:space="preserve"> level than</w:t>
      </w:r>
      <w:r w:rsidR="007E39A9">
        <w:rPr>
          <w:rFonts w:cs="Arial"/>
          <w:bCs/>
          <w:iCs/>
          <w:sz w:val="20"/>
          <w:szCs w:val="20"/>
        </w:rPr>
        <w:t xml:space="preserve"> </w:t>
      </w:r>
      <w:r w:rsidR="00B80E5D">
        <w:rPr>
          <w:rFonts w:cs="Arial"/>
          <w:bCs/>
          <w:iCs/>
          <w:sz w:val="20"/>
          <w:szCs w:val="20"/>
        </w:rPr>
        <w:t>the tags</w:t>
      </w:r>
      <w:r w:rsidR="007E39A9">
        <w:rPr>
          <w:rFonts w:cs="Arial"/>
          <w:bCs/>
          <w:iCs/>
          <w:sz w:val="20"/>
          <w:szCs w:val="20"/>
        </w:rPr>
        <w:t xml:space="preserve"> provided for in the </w:t>
      </w:r>
      <w:r w:rsidR="00A15D66">
        <w:rPr>
          <w:rFonts w:cs="Arial"/>
          <w:bCs/>
          <w:iCs/>
          <w:sz w:val="20"/>
          <w:szCs w:val="20"/>
        </w:rPr>
        <w:t>T</w:t>
      </w:r>
      <w:r w:rsidR="00370A3B">
        <w:rPr>
          <w:rFonts w:cs="Arial"/>
          <w:bCs/>
          <w:iCs/>
          <w:sz w:val="20"/>
          <w:szCs w:val="20"/>
        </w:rPr>
        <w:t>axonomy</w:t>
      </w:r>
      <w:r w:rsidR="00536B30">
        <w:rPr>
          <w:rFonts w:cs="Arial"/>
          <w:bCs/>
          <w:iCs/>
          <w:sz w:val="20"/>
          <w:szCs w:val="20"/>
        </w:rPr>
        <w:t xml:space="preserve">.  This </w:t>
      </w:r>
      <w:r w:rsidR="00B80E5D">
        <w:rPr>
          <w:rFonts w:cs="Arial"/>
          <w:bCs/>
          <w:iCs/>
          <w:sz w:val="20"/>
          <w:szCs w:val="20"/>
        </w:rPr>
        <w:t>granular</w:t>
      </w:r>
      <w:r w:rsidR="00536B30">
        <w:rPr>
          <w:rFonts w:cs="Arial"/>
          <w:bCs/>
          <w:iCs/>
          <w:sz w:val="20"/>
          <w:szCs w:val="20"/>
        </w:rPr>
        <w:t xml:space="preserve"> information can be different from </w:t>
      </w:r>
      <w:r w:rsidR="008758CE">
        <w:rPr>
          <w:rFonts w:cs="Arial"/>
          <w:bCs/>
          <w:iCs/>
          <w:sz w:val="20"/>
          <w:szCs w:val="20"/>
        </w:rPr>
        <w:t xml:space="preserve">entity </w:t>
      </w:r>
      <w:r w:rsidR="00536B30">
        <w:rPr>
          <w:rFonts w:cs="Arial"/>
          <w:bCs/>
          <w:iCs/>
          <w:sz w:val="20"/>
          <w:szCs w:val="20"/>
        </w:rPr>
        <w:t xml:space="preserve">to </w:t>
      </w:r>
      <w:r w:rsidR="008758CE">
        <w:rPr>
          <w:rFonts w:cs="Arial"/>
          <w:bCs/>
          <w:iCs/>
          <w:sz w:val="20"/>
          <w:szCs w:val="20"/>
        </w:rPr>
        <w:t>entity</w:t>
      </w:r>
      <w:r w:rsidR="00536B30">
        <w:rPr>
          <w:rFonts w:cs="Arial"/>
          <w:bCs/>
          <w:iCs/>
          <w:sz w:val="20"/>
          <w:szCs w:val="20"/>
        </w:rPr>
        <w:t xml:space="preserve"> (for example, business segment disclosures) and are not prescribed in the </w:t>
      </w:r>
      <w:r w:rsidR="00CF7C4A">
        <w:rPr>
          <w:rFonts w:cs="Arial"/>
          <w:bCs/>
          <w:iCs/>
          <w:sz w:val="20"/>
          <w:szCs w:val="20"/>
        </w:rPr>
        <w:t>accounting standards</w:t>
      </w:r>
      <w:r w:rsidR="005353A4">
        <w:rPr>
          <w:rFonts w:cs="Arial"/>
          <w:bCs/>
          <w:iCs/>
          <w:sz w:val="20"/>
          <w:szCs w:val="20"/>
        </w:rPr>
        <w:t>.</w:t>
      </w:r>
      <w:r w:rsidR="00536B30">
        <w:rPr>
          <w:rFonts w:cs="Arial"/>
          <w:bCs/>
          <w:iCs/>
          <w:sz w:val="20"/>
          <w:szCs w:val="20"/>
        </w:rPr>
        <w:t xml:space="preserve"> </w:t>
      </w:r>
      <w:r w:rsidR="008A2BF2">
        <w:rPr>
          <w:rFonts w:cs="Arial"/>
          <w:bCs/>
          <w:iCs/>
          <w:sz w:val="20"/>
          <w:szCs w:val="20"/>
        </w:rPr>
        <w:t xml:space="preserve">The way in which this kind of detail is usually captured is by creating </w:t>
      </w:r>
      <w:r w:rsidR="00B2072D">
        <w:rPr>
          <w:rFonts w:cs="Arial"/>
          <w:bCs/>
          <w:iCs/>
          <w:sz w:val="20"/>
          <w:szCs w:val="20"/>
        </w:rPr>
        <w:t>new items in</w:t>
      </w:r>
      <w:r w:rsidR="008A2BF2">
        <w:rPr>
          <w:rFonts w:cs="Arial"/>
          <w:bCs/>
          <w:iCs/>
          <w:sz w:val="20"/>
          <w:szCs w:val="20"/>
        </w:rPr>
        <w:t xml:space="preserve"> the </w:t>
      </w:r>
      <w:r w:rsidR="00670049">
        <w:rPr>
          <w:rFonts w:cs="Arial"/>
          <w:bCs/>
          <w:iCs/>
          <w:sz w:val="20"/>
          <w:szCs w:val="20"/>
        </w:rPr>
        <w:t>T</w:t>
      </w:r>
      <w:r w:rsidR="008A2BF2">
        <w:rPr>
          <w:rFonts w:cs="Arial"/>
          <w:bCs/>
          <w:iCs/>
          <w:sz w:val="20"/>
          <w:szCs w:val="20"/>
        </w:rPr>
        <w:t>axonomy</w:t>
      </w:r>
      <w:r w:rsidR="001E2FFB">
        <w:rPr>
          <w:rFonts w:cs="Arial"/>
          <w:bCs/>
          <w:iCs/>
          <w:sz w:val="20"/>
          <w:szCs w:val="20"/>
        </w:rPr>
        <w:t xml:space="preserve"> (referred to as "</w:t>
      </w:r>
      <w:r w:rsidR="00263CDE">
        <w:rPr>
          <w:rFonts w:cs="Arial"/>
          <w:bCs/>
          <w:iCs/>
          <w:sz w:val="20"/>
          <w:szCs w:val="20"/>
        </w:rPr>
        <w:t>p</w:t>
      </w:r>
      <w:r w:rsidR="00B2072D">
        <w:rPr>
          <w:rFonts w:cs="Arial"/>
          <w:bCs/>
          <w:iCs/>
          <w:sz w:val="20"/>
          <w:szCs w:val="20"/>
        </w:rPr>
        <w:t xml:space="preserve">reparer's </w:t>
      </w:r>
      <w:r w:rsidR="001E2FFB">
        <w:rPr>
          <w:rFonts w:cs="Arial"/>
          <w:bCs/>
          <w:iCs/>
          <w:sz w:val="20"/>
          <w:szCs w:val="20"/>
        </w:rPr>
        <w:t>extension")</w:t>
      </w:r>
      <w:r w:rsidR="008A2BF2">
        <w:rPr>
          <w:rFonts w:cs="Arial"/>
          <w:bCs/>
          <w:iCs/>
          <w:sz w:val="20"/>
          <w:szCs w:val="20"/>
        </w:rPr>
        <w:t xml:space="preserve">. </w:t>
      </w:r>
      <w:r w:rsidR="00B2072D">
        <w:rPr>
          <w:rFonts w:cs="Arial"/>
          <w:bCs/>
          <w:iCs/>
          <w:sz w:val="20"/>
          <w:szCs w:val="20"/>
        </w:rPr>
        <w:t xml:space="preserve"> The entity may need to make changes to the taxonomy to accommodate its specific disc</w:t>
      </w:r>
      <w:r w:rsidR="00263CDE">
        <w:rPr>
          <w:rFonts w:cs="Arial"/>
          <w:bCs/>
          <w:iCs/>
          <w:sz w:val="20"/>
          <w:szCs w:val="20"/>
        </w:rPr>
        <w:t xml:space="preserve">losures (such as: removing certain irrelevant linkbases) without introducing new items to the taxonomy (referred to as "preparer's customisation"). </w:t>
      </w:r>
    </w:p>
    <w:p w14:paraId="50C20FED" w14:textId="77777777" w:rsidR="00821300" w:rsidRDefault="00821300" w:rsidP="001167B2">
      <w:pPr>
        <w:pStyle w:val="Maintext"/>
        <w:rPr>
          <w:rFonts w:cs="Arial"/>
          <w:bCs/>
          <w:iCs/>
          <w:sz w:val="20"/>
          <w:szCs w:val="20"/>
        </w:rPr>
      </w:pPr>
    </w:p>
    <w:p w14:paraId="3FE9C865" w14:textId="1A1F8DAB" w:rsidR="005E04D5" w:rsidRDefault="00263CDE">
      <w:pPr>
        <w:pStyle w:val="Maintext"/>
        <w:rPr>
          <w:rFonts w:cs="Arial"/>
          <w:bCs/>
          <w:iCs/>
          <w:sz w:val="20"/>
          <w:szCs w:val="20"/>
        </w:rPr>
      </w:pPr>
      <w:r>
        <w:rPr>
          <w:rFonts w:cs="Arial"/>
          <w:bCs/>
          <w:iCs/>
          <w:sz w:val="20"/>
          <w:szCs w:val="20"/>
        </w:rPr>
        <w:t>Preparer</w:t>
      </w:r>
      <w:r w:rsidRPr="004F1E04">
        <w:rPr>
          <w:rFonts w:cs="Arial"/>
          <w:bCs/>
          <w:iCs/>
          <w:sz w:val="20"/>
          <w:szCs w:val="20"/>
        </w:rPr>
        <w:t xml:space="preserve"> extension</w:t>
      </w:r>
      <w:r>
        <w:rPr>
          <w:rFonts w:cs="Arial"/>
          <w:bCs/>
          <w:iCs/>
          <w:sz w:val="20"/>
          <w:szCs w:val="20"/>
        </w:rPr>
        <w:t>/customisation</w:t>
      </w:r>
      <w:r w:rsidRPr="004F1E04">
        <w:rPr>
          <w:rFonts w:cs="Arial"/>
          <w:bCs/>
          <w:iCs/>
          <w:sz w:val="20"/>
          <w:szCs w:val="20"/>
        </w:rPr>
        <w:t xml:space="preserve"> </w:t>
      </w:r>
      <w:r w:rsidR="00463812" w:rsidRPr="004F1E04">
        <w:rPr>
          <w:rFonts w:cs="Arial"/>
          <w:bCs/>
          <w:iCs/>
          <w:sz w:val="20"/>
          <w:szCs w:val="20"/>
        </w:rPr>
        <w:t xml:space="preserve">to </w:t>
      </w:r>
      <w:r w:rsidR="00A15D66">
        <w:rPr>
          <w:rFonts w:cs="Arial"/>
          <w:bCs/>
          <w:iCs/>
          <w:sz w:val="20"/>
          <w:szCs w:val="20"/>
        </w:rPr>
        <w:t xml:space="preserve">the </w:t>
      </w:r>
      <w:r w:rsidR="00FC3CEC">
        <w:rPr>
          <w:rFonts w:cs="Arial"/>
          <w:bCs/>
          <w:iCs/>
          <w:sz w:val="20"/>
          <w:szCs w:val="20"/>
        </w:rPr>
        <w:t xml:space="preserve">IFRS AU Taxonomy </w:t>
      </w:r>
      <w:r w:rsidR="00442B0D">
        <w:rPr>
          <w:rFonts w:cs="Arial"/>
          <w:bCs/>
          <w:iCs/>
          <w:sz w:val="20"/>
          <w:szCs w:val="20"/>
        </w:rPr>
        <w:t>2025</w:t>
      </w:r>
      <w:r w:rsidR="00D66AAD">
        <w:rPr>
          <w:rFonts w:cs="Arial"/>
          <w:bCs/>
          <w:iCs/>
          <w:sz w:val="20"/>
          <w:szCs w:val="20"/>
        </w:rPr>
        <w:t xml:space="preserve"> is not </w:t>
      </w:r>
      <w:r w:rsidR="00B80E5D">
        <w:rPr>
          <w:rFonts w:cs="Arial"/>
          <w:bCs/>
          <w:iCs/>
          <w:sz w:val="20"/>
          <w:szCs w:val="20"/>
        </w:rPr>
        <w:t>supported</w:t>
      </w:r>
      <w:r w:rsidR="00463812" w:rsidRPr="004F1E04">
        <w:rPr>
          <w:rFonts w:cs="Arial"/>
          <w:bCs/>
          <w:iCs/>
          <w:sz w:val="20"/>
          <w:szCs w:val="20"/>
        </w:rPr>
        <w:t xml:space="preserve">. </w:t>
      </w:r>
      <w:r w:rsidR="004D6E9B" w:rsidRPr="004F1E04">
        <w:rPr>
          <w:rFonts w:cs="Arial"/>
          <w:bCs/>
          <w:iCs/>
          <w:sz w:val="20"/>
          <w:szCs w:val="20"/>
        </w:rPr>
        <w:t xml:space="preserve">Therefore, entities </w:t>
      </w:r>
      <w:r w:rsidR="00B80E5D">
        <w:rPr>
          <w:rFonts w:cs="Arial"/>
          <w:bCs/>
          <w:iCs/>
          <w:sz w:val="20"/>
          <w:szCs w:val="20"/>
        </w:rPr>
        <w:t>should</w:t>
      </w:r>
      <w:r w:rsidR="00D66AAD">
        <w:rPr>
          <w:rFonts w:cs="Arial"/>
          <w:bCs/>
          <w:iCs/>
          <w:sz w:val="20"/>
          <w:szCs w:val="20"/>
        </w:rPr>
        <w:t xml:space="preserve"> not</w:t>
      </w:r>
      <w:r w:rsidR="00D66AAD" w:rsidRPr="004F1E04">
        <w:rPr>
          <w:rFonts w:cs="Arial"/>
          <w:bCs/>
          <w:iCs/>
          <w:sz w:val="20"/>
          <w:szCs w:val="20"/>
        </w:rPr>
        <w:t xml:space="preserve"> </w:t>
      </w:r>
      <w:r w:rsidR="00B2072D">
        <w:rPr>
          <w:rFonts w:cs="Arial"/>
          <w:bCs/>
          <w:iCs/>
          <w:sz w:val="20"/>
          <w:szCs w:val="20"/>
        </w:rPr>
        <w:t>make changes</w:t>
      </w:r>
      <w:r w:rsidR="00B2072D" w:rsidRPr="004F1E04">
        <w:rPr>
          <w:rFonts w:cs="Arial"/>
          <w:bCs/>
          <w:iCs/>
          <w:sz w:val="20"/>
          <w:szCs w:val="20"/>
        </w:rPr>
        <w:t xml:space="preserve"> </w:t>
      </w:r>
      <w:r w:rsidR="004D6E9B" w:rsidRPr="004F1E04">
        <w:rPr>
          <w:rFonts w:cs="Arial"/>
          <w:bCs/>
          <w:iCs/>
          <w:sz w:val="20"/>
          <w:szCs w:val="20"/>
        </w:rPr>
        <w:t xml:space="preserve">the </w:t>
      </w:r>
      <w:r w:rsidR="00A15D66">
        <w:rPr>
          <w:rFonts w:cs="Arial"/>
          <w:bCs/>
          <w:iCs/>
          <w:sz w:val="20"/>
          <w:szCs w:val="20"/>
        </w:rPr>
        <w:t>T</w:t>
      </w:r>
      <w:r w:rsidR="004D6E9B" w:rsidRPr="004F1E04">
        <w:rPr>
          <w:rFonts w:cs="Arial"/>
          <w:bCs/>
          <w:iCs/>
          <w:sz w:val="20"/>
          <w:szCs w:val="20"/>
        </w:rPr>
        <w:t xml:space="preserve">axonomy </w:t>
      </w:r>
      <w:r w:rsidR="004D6E9B">
        <w:rPr>
          <w:rFonts w:cs="Arial"/>
          <w:bCs/>
          <w:iCs/>
          <w:sz w:val="20"/>
          <w:szCs w:val="20"/>
        </w:rPr>
        <w:t>when creating an</w:t>
      </w:r>
      <w:r w:rsidR="004D6E9B" w:rsidRPr="004F1E04">
        <w:rPr>
          <w:rFonts w:cs="Arial"/>
          <w:bCs/>
          <w:iCs/>
          <w:sz w:val="20"/>
          <w:szCs w:val="20"/>
        </w:rPr>
        <w:t xml:space="preserve"> instance document</w:t>
      </w:r>
      <w:r w:rsidR="004D6E9B">
        <w:rPr>
          <w:rFonts w:cs="Arial"/>
          <w:bCs/>
          <w:iCs/>
          <w:sz w:val="20"/>
          <w:szCs w:val="20"/>
        </w:rPr>
        <w:t xml:space="preserve"> for the purpose of lodging with ASIC.</w:t>
      </w:r>
      <w:r w:rsidR="008B7E3C">
        <w:rPr>
          <w:rFonts w:cs="Arial"/>
          <w:bCs/>
          <w:iCs/>
          <w:sz w:val="20"/>
          <w:szCs w:val="20"/>
        </w:rPr>
        <w:t xml:space="preserve"> Instead, </w:t>
      </w:r>
      <w:r w:rsidR="00F53FC1">
        <w:rPr>
          <w:rFonts w:cs="Arial"/>
          <w:bCs/>
          <w:iCs/>
          <w:sz w:val="20"/>
          <w:szCs w:val="20"/>
        </w:rPr>
        <w:t>the prepare</w:t>
      </w:r>
      <w:r w:rsidR="004D6E9B">
        <w:rPr>
          <w:rFonts w:cs="Arial"/>
          <w:bCs/>
          <w:iCs/>
          <w:sz w:val="20"/>
          <w:szCs w:val="20"/>
        </w:rPr>
        <w:t>r</w:t>
      </w:r>
      <w:r w:rsidR="00F53FC1">
        <w:rPr>
          <w:rFonts w:cs="Arial"/>
          <w:bCs/>
          <w:iCs/>
          <w:sz w:val="20"/>
          <w:szCs w:val="20"/>
        </w:rPr>
        <w:t xml:space="preserve"> need</w:t>
      </w:r>
      <w:r w:rsidR="00A15D66">
        <w:rPr>
          <w:rFonts w:cs="Arial"/>
          <w:bCs/>
          <w:iCs/>
          <w:sz w:val="20"/>
          <w:szCs w:val="20"/>
        </w:rPr>
        <w:t>s</w:t>
      </w:r>
      <w:r w:rsidR="00F53FC1">
        <w:rPr>
          <w:rFonts w:cs="Arial"/>
          <w:bCs/>
          <w:iCs/>
          <w:sz w:val="20"/>
          <w:szCs w:val="20"/>
        </w:rPr>
        <w:t xml:space="preserve"> </w:t>
      </w:r>
      <w:r w:rsidR="008A2BF2">
        <w:rPr>
          <w:rFonts w:cs="Arial"/>
          <w:bCs/>
          <w:iCs/>
          <w:sz w:val="20"/>
          <w:szCs w:val="20"/>
        </w:rPr>
        <w:t>to provide the necessary level of detail by</w:t>
      </w:r>
      <w:r w:rsidR="006F5EDA" w:rsidRPr="004F1E04">
        <w:rPr>
          <w:rFonts w:cs="Arial"/>
          <w:bCs/>
          <w:iCs/>
          <w:sz w:val="20"/>
          <w:szCs w:val="20"/>
        </w:rPr>
        <w:t xml:space="preserve"> </w:t>
      </w:r>
      <w:r w:rsidR="00F53FC1">
        <w:rPr>
          <w:rFonts w:cs="Arial"/>
          <w:bCs/>
          <w:iCs/>
          <w:sz w:val="20"/>
          <w:szCs w:val="20"/>
        </w:rPr>
        <w:t>block-tag</w:t>
      </w:r>
      <w:r w:rsidR="008A2BF2">
        <w:rPr>
          <w:rFonts w:cs="Arial"/>
          <w:bCs/>
          <w:iCs/>
          <w:sz w:val="20"/>
          <w:szCs w:val="20"/>
        </w:rPr>
        <w:t>ging</w:t>
      </w:r>
      <w:r w:rsidR="00F53FC1">
        <w:rPr>
          <w:rFonts w:cs="Arial"/>
          <w:bCs/>
          <w:iCs/>
          <w:sz w:val="20"/>
          <w:szCs w:val="20"/>
        </w:rPr>
        <w:t xml:space="preserve"> the information </w:t>
      </w:r>
      <w:r w:rsidR="0048793D" w:rsidRPr="004F1E04">
        <w:rPr>
          <w:rFonts w:cs="Arial"/>
          <w:bCs/>
          <w:iCs/>
          <w:sz w:val="20"/>
          <w:szCs w:val="20"/>
        </w:rPr>
        <w:t>using appropriate [text block] concept</w:t>
      </w:r>
      <w:r w:rsidR="008B7E3C">
        <w:rPr>
          <w:rFonts w:cs="Arial"/>
          <w:bCs/>
          <w:iCs/>
          <w:sz w:val="20"/>
          <w:szCs w:val="20"/>
        </w:rPr>
        <w:t>s</w:t>
      </w:r>
      <w:r w:rsidR="006F5EDA" w:rsidRPr="004F1E04">
        <w:rPr>
          <w:rFonts w:cs="Arial"/>
          <w:bCs/>
          <w:iCs/>
          <w:sz w:val="20"/>
          <w:szCs w:val="20"/>
        </w:rPr>
        <w:t xml:space="preserve">. This is discussed further in section </w:t>
      </w:r>
      <w:r w:rsidR="00B201DE" w:rsidRPr="00B67020">
        <w:rPr>
          <w:rFonts w:cs="Arial"/>
          <w:bCs/>
          <w:iCs/>
          <w:sz w:val="20"/>
          <w:szCs w:val="20"/>
        </w:rPr>
        <w:t>4.</w:t>
      </w:r>
      <w:r w:rsidR="00B80E5D">
        <w:rPr>
          <w:rFonts w:cs="Arial"/>
          <w:bCs/>
          <w:iCs/>
          <w:sz w:val="20"/>
          <w:szCs w:val="20"/>
        </w:rPr>
        <w:t>3</w:t>
      </w:r>
      <w:r w:rsidR="00B201DE" w:rsidRPr="00B67020">
        <w:rPr>
          <w:rFonts w:cs="Arial"/>
          <w:bCs/>
          <w:iCs/>
          <w:sz w:val="20"/>
          <w:szCs w:val="20"/>
        </w:rPr>
        <w:t xml:space="preserve"> </w:t>
      </w:r>
      <w:r w:rsidR="0048793D" w:rsidRPr="00B67020">
        <w:rPr>
          <w:rFonts w:cs="Arial"/>
          <w:bCs/>
          <w:iCs/>
          <w:sz w:val="20"/>
          <w:szCs w:val="20"/>
        </w:rPr>
        <w:t>below</w:t>
      </w:r>
      <w:r w:rsidR="006F5EDA" w:rsidRPr="004F1E04">
        <w:rPr>
          <w:rFonts w:cs="Arial"/>
          <w:bCs/>
          <w:iCs/>
          <w:sz w:val="20"/>
          <w:szCs w:val="20"/>
        </w:rPr>
        <w:t xml:space="preserve">. </w:t>
      </w:r>
    </w:p>
    <w:p w14:paraId="1B5FA1C7" w14:textId="77777777" w:rsidR="00821300" w:rsidRDefault="00821300" w:rsidP="001167B2">
      <w:pPr>
        <w:pStyle w:val="Maintext"/>
        <w:rPr>
          <w:rFonts w:cs="Arial"/>
          <w:bCs/>
          <w:iCs/>
          <w:sz w:val="20"/>
          <w:szCs w:val="20"/>
        </w:rPr>
      </w:pPr>
    </w:p>
    <w:p w14:paraId="3ECE192C" w14:textId="77777777" w:rsidR="006F5EDA" w:rsidRPr="006F5EDA" w:rsidRDefault="006F5EDA" w:rsidP="001167B2">
      <w:pPr>
        <w:pStyle w:val="Maintext"/>
        <w:rPr>
          <w:rFonts w:cs="Arial"/>
          <w:bCs/>
          <w:iCs/>
          <w:szCs w:val="22"/>
        </w:rPr>
      </w:pPr>
      <w:r w:rsidRPr="004F1E04">
        <w:rPr>
          <w:rFonts w:cs="Arial"/>
          <w:bCs/>
          <w:iCs/>
          <w:sz w:val="20"/>
          <w:szCs w:val="20"/>
        </w:rPr>
        <w:t xml:space="preserve">The use of </w:t>
      </w:r>
      <w:r w:rsidR="00263CDE">
        <w:rPr>
          <w:rFonts w:cs="Arial"/>
          <w:bCs/>
          <w:iCs/>
          <w:sz w:val="20"/>
          <w:szCs w:val="20"/>
        </w:rPr>
        <w:t>preparer</w:t>
      </w:r>
      <w:r w:rsidR="00263CDE" w:rsidRPr="004F1E04">
        <w:rPr>
          <w:rFonts w:cs="Arial"/>
          <w:bCs/>
          <w:iCs/>
          <w:sz w:val="20"/>
          <w:szCs w:val="20"/>
        </w:rPr>
        <w:t xml:space="preserve"> extension</w:t>
      </w:r>
      <w:r w:rsidR="00263CDE">
        <w:rPr>
          <w:rFonts w:cs="Arial"/>
          <w:bCs/>
          <w:iCs/>
          <w:sz w:val="20"/>
          <w:szCs w:val="20"/>
        </w:rPr>
        <w:t>/customisation of the taxonomy</w:t>
      </w:r>
      <w:r w:rsidR="00263CDE" w:rsidRPr="004F1E04">
        <w:rPr>
          <w:rFonts w:cs="Arial"/>
          <w:bCs/>
          <w:iCs/>
          <w:sz w:val="20"/>
          <w:szCs w:val="20"/>
        </w:rPr>
        <w:t xml:space="preserve"> </w:t>
      </w:r>
      <w:r w:rsidR="007559B1">
        <w:rPr>
          <w:rFonts w:cs="Arial"/>
          <w:bCs/>
          <w:iCs/>
          <w:sz w:val="20"/>
          <w:szCs w:val="20"/>
        </w:rPr>
        <w:t>may</w:t>
      </w:r>
      <w:r w:rsidR="007559B1" w:rsidRPr="004F1E04">
        <w:rPr>
          <w:rFonts w:cs="Arial"/>
          <w:bCs/>
          <w:iCs/>
          <w:sz w:val="20"/>
          <w:szCs w:val="20"/>
        </w:rPr>
        <w:t xml:space="preserve"> </w:t>
      </w:r>
      <w:r w:rsidRPr="004F1E04">
        <w:rPr>
          <w:rFonts w:cs="Arial"/>
          <w:bCs/>
          <w:iCs/>
          <w:sz w:val="20"/>
          <w:szCs w:val="20"/>
        </w:rPr>
        <w:t xml:space="preserve">be considered </w:t>
      </w:r>
      <w:r w:rsidR="00D66AAD">
        <w:rPr>
          <w:rFonts w:cs="Arial"/>
          <w:bCs/>
          <w:iCs/>
          <w:sz w:val="20"/>
          <w:szCs w:val="20"/>
        </w:rPr>
        <w:t>in the future</w:t>
      </w:r>
      <w:r w:rsidRPr="006F5EDA">
        <w:rPr>
          <w:rFonts w:cs="Arial"/>
          <w:bCs/>
          <w:iCs/>
          <w:szCs w:val="22"/>
        </w:rPr>
        <w:t>.</w:t>
      </w:r>
    </w:p>
    <w:p w14:paraId="03A88A93" w14:textId="77777777" w:rsidR="001B7B13" w:rsidRDefault="00014CD4" w:rsidP="005819BE">
      <w:pPr>
        <w:pStyle w:val="Head3"/>
      </w:pPr>
      <w:bookmarkStart w:id="165" w:name="_Toc205457955"/>
      <w:r>
        <w:t>Issue, r</w:t>
      </w:r>
      <w:r w:rsidR="001B7B13" w:rsidRPr="005819BE">
        <w:t>elease</w:t>
      </w:r>
      <w:r>
        <w:t>s</w:t>
      </w:r>
      <w:r w:rsidR="001B7B13" w:rsidRPr="005819BE">
        <w:t>, and effective date</w:t>
      </w:r>
      <w:bookmarkEnd w:id="165"/>
    </w:p>
    <w:p w14:paraId="73D8D7DB" w14:textId="77777777" w:rsidR="003E6D55" w:rsidRDefault="00D65A56" w:rsidP="004859E3">
      <w:pPr>
        <w:pStyle w:val="Maintext"/>
        <w:jc w:val="both"/>
        <w:rPr>
          <w:sz w:val="20"/>
          <w:szCs w:val="20"/>
        </w:rPr>
      </w:pPr>
      <w:r>
        <w:rPr>
          <w:sz w:val="20"/>
          <w:szCs w:val="20"/>
        </w:rPr>
        <w:t xml:space="preserve">As </w:t>
      </w:r>
      <w:r w:rsidR="00014CD4">
        <w:rPr>
          <w:sz w:val="20"/>
          <w:szCs w:val="20"/>
        </w:rPr>
        <w:t xml:space="preserve">accounting standards continue to develop and change over time, </w:t>
      </w:r>
      <w:r>
        <w:rPr>
          <w:sz w:val="20"/>
          <w:szCs w:val="20"/>
        </w:rPr>
        <w:t xml:space="preserve">the Taxonomy will </w:t>
      </w:r>
      <w:r w:rsidR="005D733F">
        <w:rPr>
          <w:sz w:val="20"/>
          <w:szCs w:val="20"/>
        </w:rPr>
        <w:t>reflect these changes</w:t>
      </w:r>
      <w:r>
        <w:rPr>
          <w:sz w:val="20"/>
          <w:szCs w:val="20"/>
        </w:rPr>
        <w:t>. Naturally</w:t>
      </w:r>
      <w:r w:rsidR="00E14F7D">
        <w:rPr>
          <w:sz w:val="20"/>
          <w:szCs w:val="20"/>
        </w:rPr>
        <w:t xml:space="preserve">, </w:t>
      </w:r>
      <w:r w:rsidR="00E14F7D" w:rsidRPr="00A65E7E">
        <w:rPr>
          <w:sz w:val="20"/>
          <w:szCs w:val="20"/>
        </w:rPr>
        <w:t>the</w:t>
      </w:r>
      <w:r w:rsidR="00A65E7E" w:rsidRPr="00A65E7E">
        <w:rPr>
          <w:sz w:val="20"/>
          <w:szCs w:val="20"/>
        </w:rPr>
        <w:t xml:space="preserve"> number of versions published will</w:t>
      </w:r>
      <w:r w:rsidR="00A15D66">
        <w:rPr>
          <w:sz w:val="20"/>
          <w:szCs w:val="20"/>
        </w:rPr>
        <w:t xml:space="preserve"> </w:t>
      </w:r>
      <w:r w:rsidR="00A65E7E" w:rsidRPr="00A65E7E">
        <w:rPr>
          <w:sz w:val="20"/>
          <w:szCs w:val="20"/>
        </w:rPr>
        <w:t xml:space="preserve">increase over time. </w:t>
      </w:r>
      <w:r w:rsidR="00A65E7E" w:rsidRPr="003E6D55">
        <w:rPr>
          <w:sz w:val="20"/>
          <w:szCs w:val="20"/>
        </w:rPr>
        <w:t>It is</w:t>
      </w:r>
      <w:r>
        <w:rPr>
          <w:sz w:val="20"/>
          <w:szCs w:val="20"/>
        </w:rPr>
        <w:t xml:space="preserve"> therefore</w:t>
      </w:r>
      <w:r w:rsidR="00A65E7E" w:rsidRPr="003E6D55">
        <w:rPr>
          <w:sz w:val="20"/>
          <w:szCs w:val="20"/>
        </w:rPr>
        <w:t xml:space="preserve"> fundamental that consumers of the </w:t>
      </w:r>
      <w:r w:rsidR="00A15D66">
        <w:rPr>
          <w:sz w:val="20"/>
          <w:szCs w:val="20"/>
        </w:rPr>
        <w:t>T</w:t>
      </w:r>
      <w:r w:rsidR="00A65E7E" w:rsidRPr="003E6D55">
        <w:rPr>
          <w:sz w:val="20"/>
          <w:szCs w:val="20"/>
        </w:rPr>
        <w:t xml:space="preserve">axonomy are able to quickly and effectively determine what is the correct </w:t>
      </w:r>
      <w:r w:rsidR="003E6D55">
        <w:rPr>
          <w:sz w:val="20"/>
          <w:szCs w:val="20"/>
        </w:rPr>
        <w:t>entry point</w:t>
      </w:r>
      <w:r w:rsidR="00A65E7E" w:rsidRPr="003E6D55">
        <w:rPr>
          <w:sz w:val="20"/>
          <w:szCs w:val="20"/>
        </w:rPr>
        <w:t xml:space="preserve"> </w:t>
      </w:r>
      <w:r w:rsidR="003E6D55">
        <w:rPr>
          <w:sz w:val="20"/>
          <w:szCs w:val="20"/>
        </w:rPr>
        <w:t xml:space="preserve">schema </w:t>
      </w:r>
      <w:r w:rsidR="00A65E7E" w:rsidRPr="003E6D55">
        <w:rPr>
          <w:sz w:val="20"/>
          <w:szCs w:val="20"/>
        </w:rPr>
        <w:t xml:space="preserve">to </w:t>
      </w:r>
      <w:r w:rsidR="00014CD4" w:rsidRPr="003E6D55">
        <w:rPr>
          <w:sz w:val="20"/>
          <w:szCs w:val="20"/>
        </w:rPr>
        <w:t>use</w:t>
      </w:r>
      <w:r>
        <w:rPr>
          <w:sz w:val="20"/>
          <w:szCs w:val="20"/>
        </w:rPr>
        <w:t>, because</w:t>
      </w:r>
      <w:r w:rsidR="00014CD4">
        <w:rPr>
          <w:sz w:val="20"/>
          <w:szCs w:val="20"/>
        </w:rPr>
        <w:t xml:space="preserve"> each</w:t>
      </w:r>
      <w:r w:rsidR="00A65E7E" w:rsidRPr="003E6D55">
        <w:rPr>
          <w:sz w:val="20"/>
          <w:szCs w:val="20"/>
        </w:rPr>
        <w:t xml:space="preserve"> lodgement period (start and end dates) </w:t>
      </w:r>
      <w:r w:rsidR="00A15D66">
        <w:rPr>
          <w:sz w:val="20"/>
          <w:szCs w:val="20"/>
        </w:rPr>
        <w:t xml:space="preserve">has </w:t>
      </w:r>
      <w:r w:rsidR="00A65E7E" w:rsidRPr="003E6D55">
        <w:rPr>
          <w:sz w:val="20"/>
          <w:szCs w:val="20"/>
        </w:rPr>
        <w:t xml:space="preserve">only </w:t>
      </w:r>
      <w:r w:rsidR="003E6D55">
        <w:rPr>
          <w:sz w:val="20"/>
          <w:szCs w:val="20"/>
        </w:rPr>
        <w:t>one</w:t>
      </w:r>
      <w:r w:rsidR="00A65E7E" w:rsidRPr="003E6D55">
        <w:rPr>
          <w:sz w:val="20"/>
          <w:szCs w:val="20"/>
        </w:rPr>
        <w:t xml:space="preserve"> </w:t>
      </w:r>
      <w:r w:rsidR="00A15D66">
        <w:rPr>
          <w:sz w:val="20"/>
          <w:szCs w:val="20"/>
        </w:rPr>
        <w:t xml:space="preserve">valid </w:t>
      </w:r>
      <w:r w:rsidR="003E6D55">
        <w:rPr>
          <w:sz w:val="20"/>
          <w:szCs w:val="20"/>
        </w:rPr>
        <w:t>entry point schema</w:t>
      </w:r>
      <w:r w:rsidR="00A65E7E" w:rsidRPr="003E6D55">
        <w:rPr>
          <w:sz w:val="20"/>
          <w:szCs w:val="20"/>
        </w:rPr>
        <w:t xml:space="preserve">. </w:t>
      </w:r>
      <w:r w:rsidR="003E6D55" w:rsidRPr="003E6D55">
        <w:rPr>
          <w:sz w:val="20"/>
          <w:szCs w:val="20"/>
        </w:rPr>
        <w:t xml:space="preserve">The valid and active </w:t>
      </w:r>
      <w:r w:rsidR="003E6D55">
        <w:rPr>
          <w:sz w:val="20"/>
          <w:szCs w:val="20"/>
        </w:rPr>
        <w:t xml:space="preserve">entry point schema </w:t>
      </w:r>
      <w:r w:rsidR="003E6D55" w:rsidRPr="003E6D55">
        <w:rPr>
          <w:sz w:val="20"/>
          <w:szCs w:val="20"/>
        </w:rPr>
        <w:t xml:space="preserve">that </w:t>
      </w:r>
      <w:r w:rsidR="003E6D55">
        <w:rPr>
          <w:sz w:val="20"/>
          <w:szCs w:val="20"/>
        </w:rPr>
        <w:t>must be used is</w:t>
      </w:r>
      <w:r w:rsidR="003E6D55" w:rsidRPr="003E6D55">
        <w:rPr>
          <w:sz w:val="20"/>
          <w:szCs w:val="20"/>
        </w:rPr>
        <w:t xml:space="preserve"> determined by the reporting period</w:t>
      </w:r>
      <w:r w:rsidR="003E6D55">
        <w:rPr>
          <w:sz w:val="20"/>
          <w:szCs w:val="20"/>
        </w:rPr>
        <w:t xml:space="preserve"> for the data</w:t>
      </w:r>
      <w:r w:rsidR="003E6D55" w:rsidRPr="003E6D55">
        <w:rPr>
          <w:sz w:val="20"/>
          <w:szCs w:val="20"/>
        </w:rPr>
        <w:t xml:space="preserve"> being reported </w:t>
      </w:r>
      <w:r w:rsidR="003E6D55">
        <w:rPr>
          <w:sz w:val="20"/>
          <w:szCs w:val="20"/>
        </w:rPr>
        <w:t xml:space="preserve">in the Financial </w:t>
      </w:r>
      <w:r w:rsidR="004859E3">
        <w:rPr>
          <w:sz w:val="20"/>
          <w:szCs w:val="20"/>
        </w:rPr>
        <w:t>Reports.</w:t>
      </w:r>
    </w:p>
    <w:p w14:paraId="60DDDE13" w14:textId="77777777" w:rsidR="004859E3" w:rsidRDefault="004859E3" w:rsidP="004859E3">
      <w:pPr>
        <w:autoSpaceDE w:val="0"/>
        <w:autoSpaceDN w:val="0"/>
        <w:adjustRightInd w:val="0"/>
        <w:jc w:val="both"/>
        <w:rPr>
          <w:sz w:val="20"/>
          <w:szCs w:val="20"/>
        </w:rPr>
      </w:pPr>
    </w:p>
    <w:p w14:paraId="4C0D358F" w14:textId="0E57D812" w:rsidR="004859E3" w:rsidRPr="003E6D55" w:rsidRDefault="00433C89" w:rsidP="00977F4F">
      <w:pPr>
        <w:autoSpaceDE w:val="0"/>
        <w:autoSpaceDN w:val="0"/>
        <w:adjustRightInd w:val="0"/>
        <w:jc w:val="both"/>
        <w:rPr>
          <w:sz w:val="20"/>
          <w:szCs w:val="20"/>
        </w:rPr>
      </w:pPr>
      <w:r>
        <w:rPr>
          <w:sz w:val="20"/>
          <w:szCs w:val="20"/>
        </w:rPr>
        <w:t>T</w:t>
      </w:r>
      <w:r w:rsidR="004859E3">
        <w:rPr>
          <w:sz w:val="20"/>
          <w:szCs w:val="20"/>
        </w:rPr>
        <w:t>he IFRS</w:t>
      </w:r>
      <w:r w:rsidR="003E1C4C">
        <w:rPr>
          <w:sz w:val="20"/>
          <w:szCs w:val="20"/>
        </w:rPr>
        <w:t xml:space="preserve"> AU</w:t>
      </w:r>
      <w:r w:rsidR="004859E3">
        <w:rPr>
          <w:sz w:val="20"/>
          <w:szCs w:val="20"/>
        </w:rPr>
        <w:t xml:space="preserve"> Taxonomy releases</w:t>
      </w:r>
      <w:r w:rsidR="00D65A56">
        <w:rPr>
          <w:sz w:val="20"/>
          <w:szCs w:val="20"/>
        </w:rPr>
        <w:t xml:space="preserve"> will be aligned</w:t>
      </w:r>
      <w:r w:rsidR="004859E3">
        <w:rPr>
          <w:sz w:val="20"/>
          <w:szCs w:val="20"/>
        </w:rPr>
        <w:t xml:space="preserve"> with t</w:t>
      </w:r>
      <w:r w:rsidR="004859E3" w:rsidRPr="004859E3">
        <w:rPr>
          <w:sz w:val="20"/>
          <w:szCs w:val="20"/>
        </w:rPr>
        <w:t>he</w:t>
      </w:r>
      <w:r w:rsidR="007E39A9">
        <w:rPr>
          <w:sz w:val="20"/>
          <w:szCs w:val="20"/>
        </w:rPr>
        <w:t xml:space="preserve"> release of the</w:t>
      </w:r>
      <w:r w:rsidR="004859E3" w:rsidRPr="004859E3">
        <w:rPr>
          <w:sz w:val="20"/>
          <w:szCs w:val="20"/>
        </w:rPr>
        <w:t xml:space="preserve"> IFRS Taxonomy</w:t>
      </w:r>
      <w:r w:rsidR="007E39A9">
        <w:rPr>
          <w:sz w:val="20"/>
          <w:szCs w:val="20"/>
        </w:rPr>
        <w:t>.</w:t>
      </w:r>
      <w:r w:rsidR="00D65A56">
        <w:rPr>
          <w:sz w:val="20"/>
          <w:szCs w:val="20"/>
        </w:rPr>
        <w:t xml:space="preserve"> </w:t>
      </w:r>
      <w:r w:rsidR="004859E3" w:rsidRPr="004859E3">
        <w:rPr>
          <w:sz w:val="20"/>
          <w:szCs w:val="20"/>
        </w:rPr>
        <w:t xml:space="preserve"> </w:t>
      </w:r>
      <w:r>
        <w:rPr>
          <w:sz w:val="20"/>
          <w:szCs w:val="20"/>
        </w:rPr>
        <w:t>T</w:t>
      </w:r>
      <w:r w:rsidR="00D65A56">
        <w:rPr>
          <w:sz w:val="20"/>
          <w:szCs w:val="20"/>
        </w:rPr>
        <w:t xml:space="preserve">here </w:t>
      </w:r>
      <w:r w:rsidR="005C51D2">
        <w:rPr>
          <w:sz w:val="20"/>
          <w:szCs w:val="20"/>
        </w:rPr>
        <w:t>is</w:t>
      </w:r>
      <w:r w:rsidR="00D65A56">
        <w:rPr>
          <w:sz w:val="20"/>
          <w:szCs w:val="20"/>
        </w:rPr>
        <w:t xml:space="preserve"> </w:t>
      </w:r>
      <w:r w:rsidR="00E14F7D">
        <w:rPr>
          <w:sz w:val="20"/>
          <w:szCs w:val="20"/>
        </w:rPr>
        <w:t>a single</w:t>
      </w:r>
      <w:r w:rsidR="004859E3">
        <w:rPr>
          <w:sz w:val="20"/>
          <w:szCs w:val="20"/>
        </w:rPr>
        <w:t xml:space="preserve"> </w:t>
      </w:r>
      <w:r w:rsidR="004859E3" w:rsidRPr="004859E3">
        <w:rPr>
          <w:sz w:val="20"/>
          <w:szCs w:val="20"/>
        </w:rPr>
        <w:t>version of the Taxonomy released each year</w:t>
      </w:r>
      <w:r w:rsidR="00E14F7D">
        <w:rPr>
          <w:sz w:val="20"/>
          <w:szCs w:val="20"/>
        </w:rPr>
        <w:t>.</w:t>
      </w:r>
      <w:r w:rsidR="00D65A56">
        <w:rPr>
          <w:sz w:val="20"/>
          <w:szCs w:val="20"/>
        </w:rPr>
        <w:t xml:space="preserve"> </w:t>
      </w:r>
      <w:r w:rsidR="004859E3" w:rsidRPr="00AC24DA">
        <w:rPr>
          <w:sz w:val="20"/>
          <w:szCs w:val="20"/>
        </w:rPr>
        <w:t xml:space="preserve">Each taxonomy release is identified by a taxonomy release date which appears in the </w:t>
      </w:r>
      <w:r w:rsidR="00FF4044" w:rsidRPr="0085708E">
        <w:rPr>
          <w:sz w:val="20"/>
          <w:szCs w:val="20"/>
        </w:rPr>
        <w:t>namespaces, in the file names of schemas and linkbases and in most folder names following the pre</w:t>
      </w:r>
      <w:r w:rsidR="00FF4044" w:rsidRPr="00AC24DA">
        <w:rPr>
          <w:sz w:val="20"/>
          <w:szCs w:val="20"/>
        </w:rPr>
        <w:t xml:space="preserve">scriptions of the </w:t>
      </w:r>
      <w:r w:rsidR="000A244E">
        <w:rPr>
          <w:sz w:val="20"/>
          <w:szCs w:val="20"/>
        </w:rPr>
        <w:t>IFRS Taxonomy Architecture</w:t>
      </w:r>
      <w:r w:rsidR="00FF4044" w:rsidRPr="00AC24DA">
        <w:rPr>
          <w:sz w:val="20"/>
          <w:szCs w:val="20"/>
        </w:rPr>
        <w:t>.</w:t>
      </w:r>
      <w:r w:rsidR="004859E3" w:rsidRPr="00AC24DA">
        <w:rPr>
          <w:sz w:val="20"/>
          <w:szCs w:val="20"/>
        </w:rPr>
        <w:t xml:space="preserve"> The release date for the </w:t>
      </w:r>
      <w:r w:rsidR="00FC3CEC">
        <w:rPr>
          <w:sz w:val="20"/>
          <w:szCs w:val="20"/>
        </w:rPr>
        <w:t xml:space="preserve">IFRS Taxonomy </w:t>
      </w:r>
      <w:r w:rsidR="00442B0D">
        <w:rPr>
          <w:sz w:val="20"/>
          <w:szCs w:val="20"/>
        </w:rPr>
        <w:t>2025</w:t>
      </w:r>
      <w:r w:rsidR="004859E3" w:rsidRPr="00AC24DA">
        <w:rPr>
          <w:sz w:val="20"/>
          <w:szCs w:val="20"/>
        </w:rPr>
        <w:t xml:space="preserve"> is</w:t>
      </w:r>
      <w:r w:rsidR="00977F4F" w:rsidRPr="00AC24DA">
        <w:rPr>
          <w:sz w:val="20"/>
          <w:szCs w:val="20"/>
        </w:rPr>
        <w:t xml:space="preserve"> </w:t>
      </w:r>
      <w:r w:rsidR="00442B0D">
        <w:rPr>
          <w:sz w:val="20"/>
          <w:szCs w:val="20"/>
        </w:rPr>
        <w:t>2025</w:t>
      </w:r>
      <w:r w:rsidR="00881CD3">
        <w:rPr>
          <w:sz w:val="20"/>
          <w:szCs w:val="20"/>
        </w:rPr>
        <w:t>-03-27</w:t>
      </w:r>
      <w:r w:rsidR="00FF4044" w:rsidRPr="00AC24DA">
        <w:rPr>
          <w:sz w:val="20"/>
          <w:szCs w:val="20"/>
        </w:rPr>
        <w:t xml:space="preserve">. The release date for the </w:t>
      </w:r>
      <w:r w:rsidR="00FC3CEC">
        <w:rPr>
          <w:sz w:val="20"/>
          <w:szCs w:val="20"/>
        </w:rPr>
        <w:t xml:space="preserve">IFRS AU Taxonomy </w:t>
      </w:r>
      <w:r w:rsidR="00442B0D">
        <w:rPr>
          <w:sz w:val="20"/>
          <w:szCs w:val="20"/>
        </w:rPr>
        <w:t>2025</w:t>
      </w:r>
      <w:r w:rsidR="00BB4C72" w:rsidRPr="00AC24DA">
        <w:rPr>
          <w:sz w:val="20"/>
          <w:szCs w:val="20"/>
        </w:rPr>
        <w:t xml:space="preserve"> </w:t>
      </w:r>
      <w:r w:rsidR="00FF4044" w:rsidRPr="00AC24DA">
        <w:rPr>
          <w:sz w:val="20"/>
          <w:szCs w:val="20"/>
        </w:rPr>
        <w:t xml:space="preserve">is </w:t>
      </w:r>
      <w:r w:rsidR="009A4824">
        <w:rPr>
          <w:sz w:val="20"/>
          <w:szCs w:val="20"/>
        </w:rPr>
        <w:t>2025-08-21</w:t>
      </w:r>
      <w:r w:rsidR="00FF4044" w:rsidRPr="00AC24DA">
        <w:rPr>
          <w:sz w:val="20"/>
          <w:szCs w:val="20"/>
        </w:rPr>
        <w:t>.</w:t>
      </w:r>
    </w:p>
    <w:p w14:paraId="31CC7AC7" w14:textId="77777777" w:rsidR="003E6D55" w:rsidRDefault="003E6D55" w:rsidP="004859E3">
      <w:pPr>
        <w:pStyle w:val="Maintext"/>
        <w:jc w:val="both"/>
      </w:pPr>
    </w:p>
    <w:p w14:paraId="0C8EF73E" w14:textId="77777777" w:rsidR="00A65E7E" w:rsidRDefault="00A65E7E" w:rsidP="004859E3">
      <w:pPr>
        <w:pStyle w:val="Maintext"/>
        <w:jc w:val="both"/>
      </w:pPr>
    </w:p>
    <w:p w14:paraId="63AFBBEB" w14:textId="77777777" w:rsidR="00E14F7D" w:rsidRDefault="00E14F7D">
      <w:r>
        <w:br w:type="page"/>
      </w:r>
    </w:p>
    <w:p w14:paraId="2A1BEF9D" w14:textId="6C2D506B" w:rsidR="001B7B13" w:rsidRDefault="00D07281" w:rsidP="007924A0">
      <w:pPr>
        <w:pStyle w:val="Head2"/>
        <w:tabs>
          <w:tab w:val="clear" w:pos="1144"/>
        </w:tabs>
        <w:ind w:left="426" w:hanging="426"/>
      </w:pPr>
      <w:bookmarkStart w:id="166" w:name="_Toc205457956"/>
      <w:r>
        <w:t>Mo</w:t>
      </w:r>
      <w:r w:rsidR="001B7B13">
        <w:t xml:space="preserve">delling of the </w:t>
      </w:r>
      <w:r w:rsidR="00FC3CEC">
        <w:t xml:space="preserve">IFRS AU Taxonomy </w:t>
      </w:r>
      <w:r w:rsidR="00442B0D">
        <w:t>2025</w:t>
      </w:r>
      <w:bookmarkEnd w:id="166"/>
    </w:p>
    <w:p w14:paraId="0CC41083" w14:textId="45ED0BA5" w:rsidR="00934517" w:rsidRDefault="00934517" w:rsidP="00F572E7">
      <w:pPr>
        <w:rPr>
          <w:sz w:val="20"/>
          <w:szCs w:val="20"/>
        </w:rPr>
      </w:pPr>
      <w:r>
        <w:rPr>
          <w:sz w:val="20"/>
          <w:szCs w:val="20"/>
        </w:rPr>
        <w:t>The main principles</w:t>
      </w:r>
      <w:r w:rsidR="00EE73FE">
        <w:rPr>
          <w:sz w:val="20"/>
          <w:szCs w:val="20"/>
        </w:rPr>
        <w:t xml:space="preserve"> applied when creating </w:t>
      </w:r>
      <w:r w:rsidR="00086DFD">
        <w:rPr>
          <w:sz w:val="20"/>
          <w:szCs w:val="20"/>
        </w:rPr>
        <w:t>the</w:t>
      </w:r>
      <w:r w:rsidR="00EE73FE">
        <w:rPr>
          <w:sz w:val="20"/>
          <w:szCs w:val="20"/>
        </w:rPr>
        <w:t xml:space="preserve"> </w:t>
      </w:r>
      <w:r w:rsidR="00FC3CEC">
        <w:rPr>
          <w:sz w:val="20"/>
          <w:szCs w:val="20"/>
        </w:rPr>
        <w:t xml:space="preserve">IFRS AU Taxonomy </w:t>
      </w:r>
      <w:r w:rsidR="00442B0D">
        <w:rPr>
          <w:sz w:val="20"/>
          <w:szCs w:val="20"/>
        </w:rPr>
        <w:t>2025</w:t>
      </w:r>
      <w:r w:rsidR="00753C7B">
        <w:rPr>
          <w:sz w:val="20"/>
          <w:szCs w:val="20"/>
        </w:rPr>
        <w:t xml:space="preserve"> </w:t>
      </w:r>
      <w:r>
        <w:rPr>
          <w:sz w:val="20"/>
          <w:szCs w:val="20"/>
        </w:rPr>
        <w:t xml:space="preserve">in accordance with the IFRS </w:t>
      </w:r>
      <w:r w:rsidR="00FF4044">
        <w:rPr>
          <w:sz w:val="20"/>
          <w:szCs w:val="20"/>
        </w:rPr>
        <w:t>Taxonomy</w:t>
      </w:r>
      <w:r w:rsidR="006B5616">
        <w:rPr>
          <w:sz w:val="20"/>
          <w:szCs w:val="20"/>
        </w:rPr>
        <w:t xml:space="preserve"> </w:t>
      </w:r>
      <w:r w:rsidR="000A244E">
        <w:rPr>
          <w:sz w:val="20"/>
          <w:szCs w:val="20"/>
        </w:rPr>
        <w:t xml:space="preserve">Architecture </w:t>
      </w:r>
      <w:r>
        <w:rPr>
          <w:sz w:val="20"/>
          <w:szCs w:val="20"/>
        </w:rPr>
        <w:t>are:</w:t>
      </w:r>
    </w:p>
    <w:p w14:paraId="58BA2716" w14:textId="77777777" w:rsidR="00FF4044" w:rsidRDefault="00FF4044" w:rsidP="00F572E7">
      <w:pPr>
        <w:rPr>
          <w:sz w:val="20"/>
          <w:szCs w:val="20"/>
        </w:rPr>
      </w:pPr>
    </w:p>
    <w:p w14:paraId="787A6B5A" w14:textId="35F15470" w:rsidR="009B77C1" w:rsidRDefault="00700ACA" w:rsidP="00F069A2">
      <w:pPr>
        <w:pStyle w:val="ListParagraph"/>
        <w:numPr>
          <w:ilvl w:val="0"/>
          <w:numId w:val="27"/>
        </w:numPr>
        <w:autoSpaceDE w:val="0"/>
        <w:autoSpaceDN w:val="0"/>
        <w:adjustRightInd w:val="0"/>
        <w:spacing w:after="120"/>
        <w:ind w:left="714" w:hanging="357"/>
        <w:rPr>
          <w:sz w:val="20"/>
          <w:szCs w:val="20"/>
        </w:rPr>
      </w:pPr>
      <w:r>
        <w:rPr>
          <w:sz w:val="20"/>
          <w:szCs w:val="20"/>
        </w:rPr>
        <w:t>U</w:t>
      </w:r>
      <w:r w:rsidR="00934517" w:rsidRPr="00934517">
        <w:rPr>
          <w:sz w:val="20"/>
          <w:szCs w:val="20"/>
        </w:rPr>
        <w:t xml:space="preserve">se of </w:t>
      </w:r>
      <w:r w:rsidR="00934517">
        <w:rPr>
          <w:sz w:val="20"/>
          <w:szCs w:val="20"/>
        </w:rPr>
        <w:t>e</w:t>
      </w:r>
      <w:r w:rsidR="00934517" w:rsidRPr="00934517">
        <w:rPr>
          <w:sz w:val="20"/>
          <w:szCs w:val="20"/>
        </w:rPr>
        <w:t>xisting IFRS Taxonomy concepts</w:t>
      </w:r>
      <w:r w:rsidR="007D10B1">
        <w:rPr>
          <w:sz w:val="20"/>
          <w:szCs w:val="20"/>
        </w:rPr>
        <w:t xml:space="preserve"> wherever possible</w:t>
      </w:r>
      <w:r w:rsidR="00DB7280">
        <w:rPr>
          <w:sz w:val="20"/>
          <w:szCs w:val="20"/>
        </w:rPr>
        <w:t>.</w:t>
      </w:r>
    </w:p>
    <w:p w14:paraId="0B755F46" w14:textId="77777777" w:rsidR="009B77C1" w:rsidRDefault="00934517" w:rsidP="00F069A2">
      <w:pPr>
        <w:pStyle w:val="ListParagraph"/>
        <w:numPr>
          <w:ilvl w:val="0"/>
          <w:numId w:val="27"/>
        </w:numPr>
        <w:autoSpaceDE w:val="0"/>
        <w:autoSpaceDN w:val="0"/>
        <w:adjustRightInd w:val="0"/>
        <w:spacing w:after="120"/>
        <w:ind w:left="714" w:hanging="357"/>
        <w:rPr>
          <w:rFonts w:ascii="SwiftLTPro-Regular" w:hAnsi="SwiftLTPro-Regular" w:cs="SwiftLTPro-Regular"/>
          <w:sz w:val="16"/>
          <w:szCs w:val="16"/>
        </w:rPr>
      </w:pPr>
      <w:r w:rsidRPr="007D10B1">
        <w:rPr>
          <w:sz w:val="20"/>
          <w:szCs w:val="20"/>
        </w:rPr>
        <w:t xml:space="preserve">In cases where a concept is not already defined </w:t>
      </w:r>
      <w:r w:rsidR="003F2061">
        <w:rPr>
          <w:sz w:val="20"/>
          <w:szCs w:val="20"/>
        </w:rPr>
        <w:t>in the IFRS Taxonomy</w:t>
      </w:r>
      <w:r w:rsidR="00E601F8">
        <w:rPr>
          <w:sz w:val="20"/>
          <w:szCs w:val="20"/>
        </w:rPr>
        <w:t xml:space="preserve"> </w:t>
      </w:r>
      <w:r w:rsidR="003F2061">
        <w:rPr>
          <w:sz w:val="20"/>
          <w:szCs w:val="20"/>
        </w:rPr>
        <w:t xml:space="preserve">only then </w:t>
      </w:r>
      <w:r w:rsidR="00A56E07">
        <w:rPr>
          <w:sz w:val="20"/>
          <w:szCs w:val="20"/>
        </w:rPr>
        <w:t xml:space="preserve">an </w:t>
      </w:r>
      <w:r w:rsidRPr="007D10B1">
        <w:rPr>
          <w:sz w:val="20"/>
          <w:szCs w:val="20"/>
        </w:rPr>
        <w:t>IFRS</w:t>
      </w:r>
      <w:r w:rsidR="003F2061">
        <w:rPr>
          <w:sz w:val="20"/>
          <w:szCs w:val="20"/>
        </w:rPr>
        <w:t xml:space="preserve"> AU</w:t>
      </w:r>
      <w:r w:rsidRPr="007D10B1">
        <w:rPr>
          <w:sz w:val="20"/>
          <w:szCs w:val="20"/>
        </w:rPr>
        <w:t xml:space="preserve"> specific concept </w:t>
      </w:r>
      <w:r w:rsidR="00FF4044">
        <w:rPr>
          <w:sz w:val="20"/>
          <w:szCs w:val="20"/>
        </w:rPr>
        <w:t>has been</w:t>
      </w:r>
      <w:r w:rsidR="007D10B1" w:rsidRPr="007D10B1">
        <w:rPr>
          <w:sz w:val="20"/>
          <w:szCs w:val="20"/>
        </w:rPr>
        <w:t xml:space="preserve"> </w:t>
      </w:r>
      <w:r w:rsidR="00FF4044">
        <w:rPr>
          <w:sz w:val="20"/>
          <w:szCs w:val="20"/>
        </w:rPr>
        <w:t>created</w:t>
      </w:r>
      <w:r w:rsidR="00DB7280">
        <w:rPr>
          <w:sz w:val="20"/>
          <w:szCs w:val="20"/>
        </w:rPr>
        <w:t>.</w:t>
      </w:r>
    </w:p>
    <w:p w14:paraId="30D4B268" w14:textId="3753E91B" w:rsidR="009B77C1" w:rsidRDefault="007D10B1" w:rsidP="00F069A2">
      <w:pPr>
        <w:pStyle w:val="ListParagraph"/>
        <w:numPr>
          <w:ilvl w:val="0"/>
          <w:numId w:val="27"/>
        </w:numPr>
        <w:autoSpaceDE w:val="0"/>
        <w:autoSpaceDN w:val="0"/>
        <w:adjustRightInd w:val="0"/>
        <w:spacing w:after="120"/>
        <w:ind w:left="714" w:hanging="357"/>
        <w:rPr>
          <w:sz w:val="20"/>
          <w:szCs w:val="20"/>
        </w:rPr>
      </w:pPr>
      <w:r w:rsidRPr="007D10B1">
        <w:rPr>
          <w:sz w:val="20"/>
          <w:szCs w:val="20"/>
        </w:rPr>
        <w:t>Each concept (i.e. reportable items, tables, axes or members) that is added includes a number of characteristics consistent</w:t>
      </w:r>
      <w:r>
        <w:rPr>
          <w:sz w:val="20"/>
          <w:szCs w:val="20"/>
        </w:rPr>
        <w:t xml:space="preserve"> </w:t>
      </w:r>
      <w:r w:rsidRPr="007D10B1">
        <w:rPr>
          <w:sz w:val="20"/>
          <w:szCs w:val="20"/>
        </w:rPr>
        <w:t>with the architecture of the IFRS Taxonomy.</w:t>
      </w:r>
      <w:r w:rsidR="001A7DF4">
        <w:rPr>
          <w:sz w:val="20"/>
          <w:szCs w:val="20"/>
        </w:rPr>
        <w:t xml:space="preserve"> </w:t>
      </w:r>
      <w:r w:rsidR="00E50B00">
        <w:rPr>
          <w:sz w:val="20"/>
          <w:szCs w:val="20"/>
        </w:rPr>
        <w:t>Therefore,</w:t>
      </w:r>
      <w:r w:rsidR="001A7DF4">
        <w:rPr>
          <w:sz w:val="20"/>
          <w:szCs w:val="20"/>
        </w:rPr>
        <w:t xml:space="preserve"> the Concept </w:t>
      </w:r>
      <w:r w:rsidR="00A56E07">
        <w:rPr>
          <w:sz w:val="20"/>
          <w:szCs w:val="20"/>
        </w:rPr>
        <w:t>name,</w:t>
      </w:r>
      <w:r w:rsidR="001A7DF4">
        <w:rPr>
          <w:sz w:val="20"/>
          <w:szCs w:val="20"/>
        </w:rPr>
        <w:t xml:space="preserve"> Concept ID, Item type, Period type, Abstract c</w:t>
      </w:r>
      <w:r w:rsidR="00670049">
        <w:rPr>
          <w:sz w:val="20"/>
          <w:szCs w:val="20"/>
        </w:rPr>
        <w:t>oncepts, Axes and T</w:t>
      </w:r>
      <w:r w:rsidR="001A7DF4">
        <w:rPr>
          <w:sz w:val="20"/>
          <w:szCs w:val="20"/>
        </w:rPr>
        <w:t>ables and Labels follow the IFRS Taxonomy architecture</w:t>
      </w:r>
      <w:r w:rsidR="00DB7280">
        <w:rPr>
          <w:sz w:val="20"/>
          <w:szCs w:val="20"/>
        </w:rPr>
        <w:t>.</w:t>
      </w:r>
    </w:p>
    <w:p w14:paraId="6ACD1F8A" w14:textId="77777777" w:rsidR="00DB7280" w:rsidRDefault="00D66AAD" w:rsidP="00F069A2">
      <w:pPr>
        <w:pStyle w:val="ListParagraph"/>
        <w:numPr>
          <w:ilvl w:val="0"/>
          <w:numId w:val="27"/>
        </w:numPr>
        <w:autoSpaceDE w:val="0"/>
        <w:autoSpaceDN w:val="0"/>
        <w:adjustRightInd w:val="0"/>
        <w:spacing w:after="120"/>
        <w:ind w:left="714" w:hanging="357"/>
        <w:rPr>
          <w:rFonts w:ascii="SwiftLTPro-Regular" w:hAnsi="SwiftLTPro-Regular" w:cs="SwiftLTPro-Regular"/>
          <w:sz w:val="16"/>
          <w:szCs w:val="16"/>
        </w:rPr>
      </w:pPr>
      <w:r>
        <w:rPr>
          <w:sz w:val="20"/>
          <w:szCs w:val="20"/>
        </w:rPr>
        <w:t xml:space="preserve">AU extension </w:t>
      </w:r>
      <w:r w:rsidR="00DB7280">
        <w:rPr>
          <w:sz w:val="20"/>
          <w:szCs w:val="20"/>
        </w:rPr>
        <w:t>is integrated into the IFRS Taxonomy and is contained in separate AU extension’s linkbase files to avoid making direct changes or modifications to the IFRS taxonomy’s linkbase files.</w:t>
      </w:r>
      <w:r w:rsidR="005D733F">
        <w:rPr>
          <w:sz w:val="20"/>
          <w:szCs w:val="20"/>
        </w:rPr>
        <w:t xml:space="preserve"> </w:t>
      </w:r>
      <w:r w:rsidR="00DB7280">
        <w:rPr>
          <w:sz w:val="20"/>
          <w:szCs w:val="20"/>
        </w:rPr>
        <w:t xml:space="preserve">IFRS taxonomy’s linkbase files and core schema are </w:t>
      </w:r>
      <w:r w:rsidR="00013155">
        <w:rPr>
          <w:sz w:val="20"/>
          <w:szCs w:val="20"/>
        </w:rPr>
        <w:t>included in</w:t>
      </w:r>
      <w:r w:rsidR="00DB7280">
        <w:rPr>
          <w:sz w:val="20"/>
          <w:szCs w:val="20"/>
        </w:rPr>
        <w:t xml:space="preserve"> the IFRS AU Taxonomy</w:t>
      </w:r>
      <w:r w:rsidR="00013155">
        <w:rPr>
          <w:sz w:val="20"/>
          <w:szCs w:val="20"/>
        </w:rPr>
        <w:t xml:space="preserve"> without change</w:t>
      </w:r>
      <w:r w:rsidR="00B372C6">
        <w:rPr>
          <w:sz w:val="20"/>
          <w:szCs w:val="20"/>
        </w:rPr>
        <w:t>s</w:t>
      </w:r>
      <w:r w:rsidR="00DB7280">
        <w:rPr>
          <w:sz w:val="20"/>
          <w:szCs w:val="20"/>
        </w:rPr>
        <w:t xml:space="preserve">. </w:t>
      </w:r>
    </w:p>
    <w:p w14:paraId="5A3FD037" w14:textId="77777777" w:rsidR="009B77C1" w:rsidRDefault="007D10B1" w:rsidP="00F069A2">
      <w:pPr>
        <w:pStyle w:val="ListParagraph"/>
        <w:numPr>
          <w:ilvl w:val="0"/>
          <w:numId w:val="26"/>
        </w:numPr>
        <w:autoSpaceDE w:val="0"/>
        <w:autoSpaceDN w:val="0"/>
        <w:adjustRightInd w:val="0"/>
        <w:spacing w:after="120"/>
        <w:ind w:left="714" w:hanging="357"/>
        <w:rPr>
          <w:sz w:val="20"/>
          <w:szCs w:val="20"/>
        </w:rPr>
      </w:pPr>
      <w:r w:rsidRPr="001A7DF4">
        <w:rPr>
          <w:sz w:val="20"/>
          <w:szCs w:val="20"/>
        </w:rPr>
        <w:t>Australian specific ELRs have been</w:t>
      </w:r>
      <w:r w:rsidR="003F2061">
        <w:rPr>
          <w:sz w:val="20"/>
          <w:szCs w:val="20"/>
        </w:rPr>
        <w:t xml:space="preserve"> created only for presentation </w:t>
      </w:r>
      <w:r w:rsidRPr="001A7DF4">
        <w:rPr>
          <w:sz w:val="20"/>
          <w:szCs w:val="20"/>
        </w:rPr>
        <w:t>and definition linkbases (the usedOn attribute indicates the</w:t>
      </w:r>
      <w:r w:rsidR="00FF4044">
        <w:rPr>
          <w:sz w:val="20"/>
          <w:szCs w:val="20"/>
        </w:rPr>
        <w:t xml:space="preserve"> </w:t>
      </w:r>
      <w:r w:rsidR="001A7DF4" w:rsidRPr="001A7DF4">
        <w:rPr>
          <w:sz w:val="20"/>
          <w:szCs w:val="20"/>
        </w:rPr>
        <w:t>application of an ELR</w:t>
      </w:r>
      <w:r w:rsidR="00FF4044">
        <w:rPr>
          <w:sz w:val="20"/>
          <w:szCs w:val="20"/>
        </w:rPr>
        <w:t xml:space="preserve"> to a specific linkbase</w:t>
      </w:r>
      <w:r w:rsidR="001A7DF4" w:rsidRPr="001A7DF4">
        <w:rPr>
          <w:sz w:val="20"/>
          <w:szCs w:val="20"/>
        </w:rPr>
        <w:t>)</w:t>
      </w:r>
      <w:r w:rsidR="00DB7280">
        <w:rPr>
          <w:sz w:val="20"/>
          <w:szCs w:val="20"/>
        </w:rPr>
        <w:t>.</w:t>
      </w:r>
    </w:p>
    <w:p w14:paraId="5D23BB26" w14:textId="7269E707" w:rsidR="009B77C1" w:rsidRDefault="00C8588F" w:rsidP="00F069A2">
      <w:pPr>
        <w:pStyle w:val="ListParagraph"/>
        <w:numPr>
          <w:ilvl w:val="0"/>
          <w:numId w:val="26"/>
        </w:numPr>
        <w:autoSpaceDE w:val="0"/>
        <w:autoSpaceDN w:val="0"/>
        <w:adjustRightInd w:val="0"/>
        <w:spacing w:after="120"/>
        <w:ind w:left="714" w:hanging="357"/>
        <w:rPr>
          <w:sz w:val="20"/>
          <w:szCs w:val="20"/>
        </w:rPr>
      </w:pPr>
      <w:r>
        <w:rPr>
          <w:sz w:val="20"/>
          <w:szCs w:val="20"/>
        </w:rPr>
        <w:t>Generic labels and references have been created and assigned to each Australian specific ELR, in compliance with the provisions of the IFRS Taxonomy</w:t>
      </w:r>
      <w:r w:rsidR="00E601F8">
        <w:rPr>
          <w:sz w:val="20"/>
          <w:szCs w:val="20"/>
        </w:rPr>
        <w:t xml:space="preserve"> </w:t>
      </w:r>
      <w:r w:rsidR="000A244E">
        <w:rPr>
          <w:sz w:val="20"/>
          <w:szCs w:val="20"/>
        </w:rPr>
        <w:t>Architecture</w:t>
      </w:r>
      <w:r w:rsidR="00A84E38">
        <w:rPr>
          <w:sz w:val="20"/>
          <w:szCs w:val="20"/>
        </w:rPr>
        <w:t>.</w:t>
      </w:r>
      <w:r w:rsidR="00753C7B">
        <w:rPr>
          <w:sz w:val="20"/>
          <w:szCs w:val="20"/>
        </w:rPr>
        <w:t xml:space="preserve"> </w:t>
      </w:r>
    </w:p>
    <w:p w14:paraId="3ECF9398" w14:textId="417927C1" w:rsidR="009B77C1" w:rsidRDefault="003E1C81" w:rsidP="00F069A2">
      <w:pPr>
        <w:pStyle w:val="ListParagraph"/>
        <w:numPr>
          <w:ilvl w:val="0"/>
          <w:numId w:val="26"/>
        </w:numPr>
        <w:autoSpaceDE w:val="0"/>
        <w:autoSpaceDN w:val="0"/>
        <w:adjustRightInd w:val="0"/>
        <w:spacing w:after="120"/>
        <w:ind w:left="714" w:hanging="357"/>
        <w:rPr>
          <w:sz w:val="20"/>
          <w:szCs w:val="20"/>
        </w:rPr>
      </w:pPr>
      <w:r>
        <w:rPr>
          <w:sz w:val="20"/>
          <w:szCs w:val="20"/>
        </w:rPr>
        <w:t xml:space="preserve">The </w:t>
      </w:r>
      <w:r w:rsidR="001A7DF4" w:rsidRPr="001A7DF4">
        <w:rPr>
          <w:sz w:val="20"/>
          <w:szCs w:val="20"/>
        </w:rPr>
        <w:t>IFRS</w:t>
      </w:r>
      <w:r>
        <w:rPr>
          <w:sz w:val="20"/>
          <w:szCs w:val="20"/>
        </w:rPr>
        <w:t xml:space="preserve"> AU</w:t>
      </w:r>
      <w:r w:rsidR="001A7DF4" w:rsidRPr="001A7DF4">
        <w:rPr>
          <w:sz w:val="20"/>
          <w:szCs w:val="20"/>
        </w:rPr>
        <w:t xml:space="preserve"> Taxonomy</w:t>
      </w:r>
      <w:r w:rsidR="00E601F8">
        <w:rPr>
          <w:sz w:val="20"/>
          <w:szCs w:val="20"/>
        </w:rPr>
        <w:t xml:space="preserve"> </w:t>
      </w:r>
      <w:r w:rsidR="001A7DF4" w:rsidRPr="001A7DF4">
        <w:rPr>
          <w:sz w:val="20"/>
          <w:szCs w:val="20"/>
        </w:rPr>
        <w:t xml:space="preserve">maintains consistency across and within the presentation, calculation and definition linkbases. In cases where </w:t>
      </w:r>
      <w:r w:rsidR="00047C04">
        <w:rPr>
          <w:sz w:val="20"/>
          <w:szCs w:val="20"/>
        </w:rPr>
        <w:t>a numeric concept</w:t>
      </w:r>
      <w:r w:rsidR="001A7DF4" w:rsidRPr="001A7DF4">
        <w:rPr>
          <w:sz w:val="20"/>
          <w:szCs w:val="20"/>
        </w:rPr>
        <w:t xml:space="preserve"> </w:t>
      </w:r>
      <w:r w:rsidR="00047C04">
        <w:rPr>
          <w:sz w:val="20"/>
          <w:szCs w:val="20"/>
        </w:rPr>
        <w:t xml:space="preserve">has been added or moved and </w:t>
      </w:r>
      <w:r w:rsidR="00E50B00">
        <w:rPr>
          <w:sz w:val="20"/>
          <w:szCs w:val="20"/>
        </w:rPr>
        <w:t>it forms</w:t>
      </w:r>
      <w:r w:rsidR="00047C04">
        <w:rPr>
          <w:sz w:val="20"/>
          <w:szCs w:val="20"/>
        </w:rPr>
        <w:t xml:space="preserve"> part of </w:t>
      </w:r>
      <w:r w:rsidR="00E50B00">
        <w:rPr>
          <w:sz w:val="20"/>
          <w:szCs w:val="20"/>
        </w:rPr>
        <w:t>a calculation</w:t>
      </w:r>
      <w:r w:rsidR="00047C04">
        <w:rPr>
          <w:sz w:val="20"/>
          <w:szCs w:val="20"/>
        </w:rPr>
        <w:t xml:space="preserve"> then both </w:t>
      </w:r>
      <w:r w:rsidR="001A7DF4" w:rsidRPr="001A7DF4">
        <w:rPr>
          <w:sz w:val="20"/>
          <w:szCs w:val="20"/>
        </w:rPr>
        <w:t>the</w:t>
      </w:r>
      <w:r w:rsidR="001A7DF4">
        <w:rPr>
          <w:sz w:val="20"/>
          <w:szCs w:val="20"/>
        </w:rPr>
        <w:t xml:space="preserve"> </w:t>
      </w:r>
      <w:r w:rsidR="001A7DF4" w:rsidRPr="001A7DF4">
        <w:rPr>
          <w:sz w:val="20"/>
          <w:szCs w:val="20"/>
        </w:rPr>
        <w:t>calculat</w:t>
      </w:r>
      <w:r w:rsidR="00047C04">
        <w:rPr>
          <w:sz w:val="20"/>
          <w:szCs w:val="20"/>
        </w:rPr>
        <w:t xml:space="preserve">ion and presentation linkbase </w:t>
      </w:r>
      <w:r w:rsidR="005F6AD9">
        <w:rPr>
          <w:sz w:val="20"/>
          <w:szCs w:val="20"/>
        </w:rPr>
        <w:t>are</w:t>
      </w:r>
      <w:r w:rsidR="00047C04">
        <w:rPr>
          <w:sz w:val="20"/>
          <w:szCs w:val="20"/>
        </w:rPr>
        <w:t xml:space="preserve"> updated</w:t>
      </w:r>
      <w:r w:rsidR="00DB7280">
        <w:rPr>
          <w:sz w:val="20"/>
          <w:szCs w:val="20"/>
        </w:rPr>
        <w:t>.</w:t>
      </w:r>
    </w:p>
    <w:p w14:paraId="3C5E128C" w14:textId="77777777" w:rsidR="007D10B1" w:rsidRPr="007D10B1" w:rsidRDefault="007D10B1" w:rsidP="007D10B1">
      <w:pPr>
        <w:autoSpaceDE w:val="0"/>
        <w:autoSpaceDN w:val="0"/>
        <w:adjustRightInd w:val="0"/>
        <w:rPr>
          <w:sz w:val="20"/>
          <w:szCs w:val="20"/>
        </w:rPr>
      </w:pPr>
    </w:p>
    <w:p w14:paraId="7FFA6703" w14:textId="4F4434FA" w:rsidR="00934517" w:rsidRDefault="009D34E6" w:rsidP="00EE73FE">
      <w:pPr>
        <w:rPr>
          <w:rFonts w:ascii="SwiftLTPro-Regular" w:hAnsi="SwiftLTPro-Regular" w:cs="SwiftLTPro-Regular"/>
          <w:sz w:val="16"/>
          <w:szCs w:val="16"/>
        </w:rPr>
      </w:pPr>
      <w:r>
        <w:rPr>
          <w:sz w:val="20"/>
          <w:szCs w:val="20"/>
        </w:rPr>
        <w:t xml:space="preserve">The physical location of the </w:t>
      </w:r>
      <w:r w:rsidR="006B5616">
        <w:rPr>
          <w:sz w:val="20"/>
          <w:szCs w:val="20"/>
        </w:rPr>
        <w:t xml:space="preserve">IFRS AU Taxonomy </w:t>
      </w:r>
      <w:r>
        <w:rPr>
          <w:sz w:val="20"/>
          <w:szCs w:val="20"/>
        </w:rPr>
        <w:t xml:space="preserve">is within the SBR file structure. </w:t>
      </w:r>
      <w:r w:rsidR="00E052C0" w:rsidRPr="00E052C0">
        <w:rPr>
          <w:sz w:val="20"/>
          <w:szCs w:val="20"/>
        </w:rPr>
        <w:t>The</w:t>
      </w:r>
      <w:r>
        <w:rPr>
          <w:sz w:val="20"/>
          <w:szCs w:val="20"/>
        </w:rPr>
        <w:t xml:space="preserve"> source </w:t>
      </w:r>
      <w:r w:rsidR="00FC3CEC">
        <w:rPr>
          <w:sz w:val="20"/>
          <w:szCs w:val="20"/>
        </w:rPr>
        <w:t xml:space="preserve">IFRS Taxonomy </w:t>
      </w:r>
      <w:r w:rsidR="00442B0D">
        <w:rPr>
          <w:sz w:val="20"/>
          <w:szCs w:val="20"/>
        </w:rPr>
        <w:t>2025</w:t>
      </w:r>
      <w:r w:rsidR="00E052C0" w:rsidRPr="00E052C0">
        <w:rPr>
          <w:sz w:val="20"/>
          <w:szCs w:val="20"/>
        </w:rPr>
        <w:t xml:space="preserve"> has been imported (copied) into the </w:t>
      </w:r>
      <w:r w:rsidR="003E1C81">
        <w:rPr>
          <w:sz w:val="20"/>
          <w:szCs w:val="20"/>
        </w:rPr>
        <w:t xml:space="preserve">IFRS </w:t>
      </w:r>
      <w:r w:rsidR="00E052C0" w:rsidRPr="00E052C0">
        <w:rPr>
          <w:sz w:val="20"/>
          <w:szCs w:val="20"/>
        </w:rPr>
        <w:t>AU Taxonomy</w:t>
      </w:r>
      <w:r w:rsidR="006B5616">
        <w:rPr>
          <w:sz w:val="20"/>
          <w:szCs w:val="20"/>
        </w:rPr>
        <w:t xml:space="preserve"> </w:t>
      </w:r>
      <w:r w:rsidR="00E052C0">
        <w:rPr>
          <w:sz w:val="20"/>
          <w:szCs w:val="20"/>
        </w:rPr>
        <w:t xml:space="preserve">in the </w:t>
      </w:r>
      <w:r w:rsidR="00E052C0" w:rsidRPr="00E052C0">
        <w:rPr>
          <w:sz w:val="20"/>
          <w:szCs w:val="20"/>
        </w:rPr>
        <w:t xml:space="preserve">folder </w:t>
      </w:r>
      <w:r w:rsidR="007D10B1">
        <w:rPr>
          <w:sz w:val="20"/>
          <w:szCs w:val="20"/>
        </w:rPr>
        <w:t>named</w:t>
      </w:r>
      <w:r>
        <w:rPr>
          <w:sz w:val="20"/>
          <w:szCs w:val="20"/>
        </w:rPr>
        <w:t xml:space="preserve"> </w:t>
      </w:r>
      <w:r w:rsidR="00B372C6">
        <w:rPr>
          <w:sz w:val="20"/>
          <w:szCs w:val="20"/>
        </w:rPr>
        <w:t>"</w:t>
      </w:r>
      <w:r w:rsidR="006C03AC">
        <w:rPr>
          <w:sz w:val="20"/>
          <w:szCs w:val="20"/>
        </w:rPr>
        <w:t>full_</w:t>
      </w:r>
      <w:r w:rsidR="00DB7280">
        <w:rPr>
          <w:sz w:val="20"/>
          <w:szCs w:val="20"/>
        </w:rPr>
        <w:t>ifrs</w:t>
      </w:r>
      <w:r w:rsidR="00B372C6">
        <w:rPr>
          <w:sz w:val="20"/>
          <w:szCs w:val="20"/>
        </w:rPr>
        <w:t>"</w:t>
      </w:r>
    </w:p>
    <w:p w14:paraId="444EDC58" w14:textId="77777777" w:rsidR="00934517" w:rsidRDefault="00934517" w:rsidP="00F572E7">
      <w:pPr>
        <w:rPr>
          <w:sz w:val="20"/>
          <w:szCs w:val="20"/>
        </w:rPr>
      </w:pPr>
    </w:p>
    <w:p w14:paraId="2067F85C" w14:textId="55B354EB" w:rsidR="00EE73FE" w:rsidRPr="00F572E7" w:rsidRDefault="00EC0382" w:rsidP="00EE73FE">
      <w:pPr>
        <w:rPr>
          <w:sz w:val="20"/>
          <w:szCs w:val="20"/>
        </w:rPr>
      </w:pPr>
      <w:r>
        <w:rPr>
          <w:sz w:val="20"/>
          <w:szCs w:val="20"/>
        </w:rPr>
        <w:t>T</w:t>
      </w:r>
      <w:r w:rsidR="00C8588F">
        <w:rPr>
          <w:sz w:val="20"/>
          <w:szCs w:val="20"/>
        </w:rPr>
        <w:t xml:space="preserve">he </w:t>
      </w:r>
      <w:r w:rsidR="006B5616">
        <w:rPr>
          <w:sz w:val="20"/>
          <w:szCs w:val="20"/>
        </w:rPr>
        <w:t xml:space="preserve">IFRS AU Taxonomy </w:t>
      </w:r>
      <w:r w:rsidR="003F2061">
        <w:rPr>
          <w:sz w:val="20"/>
          <w:szCs w:val="20"/>
        </w:rPr>
        <w:t>include</w:t>
      </w:r>
      <w:r w:rsidR="00C8588F">
        <w:rPr>
          <w:sz w:val="20"/>
          <w:szCs w:val="20"/>
        </w:rPr>
        <w:t>s</w:t>
      </w:r>
      <w:r w:rsidR="003F2061">
        <w:rPr>
          <w:sz w:val="20"/>
          <w:szCs w:val="20"/>
        </w:rPr>
        <w:t xml:space="preserve"> a</w:t>
      </w:r>
      <w:r w:rsidR="00F572E7" w:rsidRPr="00F572E7">
        <w:rPr>
          <w:sz w:val="20"/>
          <w:szCs w:val="20"/>
        </w:rPr>
        <w:t xml:space="preserve">ll </w:t>
      </w:r>
      <w:r w:rsidR="00B46582">
        <w:rPr>
          <w:sz w:val="20"/>
          <w:szCs w:val="20"/>
        </w:rPr>
        <w:t xml:space="preserve">applicable </w:t>
      </w:r>
      <w:r w:rsidR="00F572E7" w:rsidRPr="00F572E7">
        <w:rPr>
          <w:sz w:val="20"/>
          <w:szCs w:val="20"/>
        </w:rPr>
        <w:t>IFRS</w:t>
      </w:r>
      <w:r w:rsidR="00B60AA1">
        <w:rPr>
          <w:sz w:val="20"/>
          <w:szCs w:val="20"/>
        </w:rPr>
        <w:t xml:space="preserve"> Taxonomy concepts </w:t>
      </w:r>
      <w:r w:rsidR="00045ECF">
        <w:rPr>
          <w:sz w:val="20"/>
          <w:szCs w:val="20"/>
        </w:rPr>
        <w:t xml:space="preserve">for </w:t>
      </w:r>
      <w:r w:rsidR="00F572E7" w:rsidRPr="00F572E7">
        <w:rPr>
          <w:sz w:val="20"/>
          <w:szCs w:val="20"/>
        </w:rPr>
        <w:t xml:space="preserve">disclosure requirements </w:t>
      </w:r>
      <w:r w:rsidR="00B46582">
        <w:rPr>
          <w:sz w:val="20"/>
          <w:szCs w:val="20"/>
        </w:rPr>
        <w:t xml:space="preserve">and </w:t>
      </w:r>
      <w:r w:rsidR="003F2061">
        <w:rPr>
          <w:sz w:val="20"/>
          <w:szCs w:val="20"/>
        </w:rPr>
        <w:t xml:space="preserve">a number of additional </w:t>
      </w:r>
      <w:r w:rsidR="00045ECF">
        <w:rPr>
          <w:sz w:val="20"/>
          <w:szCs w:val="20"/>
        </w:rPr>
        <w:t>concepts</w:t>
      </w:r>
      <w:r w:rsidR="00B46582" w:rsidRPr="00B46582">
        <w:rPr>
          <w:sz w:val="20"/>
          <w:szCs w:val="20"/>
        </w:rPr>
        <w:t xml:space="preserve"> required to meet the Australian specific disclosure requirements</w:t>
      </w:r>
      <w:r w:rsidR="00B46582">
        <w:rPr>
          <w:sz w:val="20"/>
          <w:szCs w:val="20"/>
        </w:rPr>
        <w:t xml:space="preserve">. </w:t>
      </w:r>
      <w:r w:rsidR="00045ECF">
        <w:rPr>
          <w:sz w:val="20"/>
          <w:szCs w:val="20"/>
        </w:rPr>
        <w:t xml:space="preserve">There are a number of reportable items that are not used in </w:t>
      </w:r>
      <w:r w:rsidR="00A56E07">
        <w:rPr>
          <w:sz w:val="20"/>
          <w:szCs w:val="20"/>
        </w:rPr>
        <w:t xml:space="preserve">the </w:t>
      </w:r>
      <w:r w:rsidR="00045ECF">
        <w:rPr>
          <w:sz w:val="20"/>
          <w:szCs w:val="20"/>
        </w:rPr>
        <w:t>Australian jurisdiction which are available in the IFRS core schema</w:t>
      </w:r>
      <w:r w:rsidR="00013155">
        <w:rPr>
          <w:sz w:val="20"/>
          <w:szCs w:val="20"/>
        </w:rPr>
        <w:t>. These</w:t>
      </w:r>
      <w:r w:rsidR="00045ECF">
        <w:rPr>
          <w:sz w:val="20"/>
          <w:szCs w:val="20"/>
        </w:rPr>
        <w:t xml:space="preserve"> h</w:t>
      </w:r>
      <w:r w:rsidR="00EE73FE">
        <w:rPr>
          <w:sz w:val="20"/>
          <w:szCs w:val="20"/>
        </w:rPr>
        <w:t>a</w:t>
      </w:r>
      <w:r w:rsidR="00045ECF">
        <w:rPr>
          <w:sz w:val="20"/>
          <w:szCs w:val="20"/>
        </w:rPr>
        <w:t>ve been</w:t>
      </w:r>
      <w:r w:rsidR="00DB7280">
        <w:rPr>
          <w:sz w:val="20"/>
          <w:szCs w:val="20"/>
        </w:rPr>
        <w:t xml:space="preserve"> detached from</w:t>
      </w:r>
      <w:r w:rsidR="00045ECF">
        <w:rPr>
          <w:sz w:val="20"/>
          <w:szCs w:val="20"/>
        </w:rPr>
        <w:t xml:space="preserve"> </w:t>
      </w:r>
      <w:r w:rsidR="00DB7280">
        <w:rPr>
          <w:sz w:val="20"/>
          <w:szCs w:val="20"/>
        </w:rPr>
        <w:t>the IFRS AU taxonomy’s entry point</w:t>
      </w:r>
      <w:r w:rsidR="00045ECF">
        <w:rPr>
          <w:sz w:val="20"/>
          <w:szCs w:val="20"/>
        </w:rPr>
        <w:t>.</w:t>
      </w:r>
    </w:p>
    <w:p w14:paraId="4FAF9379" w14:textId="77777777" w:rsidR="00045ECF" w:rsidRDefault="00045ECF" w:rsidP="00F572E7">
      <w:pPr>
        <w:rPr>
          <w:sz w:val="20"/>
          <w:szCs w:val="20"/>
        </w:rPr>
      </w:pPr>
    </w:p>
    <w:p w14:paraId="1DB96FB0" w14:textId="7EC28FC8" w:rsidR="00F011C8" w:rsidRDefault="00B46582" w:rsidP="00F572E7">
      <w:pPr>
        <w:rPr>
          <w:sz w:val="20"/>
          <w:szCs w:val="20"/>
        </w:rPr>
      </w:pPr>
      <w:r>
        <w:rPr>
          <w:sz w:val="20"/>
          <w:szCs w:val="20"/>
        </w:rPr>
        <w:t xml:space="preserve">The list of all concepts is included in Appendix A grouped into their presentation structure </w:t>
      </w:r>
      <w:r w:rsidR="00263CDE">
        <w:rPr>
          <w:sz w:val="20"/>
          <w:szCs w:val="20"/>
        </w:rPr>
        <w:t>with references to the relevant standards.</w:t>
      </w:r>
    </w:p>
    <w:p w14:paraId="6DFE6789" w14:textId="77777777" w:rsidR="00B46582" w:rsidRDefault="00B46582" w:rsidP="00F572E7">
      <w:pPr>
        <w:rPr>
          <w:sz w:val="20"/>
          <w:szCs w:val="20"/>
        </w:rPr>
      </w:pPr>
    </w:p>
    <w:p w14:paraId="53D6E03D" w14:textId="77777777" w:rsidR="00F572E7" w:rsidRPr="00F572E7" w:rsidRDefault="003E1C81" w:rsidP="00F572E7">
      <w:pPr>
        <w:rPr>
          <w:sz w:val="20"/>
          <w:szCs w:val="20"/>
        </w:rPr>
      </w:pPr>
      <w:r>
        <w:rPr>
          <w:sz w:val="20"/>
          <w:szCs w:val="20"/>
        </w:rPr>
        <w:t xml:space="preserve">The </w:t>
      </w:r>
      <w:r w:rsidR="00F572E7" w:rsidRPr="00F572E7">
        <w:rPr>
          <w:sz w:val="20"/>
          <w:szCs w:val="20"/>
        </w:rPr>
        <w:t>IFRS</w:t>
      </w:r>
      <w:r w:rsidR="00B60AA1">
        <w:rPr>
          <w:sz w:val="20"/>
          <w:szCs w:val="20"/>
        </w:rPr>
        <w:t xml:space="preserve"> Taxonomy concepts</w:t>
      </w:r>
      <w:r w:rsidR="00F011C8">
        <w:rPr>
          <w:sz w:val="20"/>
          <w:szCs w:val="20"/>
        </w:rPr>
        <w:t xml:space="preserve"> and the additional Australian </w:t>
      </w:r>
      <w:r w:rsidR="00B60AA1">
        <w:rPr>
          <w:sz w:val="20"/>
          <w:szCs w:val="20"/>
        </w:rPr>
        <w:t>concepts</w:t>
      </w:r>
      <w:r w:rsidR="00F572E7" w:rsidRPr="00F572E7">
        <w:rPr>
          <w:sz w:val="20"/>
          <w:szCs w:val="20"/>
        </w:rPr>
        <w:t xml:space="preserve"> are modelled in the IFRS</w:t>
      </w:r>
      <w:r>
        <w:rPr>
          <w:sz w:val="20"/>
          <w:szCs w:val="20"/>
        </w:rPr>
        <w:t xml:space="preserve"> AU</w:t>
      </w:r>
      <w:r w:rsidR="00F572E7" w:rsidRPr="00F572E7">
        <w:rPr>
          <w:sz w:val="20"/>
          <w:szCs w:val="20"/>
        </w:rPr>
        <w:t xml:space="preserve"> Taxonomy in two ways</w:t>
      </w:r>
      <w:r w:rsidR="00C2529F">
        <w:rPr>
          <w:sz w:val="20"/>
          <w:szCs w:val="20"/>
        </w:rPr>
        <w:t>:</w:t>
      </w:r>
      <w:r w:rsidR="00F572E7" w:rsidRPr="00F572E7">
        <w:rPr>
          <w:sz w:val="20"/>
          <w:szCs w:val="20"/>
        </w:rPr>
        <w:t xml:space="preserve"> via hierarchies and/or via axes (dimensions)</w:t>
      </w:r>
      <w:r w:rsidR="00B150A0">
        <w:rPr>
          <w:sz w:val="20"/>
          <w:szCs w:val="20"/>
        </w:rPr>
        <w:t>.</w:t>
      </w:r>
      <w:r w:rsidR="00420A1E">
        <w:rPr>
          <w:sz w:val="20"/>
          <w:szCs w:val="20"/>
        </w:rPr>
        <w:t xml:space="preserve"> </w:t>
      </w:r>
      <w:r w:rsidR="00B60AA1">
        <w:rPr>
          <w:sz w:val="20"/>
          <w:szCs w:val="20"/>
        </w:rPr>
        <w:t xml:space="preserve"> </w:t>
      </w:r>
    </w:p>
    <w:p w14:paraId="75656C88" w14:textId="77777777" w:rsidR="00F572E7" w:rsidRDefault="00F572E7" w:rsidP="00F572E7">
      <w:pPr>
        <w:pStyle w:val="Head3"/>
      </w:pPr>
      <w:bookmarkStart w:id="167" w:name="_Toc205457957"/>
      <w:r>
        <w:t>Hierarchical modelling</w:t>
      </w:r>
      <w:bookmarkEnd w:id="167"/>
    </w:p>
    <w:p w14:paraId="4F019E95" w14:textId="77777777" w:rsidR="00F572E7" w:rsidRPr="00F572E7" w:rsidRDefault="00F572E7" w:rsidP="00F572E7">
      <w:pPr>
        <w:autoSpaceDE w:val="0"/>
        <w:autoSpaceDN w:val="0"/>
        <w:adjustRightInd w:val="0"/>
        <w:rPr>
          <w:sz w:val="20"/>
          <w:szCs w:val="20"/>
        </w:rPr>
      </w:pPr>
      <w:r w:rsidRPr="00F572E7">
        <w:rPr>
          <w:sz w:val="20"/>
          <w:szCs w:val="20"/>
        </w:rPr>
        <w:t>The most common modelling technique used in the</w:t>
      </w:r>
      <w:r>
        <w:rPr>
          <w:sz w:val="20"/>
          <w:szCs w:val="20"/>
        </w:rPr>
        <w:t xml:space="preserve"> </w:t>
      </w:r>
      <w:r w:rsidRPr="00F572E7">
        <w:rPr>
          <w:sz w:val="20"/>
          <w:szCs w:val="20"/>
        </w:rPr>
        <w:t>IFRS</w:t>
      </w:r>
      <w:r w:rsidR="00C2529F">
        <w:rPr>
          <w:sz w:val="20"/>
          <w:szCs w:val="20"/>
        </w:rPr>
        <w:t xml:space="preserve"> AU</w:t>
      </w:r>
      <w:r w:rsidRPr="00F572E7">
        <w:rPr>
          <w:sz w:val="20"/>
          <w:szCs w:val="20"/>
        </w:rPr>
        <w:t xml:space="preserve"> Taxonomy</w:t>
      </w:r>
      <w:r w:rsidR="00C2529F">
        <w:rPr>
          <w:sz w:val="20"/>
          <w:szCs w:val="20"/>
        </w:rPr>
        <w:t xml:space="preserve"> </w:t>
      </w:r>
      <w:r w:rsidRPr="00F572E7">
        <w:rPr>
          <w:sz w:val="20"/>
          <w:szCs w:val="20"/>
        </w:rPr>
        <w:t>is hierarchical/list modelling in the presentation, definition</w:t>
      </w:r>
      <w:r>
        <w:rPr>
          <w:sz w:val="20"/>
          <w:szCs w:val="20"/>
        </w:rPr>
        <w:t xml:space="preserve"> </w:t>
      </w:r>
      <w:r w:rsidRPr="00F572E7">
        <w:rPr>
          <w:sz w:val="20"/>
          <w:szCs w:val="20"/>
        </w:rPr>
        <w:t>and calculation linkbases (or if there are no calculation relationships between the concepts, then only the presentation and definition linkbases are modelled).</w:t>
      </w:r>
    </w:p>
    <w:p w14:paraId="0C2D99AA" w14:textId="77777777" w:rsidR="00F572E7" w:rsidRDefault="00F572E7" w:rsidP="00F572E7">
      <w:pPr>
        <w:autoSpaceDE w:val="0"/>
        <w:autoSpaceDN w:val="0"/>
        <w:adjustRightInd w:val="0"/>
        <w:rPr>
          <w:sz w:val="20"/>
          <w:szCs w:val="20"/>
        </w:rPr>
      </w:pPr>
    </w:p>
    <w:p w14:paraId="4C6CD8F0" w14:textId="77777777" w:rsidR="00F011C8" w:rsidRDefault="00F011C8" w:rsidP="00F572E7">
      <w:pPr>
        <w:autoSpaceDE w:val="0"/>
        <w:autoSpaceDN w:val="0"/>
        <w:adjustRightInd w:val="0"/>
        <w:rPr>
          <w:sz w:val="20"/>
          <w:szCs w:val="20"/>
        </w:rPr>
      </w:pPr>
      <w:r>
        <w:rPr>
          <w:sz w:val="20"/>
          <w:szCs w:val="20"/>
        </w:rPr>
        <w:t>The n</w:t>
      </w:r>
      <w:r w:rsidR="00C2529F">
        <w:rPr>
          <w:sz w:val="20"/>
          <w:szCs w:val="20"/>
        </w:rPr>
        <w:t>ew elements created for the AU E</w:t>
      </w:r>
      <w:r>
        <w:rPr>
          <w:sz w:val="20"/>
          <w:szCs w:val="20"/>
        </w:rPr>
        <w:t>xtension are inserted between the IFRS elements at the appropriate place in the presentation</w:t>
      </w:r>
      <w:r w:rsidR="00B150A0">
        <w:rPr>
          <w:sz w:val="20"/>
          <w:szCs w:val="20"/>
        </w:rPr>
        <w:t>,</w:t>
      </w:r>
      <w:r>
        <w:rPr>
          <w:sz w:val="20"/>
          <w:szCs w:val="20"/>
        </w:rPr>
        <w:t xml:space="preserve"> </w:t>
      </w:r>
      <w:r w:rsidR="00B150A0">
        <w:rPr>
          <w:sz w:val="20"/>
          <w:szCs w:val="20"/>
        </w:rPr>
        <w:t xml:space="preserve">definition </w:t>
      </w:r>
      <w:r>
        <w:rPr>
          <w:sz w:val="20"/>
          <w:szCs w:val="20"/>
        </w:rPr>
        <w:t>and</w:t>
      </w:r>
      <w:r w:rsidR="00B150A0">
        <w:rPr>
          <w:sz w:val="20"/>
          <w:szCs w:val="20"/>
        </w:rPr>
        <w:t xml:space="preserve"> where applicable</w:t>
      </w:r>
      <w:r>
        <w:rPr>
          <w:sz w:val="20"/>
          <w:szCs w:val="20"/>
        </w:rPr>
        <w:t xml:space="preserve"> calculation linkbases. </w:t>
      </w:r>
    </w:p>
    <w:p w14:paraId="06CB4249" w14:textId="77777777" w:rsidR="00F011C8" w:rsidRDefault="00F011C8" w:rsidP="00F011C8">
      <w:pPr>
        <w:autoSpaceDE w:val="0"/>
        <w:autoSpaceDN w:val="0"/>
        <w:adjustRightInd w:val="0"/>
        <w:rPr>
          <w:sz w:val="20"/>
          <w:szCs w:val="20"/>
        </w:rPr>
      </w:pPr>
    </w:p>
    <w:p w14:paraId="3EBAAEDB" w14:textId="77777777" w:rsidR="00F572E7" w:rsidRDefault="00F572E7" w:rsidP="00F011C8">
      <w:pPr>
        <w:autoSpaceDE w:val="0"/>
        <w:autoSpaceDN w:val="0"/>
        <w:adjustRightInd w:val="0"/>
        <w:rPr>
          <w:sz w:val="20"/>
          <w:szCs w:val="20"/>
        </w:rPr>
      </w:pPr>
      <w:r w:rsidRPr="00F572E7">
        <w:rPr>
          <w:sz w:val="20"/>
          <w:szCs w:val="20"/>
        </w:rPr>
        <w:t>An ex</w:t>
      </w:r>
      <w:r w:rsidR="0002509F">
        <w:rPr>
          <w:sz w:val="20"/>
          <w:szCs w:val="20"/>
        </w:rPr>
        <w:t xml:space="preserve">ample of hierarchical modelling </w:t>
      </w:r>
      <w:r w:rsidRPr="00F572E7">
        <w:rPr>
          <w:sz w:val="20"/>
          <w:szCs w:val="20"/>
        </w:rPr>
        <w:t>is shown in</w:t>
      </w:r>
      <w:r>
        <w:rPr>
          <w:sz w:val="20"/>
          <w:szCs w:val="20"/>
        </w:rPr>
        <w:t xml:space="preserve"> </w:t>
      </w:r>
      <w:r w:rsidRPr="00F572E7">
        <w:rPr>
          <w:sz w:val="20"/>
          <w:szCs w:val="20"/>
        </w:rPr>
        <w:t>Illustration (below) in the ELR [</w:t>
      </w:r>
      <w:r w:rsidR="0002509F">
        <w:rPr>
          <w:sz w:val="20"/>
          <w:szCs w:val="20"/>
        </w:rPr>
        <w:t>822200</w:t>
      </w:r>
      <w:r w:rsidRPr="00F572E7">
        <w:rPr>
          <w:sz w:val="20"/>
          <w:szCs w:val="20"/>
        </w:rPr>
        <w:t xml:space="preserve">] </w:t>
      </w:r>
      <w:r w:rsidR="0002509F">
        <w:rPr>
          <w:sz w:val="20"/>
          <w:szCs w:val="20"/>
        </w:rPr>
        <w:t xml:space="preserve">Notes – Exploration for and evaluation of </w:t>
      </w:r>
      <w:r w:rsidR="00487124">
        <w:rPr>
          <w:sz w:val="20"/>
          <w:szCs w:val="20"/>
        </w:rPr>
        <w:t>mineral</w:t>
      </w:r>
      <w:r w:rsidR="0002509F">
        <w:rPr>
          <w:sz w:val="20"/>
          <w:szCs w:val="20"/>
        </w:rPr>
        <w:t xml:space="preserve"> resources</w:t>
      </w:r>
      <w:r w:rsidRPr="00F572E7">
        <w:rPr>
          <w:sz w:val="20"/>
          <w:szCs w:val="20"/>
        </w:rPr>
        <w:t xml:space="preserve">. Hierarchical modelling is used for most statements and notes in the </w:t>
      </w:r>
      <w:r w:rsidR="006B5616">
        <w:rPr>
          <w:sz w:val="20"/>
          <w:szCs w:val="20"/>
        </w:rPr>
        <w:t>IFRS AU Taxonomy</w:t>
      </w:r>
      <w:r w:rsidRPr="00F572E7">
        <w:rPr>
          <w:sz w:val="20"/>
          <w:szCs w:val="20"/>
        </w:rPr>
        <w:t>.</w:t>
      </w:r>
    </w:p>
    <w:p w14:paraId="1AD2D436" w14:textId="7DE6A393" w:rsidR="00487124" w:rsidRDefault="00487124" w:rsidP="00F011C8">
      <w:pPr>
        <w:autoSpaceDE w:val="0"/>
        <w:autoSpaceDN w:val="0"/>
        <w:adjustRightInd w:val="0"/>
        <w:rPr>
          <w:sz w:val="20"/>
          <w:szCs w:val="20"/>
        </w:rPr>
      </w:pPr>
    </w:p>
    <w:p w14:paraId="141E2BE0" w14:textId="6F2EA3D3" w:rsidR="00B80E5D" w:rsidRDefault="00B80E5D" w:rsidP="00F011C8">
      <w:pPr>
        <w:autoSpaceDE w:val="0"/>
        <w:autoSpaceDN w:val="0"/>
        <w:adjustRightInd w:val="0"/>
        <w:rPr>
          <w:sz w:val="20"/>
          <w:szCs w:val="20"/>
        </w:rPr>
      </w:pPr>
    </w:p>
    <w:p w14:paraId="40AB330A" w14:textId="77777777" w:rsidR="008C3265" w:rsidRDefault="008C3265" w:rsidP="00F011C8">
      <w:pPr>
        <w:autoSpaceDE w:val="0"/>
        <w:autoSpaceDN w:val="0"/>
        <w:adjustRightInd w:val="0"/>
        <w:rPr>
          <w:sz w:val="20"/>
          <w:szCs w:val="20"/>
        </w:rPr>
      </w:pPr>
    </w:p>
    <w:p w14:paraId="6B4FC632" w14:textId="6E735656" w:rsidR="00B80E5D" w:rsidRDefault="00B80E5D" w:rsidP="00F011C8">
      <w:pPr>
        <w:autoSpaceDE w:val="0"/>
        <w:autoSpaceDN w:val="0"/>
        <w:adjustRightInd w:val="0"/>
        <w:rPr>
          <w:sz w:val="20"/>
          <w:szCs w:val="20"/>
        </w:rPr>
      </w:pPr>
    </w:p>
    <w:p w14:paraId="59C409EA" w14:textId="77777777" w:rsidR="00B80E5D" w:rsidRPr="00F572E7" w:rsidRDefault="00B80E5D" w:rsidP="00F011C8">
      <w:pPr>
        <w:autoSpaceDE w:val="0"/>
        <w:autoSpaceDN w:val="0"/>
        <w:adjustRightInd w:val="0"/>
        <w:rPr>
          <w:sz w:val="20"/>
          <w:szCs w:val="20"/>
        </w:rPr>
      </w:pPr>
    </w:p>
    <w:p w14:paraId="2523EE7D" w14:textId="77777777" w:rsidR="009B77C1" w:rsidRDefault="00487124" w:rsidP="00F069A2">
      <w:pPr>
        <w:pStyle w:val="ListParagraph"/>
        <w:numPr>
          <w:ilvl w:val="0"/>
          <w:numId w:val="29"/>
        </w:numPr>
        <w:ind w:hanging="720"/>
        <w:rPr>
          <w:b/>
          <w:sz w:val="18"/>
          <w:szCs w:val="18"/>
        </w:rPr>
      </w:pPr>
      <w:r w:rsidRPr="00487124">
        <w:rPr>
          <w:b/>
          <w:sz w:val="18"/>
          <w:szCs w:val="18"/>
        </w:rPr>
        <w:t>ELR [822200] Notes – Exploration for and evaluation of mineral resources</w:t>
      </w:r>
    </w:p>
    <w:p w14:paraId="6E810733" w14:textId="77777777" w:rsidR="00487124" w:rsidRPr="00487124" w:rsidRDefault="00487124" w:rsidP="00487124">
      <w:pPr>
        <w:pStyle w:val="ListParagraph"/>
        <w:rPr>
          <w:b/>
          <w:sz w:val="18"/>
          <w:szCs w:val="18"/>
        </w:rPr>
      </w:pPr>
    </w:p>
    <w:tbl>
      <w:tblPr>
        <w:tblW w:w="9087"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8"/>
        <w:gridCol w:w="8539"/>
      </w:tblGrid>
      <w:tr w:rsidR="0002509F" w:rsidRPr="0002509F" w14:paraId="632388E6" w14:textId="77777777" w:rsidTr="00487124">
        <w:trPr>
          <w:trHeight w:val="300"/>
        </w:trPr>
        <w:tc>
          <w:tcPr>
            <w:tcW w:w="548" w:type="dxa"/>
            <w:shd w:val="clear" w:color="000000" w:fill="auto"/>
            <w:noWrap/>
            <w:vAlign w:val="bottom"/>
            <w:hideMark/>
          </w:tcPr>
          <w:p w14:paraId="66FE2EE7" w14:textId="77777777" w:rsidR="0002509F" w:rsidRPr="0002509F" w:rsidRDefault="0002509F" w:rsidP="0002509F">
            <w:pPr>
              <w:rPr>
                <w:rFonts w:ascii="Tahoma" w:hAnsi="Tahoma" w:cs="Tahoma"/>
                <w:sz w:val="16"/>
                <w:szCs w:val="16"/>
              </w:rPr>
            </w:pPr>
          </w:p>
        </w:tc>
        <w:tc>
          <w:tcPr>
            <w:tcW w:w="8539" w:type="dxa"/>
            <w:shd w:val="clear" w:color="000000" w:fill="auto"/>
            <w:noWrap/>
            <w:hideMark/>
          </w:tcPr>
          <w:p w14:paraId="405A4C07" w14:textId="77777777" w:rsidR="0002509F" w:rsidRPr="0002509F" w:rsidRDefault="0002509F" w:rsidP="0002509F">
            <w:pPr>
              <w:rPr>
                <w:rFonts w:ascii="Tahoma" w:hAnsi="Tahoma" w:cs="Tahoma"/>
                <w:b/>
                <w:bCs/>
                <w:color w:val="000000"/>
                <w:sz w:val="16"/>
                <w:szCs w:val="16"/>
              </w:rPr>
            </w:pPr>
            <w:r w:rsidRPr="0002509F">
              <w:rPr>
                <w:rFonts w:ascii="Tahoma" w:hAnsi="Tahoma" w:cs="Tahoma"/>
                <w:b/>
                <w:bCs/>
                <w:color w:val="000000"/>
                <w:sz w:val="16"/>
                <w:szCs w:val="16"/>
              </w:rPr>
              <w:t>[822200] Notes - Exploration for and evaluation of mineral resources</w:t>
            </w:r>
          </w:p>
        </w:tc>
      </w:tr>
      <w:tr w:rsidR="0002509F" w:rsidRPr="0002509F" w14:paraId="1147ABE4" w14:textId="77777777" w:rsidTr="00487124">
        <w:trPr>
          <w:trHeight w:val="300"/>
        </w:trPr>
        <w:tc>
          <w:tcPr>
            <w:tcW w:w="548" w:type="dxa"/>
            <w:shd w:val="clear" w:color="000000" w:fill="D7E4BC"/>
            <w:noWrap/>
            <w:vAlign w:val="bottom"/>
            <w:hideMark/>
          </w:tcPr>
          <w:p w14:paraId="5669E1C1"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37068C78" w14:textId="77777777" w:rsidR="0002509F" w:rsidRPr="0002509F" w:rsidRDefault="0002509F" w:rsidP="0002509F">
            <w:pPr>
              <w:ind w:firstLineChars="300" w:firstLine="480"/>
              <w:rPr>
                <w:rFonts w:ascii="Tahoma" w:hAnsi="Tahoma" w:cs="Tahoma"/>
                <w:sz w:val="16"/>
                <w:szCs w:val="16"/>
              </w:rPr>
            </w:pPr>
            <w:r w:rsidRPr="0002509F">
              <w:rPr>
                <w:rFonts w:ascii="Tahoma" w:hAnsi="Tahoma" w:cs="Tahoma"/>
                <w:sz w:val="16"/>
                <w:szCs w:val="16"/>
              </w:rPr>
              <w:t>Disclosure of exploration and evaluation assets [text block]</w:t>
            </w:r>
          </w:p>
        </w:tc>
      </w:tr>
      <w:tr w:rsidR="0002509F" w:rsidRPr="0002509F" w14:paraId="2DA03BC4" w14:textId="77777777" w:rsidTr="00487124">
        <w:trPr>
          <w:trHeight w:val="300"/>
        </w:trPr>
        <w:tc>
          <w:tcPr>
            <w:tcW w:w="548" w:type="dxa"/>
            <w:shd w:val="clear" w:color="000000" w:fill="D7E4BC"/>
            <w:noWrap/>
            <w:vAlign w:val="bottom"/>
            <w:hideMark/>
          </w:tcPr>
          <w:p w14:paraId="059A0A92"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0194341F" w14:textId="77777777"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Description of accounting policy for exploration and evaluation expenditures [text block]</w:t>
            </w:r>
          </w:p>
        </w:tc>
      </w:tr>
      <w:tr w:rsidR="0002509F" w:rsidRPr="0002509F" w14:paraId="2C623CD8" w14:textId="77777777" w:rsidTr="00487124">
        <w:trPr>
          <w:trHeight w:val="300"/>
        </w:trPr>
        <w:tc>
          <w:tcPr>
            <w:tcW w:w="548" w:type="dxa"/>
            <w:shd w:val="clear" w:color="000000" w:fill="D7E4BC"/>
            <w:noWrap/>
            <w:vAlign w:val="bottom"/>
            <w:hideMark/>
          </w:tcPr>
          <w:p w14:paraId="77219203"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5DEB7131" w14:textId="77777777"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Assets arising from exploration for and evaluation of mineral resources</w:t>
            </w:r>
          </w:p>
        </w:tc>
      </w:tr>
      <w:tr w:rsidR="0002509F" w:rsidRPr="0002509F" w14:paraId="770D0FEF" w14:textId="77777777" w:rsidTr="00487124">
        <w:trPr>
          <w:trHeight w:val="300"/>
        </w:trPr>
        <w:tc>
          <w:tcPr>
            <w:tcW w:w="548" w:type="dxa"/>
            <w:shd w:val="clear" w:color="000000" w:fill="D7E4BC"/>
            <w:noWrap/>
            <w:vAlign w:val="bottom"/>
            <w:hideMark/>
          </w:tcPr>
          <w:p w14:paraId="4FC4EE5A"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50F8E243" w14:textId="77777777"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Liabilities arising from exploration for and evaluation of mineral resources</w:t>
            </w:r>
          </w:p>
        </w:tc>
      </w:tr>
      <w:tr w:rsidR="0002509F" w:rsidRPr="0002509F" w14:paraId="0595426E" w14:textId="77777777" w:rsidTr="00487124">
        <w:trPr>
          <w:trHeight w:val="300"/>
        </w:trPr>
        <w:tc>
          <w:tcPr>
            <w:tcW w:w="548" w:type="dxa"/>
            <w:shd w:val="clear" w:color="000000" w:fill="D7E4BC"/>
            <w:noWrap/>
            <w:vAlign w:val="bottom"/>
            <w:hideMark/>
          </w:tcPr>
          <w:p w14:paraId="4B293DBB"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08321D28" w14:textId="77777777"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Income arising from exploration for and evaluation of mineral resources</w:t>
            </w:r>
          </w:p>
        </w:tc>
      </w:tr>
      <w:tr w:rsidR="0002509F" w:rsidRPr="0002509F" w14:paraId="0959F6B7" w14:textId="77777777" w:rsidTr="00487124">
        <w:trPr>
          <w:trHeight w:val="300"/>
        </w:trPr>
        <w:tc>
          <w:tcPr>
            <w:tcW w:w="548" w:type="dxa"/>
            <w:shd w:val="clear" w:color="000000" w:fill="D7E4BC"/>
            <w:noWrap/>
            <w:vAlign w:val="bottom"/>
            <w:hideMark/>
          </w:tcPr>
          <w:p w14:paraId="4A222098"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1A494E9F" w14:textId="77777777"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Expense arising from exploration for and evaluation of mineral resources</w:t>
            </w:r>
          </w:p>
        </w:tc>
      </w:tr>
      <w:tr w:rsidR="0002509F" w:rsidRPr="0002509F" w14:paraId="367381F5" w14:textId="77777777" w:rsidTr="00487124">
        <w:trPr>
          <w:trHeight w:val="420"/>
        </w:trPr>
        <w:tc>
          <w:tcPr>
            <w:tcW w:w="548" w:type="dxa"/>
            <w:shd w:val="clear" w:color="000000" w:fill="D7E4BC"/>
            <w:noWrap/>
            <w:vAlign w:val="bottom"/>
            <w:hideMark/>
          </w:tcPr>
          <w:p w14:paraId="5B5A92DC"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3CC0ED98" w14:textId="77777777" w:rsidR="0002509F" w:rsidRDefault="0002509F" w:rsidP="0002509F">
            <w:pPr>
              <w:ind w:firstLineChars="400" w:firstLine="640"/>
              <w:rPr>
                <w:rFonts w:ascii="Tahoma" w:hAnsi="Tahoma" w:cs="Tahoma"/>
                <w:sz w:val="16"/>
                <w:szCs w:val="16"/>
              </w:rPr>
            </w:pPr>
            <w:r w:rsidRPr="0002509F">
              <w:rPr>
                <w:rFonts w:ascii="Tahoma" w:hAnsi="Tahoma" w:cs="Tahoma"/>
                <w:sz w:val="16"/>
                <w:szCs w:val="16"/>
              </w:rPr>
              <w:t xml:space="preserve">Cash flows from (used in) exploration for and evaluation of mineral resources, classified as </w:t>
            </w:r>
          </w:p>
          <w:p w14:paraId="5067BABB" w14:textId="77777777"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operating activities</w:t>
            </w:r>
          </w:p>
        </w:tc>
      </w:tr>
      <w:tr w:rsidR="0002509F" w:rsidRPr="0002509F" w14:paraId="4AD0930D" w14:textId="77777777" w:rsidTr="00487124">
        <w:trPr>
          <w:trHeight w:val="420"/>
        </w:trPr>
        <w:tc>
          <w:tcPr>
            <w:tcW w:w="548" w:type="dxa"/>
            <w:shd w:val="clear" w:color="000000" w:fill="D7E4BC"/>
            <w:noWrap/>
            <w:vAlign w:val="bottom"/>
            <w:hideMark/>
          </w:tcPr>
          <w:p w14:paraId="084D6EAC"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8539" w:type="dxa"/>
            <w:shd w:val="clear" w:color="000000" w:fill="D7E4BC"/>
            <w:hideMark/>
          </w:tcPr>
          <w:p w14:paraId="1D9B67B8" w14:textId="77777777" w:rsidR="0002509F" w:rsidRDefault="0002509F" w:rsidP="0002509F">
            <w:pPr>
              <w:ind w:firstLineChars="400" w:firstLine="640"/>
              <w:rPr>
                <w:rFonts w:ascii="Tahoma" w:hAnsi="Tahoma" w:cs="Tahoma"/>
                <w:sz w:val="16"/>
                <w:szCs w:val="16"/>
              </w:rPr>
            </w:pPr>
            <w:r w:rsidRPr="0002509F">
              <w:rPr>
                <w:rFonts w:ascii="Tahoma" w:hAnsi="Tahoma" w:cs="Tahoma"/>
                <w:sz w:val="16"/>
                <w:szCs w:val="16"/>
              </w:rPr>
              <w:t xml:space="preserve">Cash flows from (used in) exploration for and evaluation of mineral resources, classified as investing </w:t>
            </w:r>
          </w:p>
          <w:p w14:paraId="6DE6D043" w14:textId="77777777" w:rsidR="0002509F" w:rsidRPr="0002509F" w:rsidRDefault="0002509F" w:rsidP="0002509F">
            <w:pPr>
              <w:ind w:firstLineChars="400" w:firstLine="640"/>
              <w:rPr>
                <w:rFonts w:ascii="Tahoma" w:hAnsi="Tahoma" w:cs="Tahoma"/>
                <w:sz w:val="16"/>
                <w:szCs w:val="16"/>
              </w:rPr>
            </w:pPr>
            <w:r>
              <w:rPr>
                <w:rFonts w:ascii="Tahoma" w:hAnsi="Tahoma" w:cs="Tahoma"/>
                <w:sz w:val="16"/>
                <w:szCs w:val="16"/>
              </w:rPr>
              <w:t>a</w:t>
            </w:r>
            <w:r w:rsidRPr="0002509F">
              <w:rPr>
                <w:rFonts w:ascii="Tahoma" w:hAnsi="Tahoma" w:cs="Tahoma"/>
                <w:sz w:val="16"/>
                <w:szCs w:val="16"/>
              </w:rPr>
              <w:t>ctivities</w:t>
            </w:r>
          </w:p>
        </w:tc>
      </w:tr>
      <w:tr w:rsidR="0002509F" w:rsidRPr="0002509F" w14:paraId="2E28967C" w14:textId="77777777" w:rsidTr="00487124">
        <w:trPr>
          <w:trHeight w:val="420"/>
        </w:trPr>
        <w:tc>
          <w:tcPr>
            <w:tcW w:w="548" w:type="dxa"/>
            <w:shd w:val="clear" w:color="000000" w:fill="E6B9B8"/>
            <w:noWrap/>
            <w:vAlign w:val="bottom"/>
            <w:hideMark/>
          </w:tcPr>
          <w:p w14:paraId="3EA6252D" w14:textId="77777777" w:rsidR="0002509F" w:rsidRPr="0002509F" w:rsidRDefault="0002509F" w:rsidP="0002509F">
            <w:pPr>
              <w:rPr>
                <w:rFonts w:ascii="Tahoma" w:hAnsi="Tahoma" w:cs="Tahoma"/>
                <w:color w:val="000000"/>
                <w:sz w:val="16"/>
                <w:szCs w:val="16"/>
              </w:rPr>
            </w:pPr>
            <w:r w:rsidRPr="0002509F">
              <w:rPr>
                <w:rFonts w:ascii="Tahoma" w:hAnsi="Tahoma" w:cs="Tahoma"/>
                <w:color w:val="000000"/>
                <w:sz w:val="16"/>
                <w:szCs w:val="16"/>
              </w:rPr>
              <w:t>AU</w:t>
            </w:r>
          </w:p>
        </w:tc>
        <w:tc>
          <w:tcPr>
            <w:tcW w:w="8539" w:type="dxa"/>
            <w:shd w:val="clear" w:color="000000" w:fill="E6B9B8"/>
            <w:hideMark/>
          </w:tcPr>
          <w:p w14:paraId="06ED05D2" w14:textId="77777777" w:rsidR="0002509F" w:rsidRDefault="0002509F" w:rsidP="0002509F">
            <w:pPr>
              <w:ind w:firstLineChars="400" w:firstLine="640"/>
              <w:rPr>
                <w:rFonts w:ascii="Tahoma" w:hAnsi="Tahoma" w:cs="Tahoma"/>
                <w:sz w:val="16"/>
                <w:szCs w:val="16"/>
              </w:rPr>
            </w:pPr>
            <w:r w:rsidRPr="0002509F">
              <w:rPr>
                <w:rFonts w:ascii="Tahoma" w:hAnsi="Tahoma" w:cs="Tahoma"/>
                <w:sz w:val="16"/>
                <w:szCs w:val="16"/>
              </w:rPr>
              <w:t xml:space="preserve">Disclosure of additional information about recoverability of exploration and evaluation assets </w:t>
            </w:r>
          </w:p>
          <w:p w14:paraId="4E04EDEE" w14:textId="77777777" w:rsidR="0002509F" w:rsidRPr="0002509F" w:rsidRDefault="0002509F" w:rsidP="0002509F">
            <w:pPr>
              <w:ind w:firstLineChars="400" w:firstLine="640"/>
              <w:rPr>
                <w:rFonts w:ascii="Tahoma" w:hAnsi="Tahoma" w:cs="Tahoma"/>
                <w:sz w:val="16"/>
                <w:szCs w:val="16"/>
              </w:rPr>
            </w:pPr>
            <w:r w:rsidRPr="0002509F">
              <w:rPr>
                <w:rFonts w:ascii="Tahoma" w:hAnsi="Tahoma" w:cs="Tahoma"/>
                <w:sz w:val="16"/>
                <w:szCs w:val="16"/>
              </w:rPr>
              <w:t>recognised for any of areas of interest</w:t>
            </w:r>
          </w:p>
        </w:tc>
      </w:tr>
    </w:tbl>
    <w:p w14:paraId="389C2942" w14:textId="77777777" w:rsidR="00036912" w:rsidRDefault="00036912" w:rsidP="00F572E7">
      <w:pPr>
        <w:rPr>
          <w:sz w:val="18"/>
          <w:szCs w:val="18"/>
        </w:rPr>
      </w:pPr>
    </w:p>
    <w:p w14:paraId="0AFAB700" w14:textId="77777777" w:rsidR="00AD485C" w:rsidRPr="00036912" w:rsidRDefault="0002509F" w:rsidP="00F572E7">
      <w:pPr>
        <w:rPr>
          <w:sz w:val="18"/>
          <w:szCs w:val="18"/>
        </w:rPr>
      </w:pPr>
      <w:r w:rsidRPr="00036912">
        <w:rPr>
          <w:sz w:val="18"/>
          <w:szCs w:val="18"/>
        </w:rPr>
        <w:t>Legend:</w:t>
      </w:r>
    </w:p>
    <w:tbl>
      <w:tblPr>
        <w:tblW w:w="7102" w:type="dxa"/>
        <w:tblInd w:w="9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8"/>
        <w:gridCol w:w="6554"/>
      </w:tblGrid>
      <w:tr w:rsidR="0002509F" w:rsidRPr="0002509F" w14:paraId="39EBB2C6" w14:textId="77777777" w:rsidTr="00487124">
        <w:trPr>
          <w:trHeight w:val="199"/>
        </w:trPr>
        <w:tc>
          <w:tcPr>
            <w:tcW w:w="548" w:type="dxa"/>
            <w:shd w:val="clear" w:color="000000" w:fill="D7E4BC"/>
            <w:noWrap/>
            <w:vAlign w:val="bottom"/>
            <w:hideMark/>
          </w:tcPr>
          <w:p w14:paraId="4F4B2E66" w14:textId="77777777" w:rsidR="0002509F" w:rsidRPr="0002509F" w:rsidRDefault="0002509F" w:rsidP="0002509F">
            <w:pPr>
              <w:rPr>
                <w:rFonts w:ascii="Tahoma" w:hAnsi="Tahoma" w:cs="Tahoma"/>
                <w:sz w:val="16"/>
                <w:szCs w:val="16"/>
              </w:rPr>
            </w:pPr>
            <w:r w:rsidRPr="0002509F">
              <w:rPr>
                <w:rFonts w:ascii="Tahoma" w:hAnsi="Tahoma" w:cs="Tahoma"/>
                <w:sz w:val="16"/>
                <w:szCs w:val="16"/>
              </w:rPr>
              <w:t>IFRS</w:t>
            </w:r>
          </w:p>
        </w:tc>
        <w:tc>
          <w:tcPr>
            <w:tcW w:w="6554" w:type="dxa"/>
            <w:shd w:val="clear" w:color="auto" w:fill="auto"/>
          </w:tcPr>
          <w:p w14:paraId="123FF020" w14:textId="77777777" w:rsidR="0002509F" w:rsidRPr="0002509F" w:rsidRDefault="0002509F" w:rsidP="00753C7B">
            <w:pPr>
              <w:rPr>
                <w:rFonts w:ascii="Tahoma" w:hAnsi="Tahoma" w:cs="Tahoma"/>
                <w:sz w:val="16"/>
                <w:szCs w:val="16"/>
              </w:rPr>
            </w:pPr>
            <w:r>
              <w:rPr>
                <w:rFonts w:ascii="Tahoma" w:hAnsi="Tahoma" w:cs="Tahoma"/>
                <w:sz w:val="16"/>
                <w:szCs w:val="16"/>
              </w:rPr>
              <w:t xml:space="preserve">- IFRS concept integrated into </w:t>
            </w:r>
            <w:r w:rsidR="003E1C81">
              <w:rPr>
                <w:rFonts w:ascii="Tahoma" w:hAnsi="Tahoma" w:cs="Tahoma"/>
                <w:sz w:val="16"/>
                <w:szCs w:val="16"/>
              </w:rPr>
              <w:t>the</w:t>
            </w:r>
            <w:r>
              <w:rPr>
                <w:rFonts w:ascii="Tahoma" w:hAnsi="Tahoma" w:cs="Tahoma"/>
                <w:sz w:val="16"/>
                <w:szCs w:val="16"/>
              </w:rPr>
              <w:t xml:space="preserve"> </w:t>
            </w:r>
            <w:r w:rsidR="006B5616">
              <w:rPr>
                <w:rFonts w:ascii="Tahoma" w:hAnsi="Tahoma" w:cs="Tahoma"/>
                <w:sz w:val="16"/>
                <w:szCs w:val="16"/>
              </w:rPr>
              <w:t xml:space="preserve">IFRS AU Taxonomy </w:t>
            </w:r>
          </w:p>
        </w:tc>
      </w:tr>
      <w:tr w:rsidR="0002509F" w:rsidRPr="0002509F" w14:paraId="449D510B" w14:textId="77777777" w:rsidTr="00487124">
        <w:trPr>
          <w:trHeight w:val="131"/>
        </w:trPr>
        <w:tc>
          <w:tcPr>
            <w:tcW w:w="548" w:type="dxa"/>
            <w:shd w:val="clear" w:color="000000" w:fill="E6B9B8"/>
            <w:noWrap/>
            <w:vAlign w:val="bottom"/>
            <w:hideMark/>
          </w:tcPr>
          <w:p w14:paraId="223623C8" w14:textId="77777777" w:rsidR="0002509F" w:rsidRPr="0002509F" w:rsidRDefault="0002509F" w:rsidP="0002509F">
            <w:pPr>
              <w:rPr>
                <w:rFonts w:ascii="Tahoma" w:hAnsi="Tahoma" w:cs="Tahoma"/>
                <w:color w:val="000000"/>
                <w:sz w:val="16"/>
                <w:szCs w:val="16"/>
              </w:rPr>
            </w:pPr>
            <w:r w:rsidRPr="0002509F">
              <w:rPr>
                <w:rFonts w:ascii="Tahoma" w:hAnsi="Tahoma" w:cs="Tahoma"/>
                <w:color w:val="000000"/>
                <w:sz w:val="16"/>
                <w:szCs w:val="16"/>
              </w:rPr>
              <w:t>AU</w:t>
            </w:r>
          </w:p>
        </w:tc>
        <w:tc>
          <w:tcPr>
            <w:tcW w:w="6554" w:type="dxa"/>
            <w:shd w:val="clear" w:color="auto" w:fill="auto"/>
          </w:tcPr>
          <w:p w14:paraId="12077EEF" w14:textId="77777777" w:rsidR="0002509F" w:rsidRPr="0002509F" w:rsidRDefault="0002509F" w:rsidP="00753C7B">
            <w:pPr>
              <w:rPr>
                <w:rFonts w:ascii="Tahoma" w:hAnsi="Tahoma" w:cs="Tahoma"/>
                <w:color w:val="000000"/>
                <w:sz w:val="16"/>
                <w:szCs w:val="16"/>
              </w:rPr>
            </w:pPr>
            <w:r>
              <w:rPr>
                <w:rFonts w:ascii="Tahoma" w:hAnsi="Tahoma" w:cs="Tahoma"/>
                <w:color w:val="000000"/>
                <w:sz w:val="16"/>
                <w:szCs w:val="16"/>
              </w:rPr>
              <w:t xml:space="preserve">- Australian Extension concept integrated into </w:t>
            </w:r>
            <w:r w:rsidR="003E1C81">
              <w:rPr>
                <w:rFonts w:ascii="Tahoma" w:hAnsi="Tahoma" w:cs="Tahoma"/>
                <w:color w:val="000000"/>
                <w:sz w:val="16"/>
                <w:szCs w:val="16"/>
              </w:rPr>
              <w:t xml:space="preserve">the </w:t>
            </w:r>
            <w:r w:rsidR="006B5616">
              <w:rPr>
                <w:rFonts w:ascii="Tahoma" w:hAnsi="Tahoma" w:cs="Tahoma"/>
                <w:color w:val="000000"/>
                <w:sz w:val="16"/>
                <w:szCs w:val="16"/>
              </w:rPr>
              <w:t xml:space="preserve">IFRS AU Taxonomy </w:t>
            </w:r>
          </w:p>
        </w:tc>
      </w:tr>
    </w:tbl>
    <w:p w14:paraId="6A4EA9C5" w14:textId="77777777" w:rsidR="0002509F" w:rsidRDefault="0002509F" w:rsidP="00F572E7">
      <w:pPr>
        <w:rPr>
          <w:rFonts w:ascii="Tahoma" w:hAnsi="Tahoma" w:cs="Tahoma"/>
          <w:sz w:val="16"/>
          <w:szCs w:val="16"/>
        </w:rPr>
      </w:pPr>
    </w:p>
    <w:p w14:paraId="66D3CFDE" w14:textId="77777777" w:rsidR="00F572E7" w:rsidRDefault="00F572E7" w:rsidP="00F572E7">
      <w:pPr>
        <w:pStyle w:val="Head3"/>
      </w:pPr>
      <w:bookmarkStart w:id="168" w:name="_Toc205457958"/>
      <w:r>
        <w:t>Axes Modelling</w:t>
      </w:r>
      <w:bookmarkEnd w:id="168"/>
    </w:p>
    <w:p w14:paraId="66DA67AA" w14:textId="77777777" w:rsidR="001B3E8F" w:rsidRDefault="001B3E8F" w:rsidP="001B3E8F">
      <w:pPr>
        <w:autoSpaceDE w:val="0"/>
        <w:autoSpaceDN w:val="0"/>
        <w:adjustRightInd w:val="0"/>
        <w:rPr>
          <w:sz w:val="20"/>
          <w:szCs w:val="20"/>
        </w:rPr>
      </w:pPr>
      <w:r w:rsidRPr="001B3E8F">
        <w:rPr>
          <w:sz w:val="20"/>
          <w:szCs w:val="20"/>
        </w:rPr>
        <w:t>The second modelling technique used in the IFRS</w:t>
      </w:r>
      <w:r w:rsidR="003E1C81">
        <w:rPr>
          <w:sz w:val="20"/>
          <w:szCs w:val="20"/>
        </w:rPr>
        <w:t xml:space="preserve"> AU</w:t>
      </w:r>
      <w:r w:rsidRPr="001B3E8F">
        <w:rPr>
          <w:sz w:val="20"/>
          <w:szCs w:val="20"/>
        </w:rPr>
        <w:t xml:space="preserve"> Taxonomy is modelling via tables (hypercubes) and axes (explicit dimensions</w:t>
      </w:r>
      <w:r w:rsidR="00EA171C" w:rsidRPr="001B3E8F">
        <w:rPr>
          <w:sz w:val="20"/>
          <w:szCs w:val="20"/>
        </w:rPr>
        <w:t>). Each</w:t>
      </w:r>
      <w:r w:rsidRPr="001B3E8F">
        <w:rPr>
          <w:sz w:val="20"/>
          <w:szCs w:val="20"/>
        </w:rPr>
        <w:t xml:space="preserve"> such axis can be connected to any set of line items (reportable concepts) via a table, thereby creating a dimensional structure.</w:t>
      </w:r>
      <w:r w:rsidR="0003635C">
        <w:rPr>
          <w:sz w:val="20"/>
          <w:szCs w:val="20"/>
        </w:rPr>
        <w:t xml:space="preserve"> Consistent with the approach adopted for IFRS Taxonomy architecture, in modelling the IFRS AU Taxonomy negative hypercubes are not used.</w:t>
      </w:r>
    </w:p>
    <w:p w14:paraId="63C7D3CD" w14:textId="77777777" w:rsidR="004F1E04" w:rsidRDefault="004F1E04" w:rsidP="001B3E8F">
      <w:pPr>
        <w:autoSpaceDE w:val="0"/>
        <w:autoSpaceDN w:val="0"/>
        <w:adjustRightInd w:val="0"/>
        <w:rPr>
          <w:sz w:val="20"/>
          <w:szCs w:val="20"/>
        </w:rPr>
      </w:pPr>
    </w:p>
    <w:p w14:paraId="3E5E3710" w14:textId="77777777" w:rsidR="001B3E8F" w:rsidRDefault="001B3E8F" w:rsidP="00262570">
      <w:pPr>
        <w:autoSpaceDE w:val="0"/>
        <w:autoSpaceDN w:val="0"/>
        <w:adjustRightInd w:val="0"/>
        <w:rPr>
          <w:sz w:val="20"/>
          <w:szCs w:val="20"/>
        </w:rPr>
      </w:pPr>
      <w:r w:rsidRPr="001B3E8F">
        <w:rPr>
          <w:sz w:val="20"/>
          <w:szCs w:val="20"/>
        </w:rPr>
        <w:t>Illustration</w:t>
      </w:r>
      <w:r w:rsidR="002A1033">
        <w:rPr>
          <w:sz w:val="20"/>
          <w:szCs w:val="20"/>
        </w:rPr>
        <w:t>s</w:t>
      </w:r>
      <w:r w:rsidRPr="001B3E8F">
        <w:rPr>
          <w:sz w:val="20"/>
          <w:szCs w:val="20"/>
        </w:rPr>
        <w:t xml:space="preserve"> </w:t>
      </w:r>
      <w:r w:rsidR="00D07281">
        <w:rPr>
          <w:sz w:val="20"/>
          <w:szCs w:val="20"/>
        </w:rPr>
        <w:t>2 and 3</w:t>
      </w:r>
      <w:r w:rsidR="00870897">
        <w:rPr>
          <w:sz w:val="20"/>
          <w:szCs w:val="20"/>
        </w:rPr>
        <w:t xml:space="preserve"> </w:t>
      </w:r>
      <w:r w:rsidRPr="001B3E8F">
        <w:rPr>
          <w:sz w:val="20"/>
          <w:szCs w:val="20"/>
        </w:rPr>
        <w:t xml:space="preserve">provide an example model of the </w:t>
      </w:r>
      <w:r w:rsidR="00870897">
        <w:rPr>
          <w:sz w:val="20"/>
          <w:szCs w:val="20"/>
        </w:rPr>
        <w:t xml:space="preserve">[610000] </w:t>
      </w:r>
      <w:r w:rsidR="00C2529F">
        <w:rPr>
          <w:sz w:val="20"/>
          <w:szCs w:val="20"/>
        </w:rPr>
        <w:t>Statement of C</w:t>
      </w:r>
      <w:r w:rsidRPr="001B3E8F">
        <w:rPr>
          <w:sz w:val="20"/>
          <w:szCs w:val="20"/>
        </w:rPr>
        <w:t xml:space="preserve">hanges in </w:t>
      </w:r>
      <w:r w:rsidR="00C2529F">
        <w:rPr>
          <w:sz w:val="20"/>
          <w:szCs w:val="20"/>
        </w:rPr>
        <w:t>E</w:t>
      </w:r>
      <w:r w:rsidRPr="001B3E8F">
        <w:rPr>
          <w:sz w:val="20"/>
          <w:szCs w:val="20"/>
        </w:rPr>
        <w:t>quity by the means of axes. Line items</w:t>
      </w:r>
      <w:r w:rsidR="00DA031F">
        <w:rPr>
          <w:sz w:val="20"/>
          <w:szCs w:val="20"/>
        </w:rPr>
        <w:t xml:space="preserve"> </w:t>
      </w:r>
      <w:r w:rsidRPr="001B3E8F">
        <w:rPr>
          <w:sz w:val="20"/>
          <w:szCs w:val="20"/>
        </w:rPr>
        <w:t>(reportable concepts) can be reported for various members (domain members) of the axis</w:t>
      </w:r>
      <w:r w:rsidR="002A1033">
        <w:rPr>
          <w:sz w:val="20"/>
          <w:szCs w:val="20"/>
        </w:rPr>
        <w:t>.</w:t>
      </w:r>
      <w:r w:rsidR="00DA031F">
        <w:rPr>
          <w:sz w:val="20"/>
          <w:szCs w:val="20"/>
        </w:rPr>
        <w:t xml:space="preserve"> </w:t>
      </w:r>
    </w:p>
    <w:p w14:paraId="3F7325F9" w14:textId="77777777" w:rsidR="00D07281" w:rsidRDefault="00D07281" w:rsidP="00262570">
      <w:pPr>
        <w:autoSpaceDE w:val="0"/>
        <w:autoSpaceDN w:val="0"/>
        <w:adjustRightInd w:val="0"/>
        <w:rPr>
          <w:sz w:val="20"/>
          <w:szCs w:val="20"/>
        </w:rPr>
      </w:pPr>
    </w:p>
    <w:p w14:paraId="3F848E09" w14:textId="77777777" w:rsidR="001808F0" w:rsidRPr="001808F0" w:rsidRDefault="001808F0" w:rsidP="001808F0">
      <w:pPr>
        <w:rPr>
          <w:b/>
          <w:sz w:val="18"/>
          <w:szCs w:val="18"/>
        </w:rPr>
      </w:pPr>
      <w:r>
        <w:rPr>
          <w:b/>
          <w:sz w:val="18"/>
          <w:szCs w:val="18"/>
        </w:rPr>
        <w:t>Illustration 2</w:t>
      </w:r>
      <w:r>
        <w:rPr>
          <w:b/>
          <w:sz w:val="18"/>
          <w:szCs w:val="18"/>
        </w:rPr>
        <w:tab/>
      </w:r>
      <w:r w:rsidR="00D07281" w:rsidRPr="001808F0">
        <w:rPr>
          <w:b/>
          <w:sz w:val="18"/>
          <w:szCs w:val="18"/>
        </w:rPr>
        <w:t xml:space="preserve"> [610000] Statement of changes in equity – domain members</w:t>
      </w:r>
    </w:p>
    <w:tbl>
      <w:tblPr>
        <w:tblW w:w="9371" w:type="dxa"/>
        <w:tblInd w:w="93" w:type="dxa"/>
        <w:tblLook w:val="04A0" w:firstRow="1" w:lastRow="0" w:firstColumn="1" w:lastColumn="0" w:noHBand="0" w:noVBand="1"/>
      </w:tblPr>
      <w:tblGrid>
        <w:gridCol w:w="9371"/>
      </w:tblGrid>
      <w:tr w:rsidR="00773820" w:rsidRPr="00773820" w14:paraId="369E60E6" w14:textId="77777777" w:rsidTr="00D07281">
        <w:trPr>
          <w:trHeight w:val="426"/>
        </w:trPr>
        <w:tc>
          <w:tcPr>
            <w:tcW w:w="9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9BB2C" w14:textId="77777777" w:rsidR="00773820" w:rsidRPr="00773820" w:rsidRDefault="00773820" w:rsidP="00D07281">
            <w:pPr>
              <w:rPr>
                <w:rFonts w:ascii="Tahoma" w:hAnsi="Tahoma" w:cs="Tahoma"/>
                <w:b/>
                <w:bCs/>
                <w:sz w:val="16"/>
                <w:szCs w:val="16"/>
              </w:rPr>
            </w:pPr>
            <w:r w:rsidRPr="00773820">
              <w:rPr>
                <w:rFonts w:ascii="Tahoma" w:hAnsi="Tahoma" w:cs="Tahoma"/>
                <w:b/>
                <w:bCs/>
                <w:sz w:val="16"/>
                <w:szCs w:val="16"/>
              </w:rPr>
              <w:t>[610000] Statement of changes in equity</w:t>
            </w:r>
            <w:r>
              <w:rPr>
                <w:rFonts w:ascii="Tahoma" w:hAnsi="Tahoma" w:cs="Tahoma"/>
                <w:b/>
                <w:bCs/>
                <w:sz w:val="16"/>
                <w:szCs w:val="16"/>
              </w:rPr>
              <w:t xml:space="preserve"> – domain members</w:t>
            </w:r>
          </w:p>
        </w:tc>
      </w:tr>
      <w:tr w:rsidR="00A845B4" w:rsidRPr="00773820" w14:paraId="705DC36E"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4F83031" w14:textId="77777777" w:rsidR="00184527" w:rsidRDefault="00A845B4">
            <w:pPr>
              <w:rPr>
                <w:rFonts w:ascii="Tahoma" w:hAnsi="Tahoma" w:cs="Tahoma"/>
                <w:sz w:val="16"/>
                <w:szCs w:val="16"/>
              </w:rPr>
            </w:pPr>
            <w:r w:rsidRPr="00A427EF">
              <w:rPr>
                <w:rFonts w:ascii="Tahoma" w:hAnsi="Tahoma" w:cs="Tahoma"/>
                <w:sz w:val="16"/>
                <w:szCs w:val="16"/>
              </w:rPr>
              <w:t>Consolidated and separate financial statements [axis]</w:t>
            </w:r>
          </w:p>
        </w:tc>
      </w:tr>
      <w:tr w:rsidR="00A845B4" w:rsidRPr="00773820" w14:paraId="431CD725"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581F4813" w14:textId="77777777" w:rsidR="00184527" w:rsidRDefault="004B031A">
            <w:pPr>
              <w:rPr>
                <w:rFonts w:ascii="Tahoma" w:hAnsi="Tahoma" w:cs="Tahoma"/>
                <w:sz w:val="16"/>
                <w:szCs w:val="16"/>
              </w:rPr>
            </w:pPr>
            <w:r>
              <w:rPr>
                <w:rFonts w:ascii="Tahoma" w:hAnsi="Tahoma" w:cs="Tahoma"/>
                <w:sz w:val="16"/>
                <w:szCs w:val="16"/>
              </w:rPr>
              <w:t xml:space="preserve">     </w:t>
            </w:r>
            <w:r w:rsidR="00A845B4" w:rsidRPr="00A427EF">
              <w:rPr>
                <w:rFonts w:ascii="Tahoma" w:hAnsi="Tahoma" w:cs="Tahoma"/>
                <w:sz w:val="16"/>
                <w:szCs w:val="16"/>
              </w:rPr>
              <w:t>Consolidated [member]</w:t>
            </w:r>
          </w:p>
        </w:tc>
      </w:tr>
      <w:tr w:rsidR="00A845B4" w:rsidRPr="00773820" w14:paraId="1188B74E"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447682E7" w14:textId="77777777" w:rsidR="00184527" w:rsidRDefault="004B031A">
            <w:pPr>
              <w:rPr>
                <w:rFonts w:ascii="Tahoma" w:hAnsi="Tahoma" w:cs="Tahoma"/>
                <w:sz w:val="16"/>
                <w:szCs w:val="16"/>
              </w:rPr>
            </w:pPr>
            <w:r>
              <w:rPr>
                <w:rFonts w:ascii="Tahoma" w:hAnsi="Tahoma" w:cs="Tahoma"/>
                <w:sz w:val="16"/>
                <w:szCs w:val="16"/>
              </w:rPr>
              <w:t xml:space="preserve">         </w:t>
            </w:r>
            <w:r w:rsidR="00A845B4" w:rsidRPr="00A427EF">
              <w:rPr>
                <w:rFonts w:ascii="Tahoma" w:hAnsi="Tahoma" w:cs="Tahoma"/>
                <w:sz w:val="16"/>
                <w:szCs w:val="16"/>
              </w:rPr>
              <w:t>Separate [member]</w:t>
            </w:r>
          </w:p>
        </w:tc>
      </w:tr>
      <w:tr w:rsidR="00773820" w:rsidRPr="00773820" w14:paraId="4F7CF41A"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44ECE794" w14:textId="77777777"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Components of equity [axis]</w:t>
            </w:r>
          </w:p>
        </w:tc>
      </w:tr>
      <w:tr w:rsidR="00773820" w:rsidRPr="00773820" w14:paraId="2430BD63"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07AD7366"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Equity [member]</w:t>
            </w:r>
          </w:p>
        </w:tc>
      </w:tr>
      <w:tr w:rsidR="00773820" w:rsidRPr="00773820" w14:paraId="78638F9E"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CDE54AE" w14:textId="77777777"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Equity attributable to owners of parent [member]</w:t>
            </w:r>
          </w:p>
        </w:tc>
      </w:tr>
      <w:tr w:rsidR="00773820" w:rsidRPr="00773820" w14:paraId="204D8C6B"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1E899CB5"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Issued capital [member]</w:t>
            </w:r>
          </w:p>
        </w:tc>
      </w:tr>
      <w:tr w:rsidR="00773820" w:rsidRPr="00773820" w14:paraId="4E09CDF4"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5A10B558"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Share premium [member]</w:t>
            </w:r>
          </w:p>
        </w:tc>
      </w:tr>
      <w:tr w:rsidR="00773820" w:rsidRPr="00773820" w14:paraId="493DFBCF"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692EF370"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Treasury shares [member]</w:t>
            </w:r>
          </w:p>
        </w:tc>
      </w:tr>
      <w:tr w:rsidR="00773820" w:rsidRPr="00773820" w14:paraId="06AF8032"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69F21228"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Other equity interest [member]</w:t>
            </w:r>
          </w:p>
        </w:tc>
      </w:tr>
      <w:tr w:rsidR="00773820" w:rsidRPr="00773820" w14:paraId="42828CF3"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15D5B4B7"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Other reserves [member]</w:t>
            </w:r>
          </w:p>
        </w:tc>
      </w:tr>
      <w:tr w:rsidR="00773820" w:rsidRPr="00773820" w14:paraId="5786AC1E"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25661029"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Revaluation surplus [member]</w:t>
            </w:r>
          </w:p>
        </w:tc>
      </w:tr>
      <w:tr w:rsidR="00773820" w:rsidRPr="00773820" w14:paraId="7C7E90FE"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6485CFB7"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exchange differences on translation [member]</w:t>
            </w:r>
          </w:p>
        </w:tc>
      </w:tr>
      <w:tr w:rsidR="00773820" w:rsidRPr="00773820" w14:paraId="31CC0DDB"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1E8D6799"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cash flow hedges [member]</w:t>
            </w:r>
          </w:p>
        </w:tc>
      </w:tr>
      <w:tr w:rsidR="00773820" w:rsidRPr="00773820" w14:paraId="34BC0507"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C3C6A04"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hedges of net investment in foreign operations [member]</w:t>
            </w:r>
          </w:p>
        </w:tc>
      </w:tr>
      <w:tr w:rsidR="00773820" w:rsidRPr="00773820" w14:paraId="713B40AB"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2C19B4D6"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gains and losses on remeasuring available-for-sale financial assets [member]</w:t>
            </w:r>
          </w:p>
        </w:tc>
      </w:tr>
      <w:tr w:rsidR="00773820" w:rsidRPr="00773820" w14:paraId="1795B9B3"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092CD28A"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share-based payments [member]</w:t>
            </w:r>
          </w:p>
        </w:tc>
      </w:tr>
      <w:tr w:rsidR="00773820" w:rsidRPr="00773820" w14:paraId="67CA5BC4"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6601B907" w14:textId="77777777" w:rsidR="00773820" w:rsidRDefault="00773820" w:rsidP="00773820">
            <w:pPr>
              <w:ind w:firstLineChars="900" w:firstLine="1440"/>
              <w:rPr>
                <w:rFonts w:ascii="Tahoma" w:hAnsi="Tahoma" w:cs="Tahoma"/>
                <w:sz w:val="16"/>
                <w:szCs w:val="16"/>
              </w:rPr>
            </w:pPr>
            <w:r w:rsidRPr="00773820">
              <w:rPr>
                <w:rFonts w:ascii="Tahoma" w:hAnsi="Tahoma" w:cs="Tahoma"/>
                <w:sz w:val="16"/>
                <w:szCs w:val="16"/>
              </w:rPr>
              <w:t>Amount recognised in other comprehensive income and accumulated in equity relating to non-current assets</w:t>
            </w:r>
          </w:p>
          <w:p w14:paraId="6B2439CD"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 xml:space="preserve"> or disposal groups held for sale [member]</w:t>
            </w:r>
          </w:p>
        </w:tc>
      </w:tr>
      <w:tr w:rsidR="00773820" w:rsidRPr="00773820" w14:paraId="081386D7"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592F566D"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gains and losses from investments in equity instruments [member]</w:t>
            </w:r>
          </w:p>
        </w:tc>
      </w:tr>
      <w:tr w:rsidR="00773820" w:rsidRPr="00773820" w14:paraId="62AF62BF"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028A784"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change in fair value of financial liability attributable to change in credit risk of liability [member]</w:t>
            </w:r>
          </w:p>
        </w:tc>
      </w:tr>
      <w:tr w:rsidR="00773820" w:rsidRPr="00773820" w14:paraId="3635E93A"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D6C1386"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for catastrophe [member]</w:t>
            </w:r>
          </w:p>
        </w:tc>
      </w:tr>
      <w:tr w:rsidR="00773820" w:rsidRPr="00773820" w14:paraId="5653EC49"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4D411F20"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for equalisation [member]</w:t>
            </w:r>
          </w:p>
        </w:tc>
      </w:tr>
      <w:tr w:rsidR="00773820" w:rsidRPr="00773820" w14:paraId="4C2605BB"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6C9C884E"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Reserve of discretionary participation features [member]</w:t>
            </w:r>
          </w:p>
        </w:tc>
      </w:tr>
      <w:tr w:rsidR="00773820" w:rsidRPr="00773820" w14:paraId="21C7E0AC"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69B6B843"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Retained earnings [member]</w:t>
            </w:r>
          </w:p>
        </w:tc>
      </w:tr>
      <w:tr w:rsidR="00773820" w:rsidRPr="00773820" w14:paraId="65DAB3BE"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0C02E368" w14:textId="77777777"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Non-controlling interests [member]</w:t>
            </w:r>
          </w:p>
        </w:tc>
      </w:tr>
      <w:tr w:rsidR="00773820" w:rsidRPr="00773820" w14:paraId="19D526F5"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122E6B40" w14:textId="77777777"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Retrospective application and retrospective restatement [axis]</w:t>
            </w:r>
          </w:p>
        </w:tc>
      </w:tr>
      <w:tr w:rsidR="00773820" w:rsidRPr="00773820" w14:paraId="519953F5"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21443B08"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Currently stated [member]</w:t>
            </w:r>
          </w:p>
        </w:tc>
      </w:tr>
      <w:tr w:rsidR="00773820" w:rsidRPr="00773820" w14:paraId="0A2614E6"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0236C4BC" w14:textId="77777777"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Previously stated [member]</w:t>
            </w:r>
          </w:p>
        </w:tc>
      </w:tr>
      <w:tr w:rsidR="00773820" w:rsidRPr="00773820" w14:paraId="7F2D8CAF"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1FC82A9" w14:textId="77777777"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Increase (decrease) due to changes in accounting policy and corrections of prior period errors [member]</w:t>
            </w:r>
          </w:p>
        </w:tc>
      </w:tr>
      <w:tr w:rsidR="00773820" w:rsidRPr="00773820" w14:paraId="3B35B713"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117B1DDF"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Increase (decrease) due to changes in accounting policy [member]</w:t>
            </w:r>
          </w:p>
        </w:tc>
      </w:tr>
      <w:tr w:rsidR="00773820" w:rsidRPr="00773820" w14:paraId="70156046"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16BD1D2F"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Increase (decrease) due to changes in accounting policy required by IFRSs [member]</w:t>
            </w:r>
          </w:p>
        </w:tc>
      </w:tr>
      <w:tr w:rsidR="00773820" w:rsidRPr="00773820" w14:paraId="56545380"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F1B5337" w14:textId="77777777" w:rsidR="00773820" w:rsidRPr="00773820" w:rsidRDefault="00773820" w:rsidP="00773820">
            <w:pPr>
              <w:ind w:firstLineChars="900" w:firstLine="1440"/>
              <w:rPr>
                <w:rFonts w:ascii="Tahoma" w:hAnsi="Tahoma" w:cs="Tahoma"/>
                <w:sz w:val="16"/>
                <w:szCs w:val="16"/>
              </w:rPr>
            </w:pPr>
            <w:r w:rsidRPr="00773820">
              <w:rPr>
                <w:rFonts w:ascii="Tahoma" w:hAnsi="Tahoma" w:cs="Tahoma"/>
                <w:sz w:val="16"/>
                <w:szCs w:val="16"/>
              </w:rPr>
              <w:t>Increase (decrease) due to voluntary changes in accounting policy [member]</w:t>
            </w:r>
          </w:p>
        </w:tc>
      </w:tr>
      <w:tr w:rsidR="00773820" w:rsidRPr="00773820" w14:paraId="2CF5F374" w14:textId="77777777" w:rsidTr="00D07281">
        <w:trPr>
          <w:trHeight w:val="340"/>
        </w:trPr>
        <w:tc>
          <w:tcPr>
            <w:tcW w:w="9371" w:type="dxa"/>
            <w:tcBorders>
              <w:top w:val="single" w:sz="4" w:space="0" w:color="auto"/>
              <w:left w:val="single" w:sz="4" w:space="0" w:color="auto"/>
              <w:bottom w:val="single" w:sz="4" w:space="0" w:color="auto"/>
              <w:right w:val="single" w:sz="4" w:space="0" w:color="auto"/>
            </w:tcBorders>
            <w:shd w:val="clear" w:color="000000" w:fill="auto"/>
            <w:hideMark/>
          </w:tcPr>
          <w:p w14:paraId="7C142C57" w14:textId="77777777" w:rsidR="00773820" w:rsidRPr="00773820" w:rsidRDefault="00773820" w:rsidP="00773820">
            <w:pPr>
              <w:ind w:firstLineChars="800" w:firstLine="1280"/>
              <w:rPr>
                <w:rFonts w:ascii="Tahoma" w:hAnsi="Tahoma" w:cs="Tahoma"/>
                <w:sz w:val="16"/>
                <w:szCs w:val="16"/>
              </w:rPr>
            </w:pPr>
            <w:r w:rsidRPr="00773820">
              <w:rPr>
                <w:rFonts w:ascii="Tahoma" w:hAnsi="Tahoma" w:cs="Tahoma"/>
                <w:sz w:val="16"/>
                <w:szCs w:val="16"/>
              </w:rPr>
              <w:t>Increase (decrease) due to corrections of prior period errors [member]</w:t>
            </w:r>
          </w:p>
        </w:tc>
      </w:tr>
    </w:tbl>
    <w:p w14:paraId="728967B4" w14:textId="77777777" w:rsidR="00870897" w:rsidRDefault="00870897" w:rsidP="00262570">
      <w:pPr>
        <w:autoSpaceDE w:val="0"/>
        <w:autoSpaceDN w:val="0"/>
        <w:adjustRightInd w:val="0"/>
        <w:rPr>
          <w:sz w:val="20"/>
          <w:szCs w:val="20"/>
        </w:rPr>
      </w:pPr>
    </w:p>
    <w:p w14:paraId="1DA622E6" w14:textId="77777777" w:rsidR="00D07281" w:rsidRPr="00D07281" w:rsidRDefault="00D07281" w:rsidP="00D07281"/>
    <w:p w14:paraId="09959871" w14:textId="77777777" w:rsidR="001808F0" w:rsidRPr="001808F0" w:rsidRDefault="00F367F6" w:rsidP="001808F0">
      <w:pPr>
        <w:rPr>
          <w:b/>
          <w:sz w:val="18"/>
          <w:szCs w:val="18"/>
        </w:rPr>
      </w:pPr>
      <w:r>
        <w:rPr>
          <w:b/>
          <w:sz w:val="18"/>
          <w:szCs w:val="18"/>
        </w:rPr>
        <w:t>Illustration 3</w:t>
      </w:r>
      <w:r>
        <w:rPr>
          <w:b/>
          <w:sz w:val="18"/>
          <w:szCs w:val="18"/>
        </w:rPr>
        <w:tab/>
      </w:r>
      <w:r w:rsidR="00D07281" w:rsidRPr="001808F0">
        <w:rPr>
          <w:b/>
          <w:sz w:val="18"/>
          <w:szCs w:val="18"/>
        </w:rPr>
        <w:t>[610000] Statement of changes in equity – reportable concepts</w:t>
      </w:r>
    </w:p>
    <w:tbl>
      <w:tblPr>
        <w:tblStyle w:val="TableGrid"/>
        <w:tblW w:w="9356" w:type="dxa"/>
        <w:tblInd w:w="108" w:type="dxa"/>
        <w:tblLook w:val="04A0" w:firstRow="1" w:lastRow="0" w:firstColumn="1" w:lastColumn="0" w:noHBand="0" w:noVBand="1"/>
      </w:tblPr>
      <w:tblGrid>
        <w:gridCol w:w="9356"/>
      </w:tblGrid>
      <w:tr w:rsidR="00773820" w:rsidRPr="00773820" w14:paraId="39A609D6" w14:textId="77777777" w:rsidTr="00D07281">
        <w:trPr>
          <w:trHeight w:val="444"/>
        </w:trPr>
        <w:tc>
          <w:tcPr>
            <w:tcW w:w="9356" w:type="dxa"/>
            <w:noWrap/>
            <w:vAlign w:val="center"/>
            <w:hideMark/>
          </w:tcPr>
          <w:p w14:paraId="4B05D415" w14:textId="77777777" w:rsidR="00773820" w:rsidRPr="00773820" w:rsidRDefault="00773820" w:rsidP="00D07281">
            <w:pPr>
              <w:rPr>
                <w:rFonts w:ascii="Tahoma" w:hAnsi="Tahoma" w:cs="Tahoma"/>
                <w:b/>
                <w:bCs/>
                <w:sz w:val="16"/>
                <w:szCs w:val="16"/>
              </w:rPr>
            </w:pPr>
            <w:r w:rsidRPr="00773820">
              <w:rPr>
                <w:rFonts w:ascii="Tahoma" w:hAnsi="Tahoma" w:cs="Tahoma"/>
                <w:b/>
                <w:bCs/>
                <w:sz w:val="16"/>
                <w:szCs w:val="16"/>
              </w:rPr>
              <w:t>[610000] Statement of changes in equity</w:t>
            </w:r>
            <w:r>
              <w:rPr>
                <w:rFonts w:ascii="Tahoma" w:hAnsi="Tahoma" w:cs="Tahoma"/>
                <w:b/>
                <w:bCs/>
                <w:sz w:val="16"/>
                <w:szCs w:val="16"/>
              </w:rPr>
              <w:t>- reportable concepts</w:t>
            </w:r>
          </w:p>
        </w:tc>
      </w:tr>
      <w:tr w:rsidR="00773820" w:rsidRPr="00773820" w14:paraId="35A606CD" w14:textId="77777777" w:rsidTr="00D07281">
        <w:trPr>
          <w:trHeight w:val="340"/>
        </w:trPr>
        <w:tc>
          <w:tcPr>
            <w:tcW w:w="9356" w:type="dxa"/>
            <w:hideMark/>
          </w:tcPr>
          <w:p w14:paraId="31D43946" w14:textId="77777777" w:rsidR="00773820" w:rsidRPr="00773820" w:rsidRDefault="00773820" w:rsidP="00773820">
            <w:pPr>
              <w:ind w:firstLineChars="400" w:firstLine="640"/>
              <w:rPr>
                <w:rFonts w:ascii="Tahoma" w:hAnsi="Tahoma" w:cs="Tahoma"/>
                <w:sz w:val="16"/>
                <w:szCs w:val="16"/>
              </w:rPr>
            </w:pPr>
            <w:r w:rsidRPr="00773820">
              <w:rPr>
                <w:rFonts w:ascii="Tahoma" w:hAnsi="Tahoma" w:cs="Tahoma"/>
                <w:sz w:val="16"/>
                <w:szCs w:val="16"/>
              </w:rPr>
              <w:t>Statement of changes in equity [line items]</w:t>
            </w:r>
          </w:p>
        </w:tc>
      </w:tr>
      <w:tr w:rsidR="00773820" w:rsidRPr="00773820" w14:paraId="1AA9EE09" w14:textId="77777777" w:rsidTr="00D07281">
        <w:trPr>
          <w:trHeight w:val="340"/>
        </w:trPr>
        <w:tc>
          <w:tcPr>
            <w:tcW w:w="9356" w:type="dxa"/>
            <w:hideMark/>
          </w:tcPr>
          <w:p w14:paraId="3D5FAE2E" w14:textId="77777777"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Equity at beginning of period</w:t>
            </w:r>
          </w:p>
        </w:tc>
      </w:tr>
      <w:tr w:rsidR="00773820" w:rsidRPr="00773820" w14:paraId="7B16AC17" w14:textId="77777777" w:rsidTr="00D07281">
        <w:trPr>
          <w:trHeight w:val="340"/>
        </w:trPr>
        <w:tc>
          <w:tcPr>
            <w:tcW w:w="9356" w:type="dxa"/>
            <w:hideMark/>
          </w:tcPr>
          <w:p w14:paraId="041D8226" w14:textId="77777777"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Changes in equity [abstract]</w:t>
            </w:r>
          </w:p>
        </w:tc>
      </w:tr>
      <w:tr w:rsidR="00773820" w:rsidRPr="00773820" w14:paraId="15F07FC9" w14:textId="77777777" w:rsidTr="00D07281">
        <w:trPr>
          <w:trHeight w:val="340"/>
        </w:trPr>
        <w:tc>
          <w:tcPr>
            <w:tcW w:w="9356" w:type="dxa"/>
            <w:hideMark/>
          </w:tcPr>
          <w:p w14:paraId="2FD4E8B7"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Comprehensive income [abstract]</w:t>
            </w:r>
          </w:p>
        </w:tc>
      </w:tr>
      <w:tr w:rsidR="00773820" w:rsidRPr="00773820" w14:paraId="60989677" w14:textId="77777777" w:rsidTr="00D07281">
        <w:trPr>
          <w:trHeight w:val="340"/>
        </w:trPr>
        <w:tc>
          <w:tcPr>
            <w:tcW w:w="9356" w:type="dxa"/>
            <w:hideMark/>
          </w:tcPr>
          <w:p w14:paraId="46630A8D" w14:textId="77777777"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Profit (loss)</w:t>
            </w:r>
          </w:p>
        </w:tc>
      </w:tr>
      <w:tr w:rsidR="00773820" w:rsidRPr="00773820" w14:paraId="7058480E" w14:textId="77777777" w:rsidTr="00D07281">
        <w:trPr>
          <w:trHeight w:val="340"/>
        </w:trPr>
        <w:tc>
          <w:tcPr>
            <w:tcW w:w="9356" w:type="dxa"/>
            <w:hideMark/>
          </w:tcPr>
          <w:p w14:paraId="58D14BDD" w14:textId="77777777"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Other comprehensive income</w:t>
            </w:r>
          </w:p>
        </w:tc>
      </w:tr>
      <w:tr w:rsidR="00773820" w:rsidRPr="00773820" w14:paraId="46D3F04A" w14:textId="77777777" w:rsidTr="00D07281">
        <w:trPr>
          <w:trHeight w:val="340"/>
        </w:trPr>
        <w:tc>
          <w:tcPr>
            <w:tcW w:w="9356" w:type="dxa"/>
            <w:hideMark/>
          </w:tcPr>
          <w:p w14:paraId="05D13B13" w14:textId="77777777" w:rsidR="00773820" w:rsidRPr="00773820" w:rsidRDefault="00773820" w:rsidP="00773820">
            <w:pPr>
              <w:ind w:firstLineChars="700" w:firstLine="1120"/>
              <w:rPr>
                <w:rFonts w:ascii="Tahoma" w:hAnsi="Tahoma" w:cs="Tahoma"/>
                <w:sz w:val="16"/>
                <w:szCs w:val="16"/>
              </w:rPr>
            </w:pPr>
            <w:r w:rsidRPr="00773820">
              <w:rPr>
                <w:rFonts w:ascii="Tahoma" w:hAnsi="Tahoma" w:cs="Tahoma"/>
                <w:sz w:val="16"/>
                <w:szCs w:val="16"/>
              </w:rPr>
              <w:t>Total comprehensive income</w:t>
            </w:r>
          </w:p>
        </w:tc>
      </w:tr>
      <w:tr w:rsidR="00773820" w:rsidRPr="00773820" w14:paraId="24855138" w14:textId="77777777" w:rsidTr="00D07281">
        <w:trPr>
          <w:trHeight w:val="340"/>
        </w:trPr>
        <w:tc>
          <w:tcPr>
            <w:tcW w:w="9356" w:type="dxa"/>
            <w:hideMark/>
          </w:tcPr>
          <w:p w14:paraId="4BB61D0D"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Issue of equity</w:t>
            </w:r>
          </w:p>
        </w:tc>
      </w:tr>
      <w:tr w:rsidR="00773820" w:rsidRPr="00773820" w14:paraId="1D2C0D48" w14:textId="77777777" w:rsidTr="00D07281">
        <w:trPr>
          <w:trHeight w:val="340"/>
        </w:trPr>
        <w:tc>
          <w:tcPr>
            <w:tcW w:w="9356" w:type="dxa"/>
            <w:hideMark/>
          </w:tcPr>
          <w:p w14:paraId="29898E7D"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Dividends recognised as distributions to owners</w:t>
            </w:r>
          </w:p>
        </w:tc>
      </w:tr>
      <w:tr w:rsidR="00773820" w:rsidRPr="00773820" w14:paraId="102B4DDD" w14:textId="77777777" w:rsidTr="00D07281">
        <w:trPr>
          <w:trHeight w:val="340"/>
        </w:trPr>
        <w:tc>
          <w:tcPr>
            <w:tcW w:w="9356" w:type="dxa"/>
            <w:hideMark/>
          </w:tcPr>
          <w:p w14:paraId="3E063BA7"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Increase through other contributions by owners</w:t>
            </w:r>
          </w:p>
        </w:tc>
      </w:tr>
      <w:tr w:rsidR="00773820" w:rsidRPr="00773820" w14:paraId="6379DA59" w14:textId="77777777" w:rsidTr="00D07281">
        <w:trPr>
          <w:trHeight w:val="340"/>
        </w:trPr>
        <w:tc>
          <w:tcPr>
            <w:tcW w:w="9356" w:type="dxa"/>
            <w:hideMark/>
          </w:tcPr>
          <w:p w14:paraId="6856C2BE"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Decrease through other distributions to owners</w:t>
            </w:r>
          </w:p>
        </w:tc>
      </w:tr>
      <w:tr w:rsidR="00773820" w:rsidRPr="00773820" w14:paraId="101B03B7" w14:textId="77777777" w:rsidTr="00D07281">
        <w:trPr>
          <w:trHeight w:val="340"/>
        </w:trPr>
        <w:tc>
          <w:tcPr>
            <w:tcW w:w="9356" w:type="dxa"/>
            <w:hideMark/>
          </w:tcPr>
          <w:p w14:paraId="54BA74AD"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Increase (decrease) through transfers and other changes, equity</w:t>
            </w:r>
          </w:p>
        </w:tc>
      </w:tr>
      <w:tr w:rsidR="00773820" w:rsidRPr="00773820" w14:paraId="4368E88B" w14:textId="77777777" w:rsidTr="00D07281">
        <w:trPr>
          <w:trHeight w:val="340"/>
        </w:trPr>
        <w:tc>
          <w:tcPr>
            <w:tcW w:w="9356" w:type="dxa"/>
            <w:hideMark/>
          </w:tcPr>
          <w:p w14:paraId="776A4869"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Increase (decrease) through treasury share transactions</w:t>
            </w:r>
          </w:p>
        </w:tc>
      </w:tr>
      <w:tr w:rsidR="00773820" w:rsidRPr="00773820" w14:paraId="6E96957F" w14:textId="77777777" w:rsidTr="00D07281">
        <w:trPr>
          <w:trHeight w:val="340"/>
        </w:trPr>
        <w:tc>
          <w:tcPr>
            <w:tcW w:w="9356" w:type="dxa"/>
            <w:hideMark/>
          </w:tcPr>
          <w:p w14:paraId="2AADF4D7"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Increase (decrease) through changes in ownership interests in subsidiaries that do not result in loss of control</w:t>
            </w:r>
          </w:p>
        </w:tc>
      </w:tr>
      <w:tr w:rsidR="00773820" w:rsidRPr="00773820" w14:paraId="62F1F74C" w14:textId="77777777" w:rsidTr="00D07281">
        <w:trPr>
          <w:trHeight w:val="340"/>
        </w:trPr>
        <w:tc>
          <w:tcPr>
            <w:tcW w:w="9356" w:type="dxa"/>
            <w:hideMark/>
          </w:tcPr>
          <w:p w14:paraId="21F22E96"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Increase (decrease) through share-based payment transactions</w:t>
            </w:r>
          </w:p>
        </w:tc>
      </w:tr>
      <w:tr w:rsidR="00773820" w:rsidRPr="00773820" w14:paraId="2C0D5A63" w14:textId="77777777" w:rsidTr="00D07281">
        <w:trPr>
          <w:trHeight w:val="340"/>
        </w:trPr>
        <w:tc>
          <w:tcPr>
            <w:tcW w:w="9356" w:type="dxa"/>
            <w:hideMark/>
          </w:tcPr>
          <w:p w14:paraId="77A91165" w14:textId="77777777" w:rsidR="00773820" w:rsidRPr="00773820" w:rsidRDefault="00773820" w:rsidP="00773820">
            <w:pPr>
              <w:ind w:firstLineChars="600" w:firstLine="960"/>
              <w:rPr>
                <w:rFonts w:ascii="Tahoma" w:hAnsi="Tahoma" w:cs="Tahoma"/>
                <w:sz w:val="16"/>
                <w:szCs w:val="16"/>
              </w:rPr>
            </w:pPr>
            <w:r w:rsidRPr="00773820">
              <w:rPr>
                <w:rFonts w:ascii="Tahoma" w:hAnsi="Tahoma" w:cs="Tahoma"/>
                <w:sz w:val="16"/>
                <w:szCs w:val="16"/>
              </w:rPr>
              <w:t>Total increase (decrease) in equity</w:t>
            </w:r>
          </w:p>
        </w:tc>
      </w:tr>
      <w:tr w:rsidR="00773820" w:rsidRPr="00773820" w14:paraId="23A4213D" w14:textId="77777777" w:rsidTr="00D07281">
        <w:trPr>
          <w:trHeight w:val="340"/>
        </w:trPr>
        <w:tc>
          <w:tcPr>
            <w:tcW w:w="9356" w:type="dxa"/>
            <w:hideMark/>
          </w:tcPr>
          <w:p w14:paraId="175143D6" w14:textId="77777777" w:rsidR="00773820" w:rsidRPr="00773820" w:rsidRDefault="00773820" w:rsidP="00773820">
            <w:pPr>
              <w:ind w:firstLineChars="500" w:firstLine="800"/>
              <w:rPr>
                <w:rFonts w:ascii="Tahoma" w:hAnsi="Tahoma" w:cs="Tahoma"/>
                <w:sz w:val="16"/>
                <w:szCs w:val="16"/>
              </w:rPr>
            </w:pPr>
            <w:r w:rsidRPr="00773820">
              <w:rPr>
                <w:rFonts w:ascii="Tahoma" w:hAnsi="Tahoma" w:cs="Tahoma"/>
                <w:sz w:val="16"/>
                <w:szCs w:val="16"/>
              </w:rPr>
              <w:t>Equity at end of period</w:t>
            </w:r>
          </w:p>
        </w:tc>
      </w:tr>
    </w:tbl>
    <w:p w14:paraId="6A9BF959" w14:textId="77777777" w:rsidR="00D07281" w:rsidRPr="005A1A89" w:rsidRDefault="00D07281" w:rsidP="002A1033">
      <w:pPr>
        <w:rPr>
          <w:i/>
          <w:sz w:val="20"/>
          <w:szCs w:val="20"/>
        </w:rPr>
      </w:pPr>
    </w:p>
    <w:p w14:paraId="7CB9C383" w14:textId="77777777" w:rsidR="002A1033" w:rsidRDefault="002A1033" w:rsidP="002A1033">
      <w:pPr>
        <w:rPr>
          <w:sz w:val="20"/>
          <w:szCs w:val="20"/>
        </w:rPr>
      </w:pPr>
      <w:r w:rsidRPr="005A1A89">
        <w:rPr>
          <w:i/>
          <w:sz w:val="20"/>
          <w:szCs w:val="20"/>
        </w:rPr>
        <w:t>Any reportable concept (line item) can be linked to any domain member via the table Statement of changes in</w:t>
      </w:r>
      <w:r w:rsidRPr="00B150A0">
        <w:rPr>
          <w:i/>
          <w:sz w:val="20"/>
          <w:szCs w:val="20"/>
        </w:rPr>
        <w:t xml:space="preserve"> equity [table]</w:t>
      </w:r>
      <w:r w:rsidRPr="00B150A0">
        <w:rPr>
          <w:sz w:val="20"/>
          <w:szCs w:val="20"/>
        </w:rPr>
        <w:t xml:space="preserve">. A simplified example is provided below linking all reportable segments to </w:t>
      </w:r>
      <w:r w:rsidR="00573A45">
        <w:rPr>
          <w:sz w:val="20"/>
          <w:szCs w:val="20"/>
        </w:rPr>
        <w:t xml:space="preserve">selected </w:t>
      </w:r>
      <w:r w:rsidRPr="00B150A0">
        <w:rPr>
          <w:sz w:val="20"/>
          <w:szCs w:val="20"/>
        </w:rPr>
        <w:t>domain members within Equity attributable to owners of parent [member]</w:t>
      </w:r>
      <w:r w:rsidR="00B150A0">
        <w:rPr>
          <w:sz w:val="20"/>
          <w:szCs w:val="20"/>
        </w:rPr>
        <w:t>.</w:t>
      </w:r>
    </w:p>
    <w:p w14:paraId="7D8E8647" w14:textId="77777777" w:rsidR="00F367F6" w:rsidRDefault="00F367F6" w:rsidP="00F367F6"/>
    <w:p w14:paraId="5FC23E36" w14:textId="77777777" w:rsidR="001808F0" w:rsidRPr="00F367F6" w:rsidRDefault="00F367F6" w:rsidP="00F367F6">
      <w:pPr>
        <w:rPr>
          <w:b/>
          <w:sz w:val="18"/>
          <w:szCs w:val="18"/>
        </w:rPr>
      </w:pPr>
      <w:r>
        <w:rPr>
          <w:b/>
          <w:sz w:val="18"/>
          <w:szCs w:val="18"/>
        </w:rPr>
        <w:t>Illustration 4</w:t>
      </w:r>
      <w:r>
        <w:rPr>
          <w:b/>
          <w:sz w:val="18"/>
          <w:szCs w:val="18"/>
        </w:rPr>
        <w:tab/>
      </w:r>
      <w:r w:rsidR="00D07281" w:rsidRPr="00F367F6">
        <w:rPr>
          <w:b/>
          <w:sz w:val="18"/>
          <w:szCs w:val="18"/>
        </w:rPr>
        <w:t>Statement of changes in equity [table]</w:t>
      </w:r>
    </w:p>
    <w:tbl>
      <w:tblPr>
        <w:tblW w:w="9540" w:type="dxa"/>
        <w:tblInd w:w="93" w:type="dxa"/>
        <w:tblLook w:val="04A0" w:firstRow="1" w:lastRow="0" w:firstColumn="1" w:lastColumn="0" w:noHBand="0" w:noVBand="1"/>
      </w:tblPr>
      <w:tblGrid>
        <w:gridCol w:w="421"/>
        <w:gridCol w:w="421"/>
        <w:gridCol w:w="322"/>
        <w:gridCol w:w="337"/>
        <w:gridCol w:w="367"/>
        <w:gridCol w:w="367"/>
        <w:gridCol w:w="2600"/>
        <w:gridCol w:w="992"/>
        <w:gridCol w:w="1134"/>
        <w:gridCol w:w="1028"/>
        <w:gridCol w:w="922"/>
        <w:gridCol w:w="363"/>
        <w:gridCol w:w="266"/>
      </w:tblGrid>
      <w:tr w:rsidR="00573A45" w:rsidRPr="00573A45" w14:paraId="51C50FBE" w14:textId="77777777" w:rsidTr="001B4361">
        <w:trPr>
          <w:trHeight w:val="205"/>
        </w:trPr>
        <w:tc>
          <w:tcPr>
            <w:tcW w:w="4835" w:type="dxa"/>
            <w:gridSpan w:val="7"/>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39D99787"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4439" w:type="dxa"/>
            <w:gridSpan w:val="5"/>
            <w:tcBorders>
              <w:top w:val="single" w:sz="8" w:space="0" w:color="808080"/>
              <w:left w:val="nil"/>
              <w:bottom w:val="single" w:sz="8" w:space="0" w:color="808080"/>
              <w:right w:val="nil"/>
            </w:tcBorders>
            <w:shd w:val="clear" w:color="auto" w:fill="auto"/>
            <w:hideMark/>
          </w:tcPr>
          <w:p w14:paraId="6B96DDD2"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Equity [member]</w:t>
            </w:r>
          </w:p>
        </w:tc>
        <w:tc>
          <w:tcPr>
            <w:tcW w:w="266" w:type="dxa"/>
            <w:vMerge w:val="restart"/>
            <w:tcBorders>
              <w:top w:val="single" w:sz="8" w:space="0" w:color="808080"/>
              <w:left w:val="nil"/>
              <w:bottom w:val="single" w:sz="8" w:space="0" w:color="000000"/>
              <w:right w:val="single" w:sz="8" w:space="0" w:color="808080"/>
            </w:tcBorders>
            <w:shd w:val="clear" w:color="auto" w:fill="auto"/>
            <w:hideMark/>
          </w:tcPr>
          <w:p w14:paraId="15C8C1F2" w14:textId="77777777" w:rsidR="00573A45" w:rsidRPr="00573A45" w:rsidRDefault="00573A45" w:rsidP="00573A45">
            <w:pPr>
              <w:jc w:val="center"/>
              <w:rPr>
                <w:rFonts w:ascii="Calibri" w:hAnsi="Calibri"/>
                <w:color w:val="000000"/>
                <w:szCs w:val="22"/>
              </w:rPr>
            </w:pPr>
            <w:r w:rsidRPr="00573A45">
              <w:rPr>
                <w:rFonts w:ascii="Calibri" w:hAnsi="Calibri"/>
                <w:color w:val="000000"/>
                <w:szCs w:val="22"/>
              </w:rPr>
              <w:t> </w:t>
            </w:r>
          </w:p>
        </w:tc>
      </w:tr>
      <w:tr w:rsidR="00573A45" w:rsidRPr="00573A45" w14:paraId="0302D121" w14:textId="77777777" w:rsidTr="001B4361">
        <w:trPr>
          <w:trHeight w:val="122"/>
        </w:trPr>
        <w:tc>
          <w:tcPr>
            <w:tcW w:w="4835" w:type="dxa"/>
            <w:gridSpan w:val="7"/>
            <w:vMerge/>
            <w:tcBorders>
              <w:top w:val="single" w:sz="8" w:space="0" w:color="000000"/>
              <w:left w:val="single" w:sz="8" w:space="0" w:color="000000"/>
              <w:bottom w:val="single" w:sz="8" w:space="0" w:color="000000"/>
              <w:right w:val="single" w:sz="8" w:space="0" w:color="000000"/>
            </w:tcBorders>
            <w:vAlign w:val="center"/>
            <w:hideMark/>
          </w:tcPr>
          <w:p w14:paraId="0FF9DA05" w14:textId="77777777" w:rsidR="00573A45" w:rsidRPr="00573A45" w:rsidRDefault="00573A45" w:rsidP="00573A45">
            <w:pPr>
              <w:rPr>
                <w:rFonts w:ascii="Tahoma" w:hAnsi="Tahoma" w:cs="Tahoma"/>
                <w:color w:val="000000"/>
                <w:sz w:val="16"/>
                <w:szCs w:val="16"/>
              </w:rPr>
            </w:pPr>
          </w:p>
        </w:tc>
        <w:tc>
          <w:tcPr>
            <w:tcW w:w="4076" w:type="dxa"/>
            <w:gridSpan w:val="4"/>
            <w:tcBorders>
              <w:top w:val="single" w:sz="8" w:space="0" w:color="808080"/>
              <w:left w:val="nil"/>
              <w:bottom w:val="single" w:sz="8" w:space="0" w:color="808080"/>
              <w:right w:val="nil"/>
            </w:tcBorders>
            <w:shd w:val="clear" w:color="auto" w:fill="auto"/>
            <w:hideMark/>
          </w:tcPr>
          <w:p w14:paraId="7F2DBE2A"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Equity attributable to owners of parent [member]</w:t>
            </w:r>
          </w:p>
        </w:tc>
        <w:tc>
          <w:tcPr>
            <w:tcW w:w="363" w:type="dxa"/>
            <w:vMerge w:val="restart"/>
            <w:tcBorders>
              <w:top w:val="nil"/>
              <w:left w:val="nil"/>
              <w:bottom w:val="single" w:sz="8" w:space="0" w:color="000000"/>
              <w:right w:val="single" w:sz="8" w:space="0" w:color="808080"/>
            </w:tcBorders>
            <w:shd w:val="clear" w:color="auto" w:fill="auto"/>
            <w:hideMark/>
          </w:tcPr>
          <w:p w14:paraId="18E554FC"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 </w:t>
            </w:r>
          </w:p>
        </w:tc>
        <w:tc>
          <w:tcPr>
            <w:tcW w:w="266" w:type="dxa"/>
            <w:vMerge/>
            <w:tcBorders>
              <w:top w:val="single" w:sz="8" w:space="0" w:color="808080"/>
              <w:left w:val="nil"/>
              <w:bottom w:val="single" w:sz="8" w:space="0" w:color="000000"/>
              <w:right w:val="single" w:sz="8" w:space="0" w:color="808080"/>
            </w:tcBorders>
            <w:vAlign w:val="center"/>
            <w:hideMark/>
          </w:tcPr>
          <w:p w14:paraId="30FA079D" w14:textId="77777777" w:rsidR="00573A45" w:rsidRPr="00573A45" w:rsidRDefault="00573A45" w:rsidP="00573A45">
            <w:pPr>
              <w:rPr>
                <w:rFonts w:ascii="Calibri" w:hAnsi="Calibri"/>
                <w:color w:val="000000"/>
                <w:szCs w:val="22"/>
              </w:rPr>
            </w:pPr>
          </w:p>
        </w:tc>
      </w:tr>
      <w:tr w:rsidR="00573A45" w:rsidRPr="00573A45" w14:paraId="42B04B95" w14:textId="77777777" w:rsidTr="001B4361">
        <w:trPr>
          <w:trHeight w:val="196"/>
        </w:trPr>
        <w:tc>
          <w:tcPr>
            <w:tcW w:w="4835" w:type="dxa"/>
            <w:gridSpan w:val="7"/>
            <w:vMerge/>
            <w:tcBorders>
              <w:top w:val="single" w:sz="8" w:space="0" w:color="000000"/>
              <w:left w:val="single" w:sz="8" w:space="0" w:color="000000"/>
              <w:bottom w:val="single" w:sz="8" w:space="0" w:color="000000"/>
              <w:right w:val="single" w:sz="8" w:space="0" w:color="000000"/>
            </w:tcBorders>
            <w:vAlign w:val="center"/>
            <w:hideMark/>
          </w:tcPr>
          <w:p w14:paraId="1E1D9038" w14:textId="77777777" w:rsidR="00573A45" w:rsidRPr="00573A45" w:rsidRDefault="00573A45" w:rsidP="00573A45">
            <w:pPr>
              <w:rPr>
                <w:rFonts w:ascii="Tahoma" w:hAnsi="Tahoma" w:cs="Tahoma"/>
                <w:color w:val="000000"/>
                <w:sz w:val="16"/>
                <w:szCs w:val="16"/>
              </w:rPr>
            </w:pPr>
          </w:p>
        </w:tc>
        <w:tc>
          <w:tcPr>
            <w:tcW w:w="992" w:type="dxa"/>
            <w:vMerge w:val="restart"/>
            <w:tcBorders>
              <w:top w:val="nil"/>
              <w:left w:val="single" w:sz="8" w:space="0" w:color="000000"/>
              <w:bottom w:val="single" w:sz="8" w:space="0" w:color="000000"/>
              <w:right w:val="single" w:sz="8" w:space="0" w:color="808080"/>
            </w:tcBorders>
            <w:shd w:val="clear" w:color="auto" w:fill="auto"/>
            <w:hideMark/>
          </w:tcPr>
          <w:p w14:paraId="6F3274C8"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Issued capital [member]</w:t>
            </w:r>
          </w:p>
        </w:tc>
        <w:tc>
          <w:tcPr>
            <w:tcW w:w="1134" w:type="dxa"/>
            <w:tcBorders>
              <w:top w:val="nil"/>
              <w:left w:val="nil"/>
              <w:bottom w:val="single" w:sz="8" w:space="0" w:color="808080"/>
              <w:right w:val="nil"/>
            </w:tcBorders>
            <w:shd w:val="clear" w:color="auto" w:fill="auto"/>
            <w:hideMark/>
          </w:tcPr>
          <w:p w14:paraId="7DB71596"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 </w:t>
            </w:r>
          </w:p>
        </w:tc>
        <w:tc>
          <w:tcPr>
            <w:tcW w:w="1028" w:type="dxa"/>
            <w:vMerge w:val="restart"/>
            <w:tcBorders>
              <w:top w:val="nil"/>
              <w:left w:val="nil"/>
              <w:bottom w:val="single" w:sz="8" w:space="0" w:color="000000"/>
              <w:right w:val="single" w:sz="8" w:space="0" w:color="808080"/>
            </w:tcBorders>
            <w:shd w:val="clear" w:color="auto" w:fill="auto"/>
            <w:hideMark/>
          </w:tcPr>
          <w:p w14:paraId="73C42249"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Other reserves [member]</w:t>
            </w:r>
          </w:p>
        </w:tc>
        <w:tc>
          <w:tcPr>
            <w:tcW w:w="922" w:type="dxa"/>
            <w:vMerge w:val="restart"/>
            <w:tcBorders>
              <w:top w:val="nil"/>
              <w:left w:val="single" w:sz="8" w:space="0" w:color="808080"/>
              <w:bottom w:val="single" w:sz="8" w:space="0" w:color="000000"/>
              <w:right w:val="single" w:sz="8" w:space="0" w:color="808080"/>
            </w:tcBorders>
            <w:shd w:val="clear" w:color="auto" w:fill="auto"/>
            <w:hideMark/>
          </w:tcPr>
          <w:p w14:paraId="46644208"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Retained earnings [member]</w:t>
            </w:r>
          </w:p>
        </w:tc>
        <w:tc>
          <w:tcPr>
            <w:tcW w:w="363" w:type="dxa"/>
            <w:vMerge/>
            <w:tcBorders>
              <w:top w:val="nil"/>
              <w:left w:val="nil"/>
              <w:bottom w:val="single" w:sz="8" w:space="0" w:color="000000"/>
              <w:right w:val="single" w:sz="8" w:space="0" w:color="808080"/>
            </w:tcBorders>
            <w:vAlign w:val="center"/>
            <w:hideMark/>
          </w:tcPr>
          <w:p w14:paraId="0F45FBF5" w14:textId="77777777" w:rsidR="00573A45" w:rsidRPr="00573A45" w:rsidRDefault="00573A45" w:rsidP="00573A45">
            <w:pPr>
              <w:rPr>
                <w:rFonts w:ascii="Tahoma" w:hAnsi="Tahoma" w:cs="Tahoma"/>
                <w:color w:val="000000"/>
                <w:sz w:val="16"/>
                <w:szCs w:val="16"/>
              </w:rPr>
            </w:pPr>
          </w:p>
        </w:tc>
        <w:tc>
          <w:tcPr>
            <w:tcW w:w="266" w:type="dxa"/>
            <w:vMerge/>
            <w:tcBorders>
              <w:top w:val="single" w:sz="8" w:space="0" w:color="808080"/>
              <w:left w:val="nil"/>
              <w:bottom w:val="single" w:sz="8" w:space="0" w:color="000000"/>
              <w:right w:val="single" w:sz="8" w:space="0" w:color="808080"/>
            </w:tcBorders>
            <w:vAlign w:val="center"/>
            <w:hideMark/>
          </w:tcPr>
          <w:p w14:paraId="0ADFB1AF" w14:textId="77777777" w:rsidR="00573A45" w:rsidRPr="00573A45" w:rsidRDefault="00573A45" w:rsidP="00573A45">
            <w:pPr>
              <w:rPr>
                <w:rFonts w:ascii="Calibri" w:hAnsi="Calibri"/>
                <w:color w:val="000000"/>
                <w:szCs w:val="22"/>
              </w:rPr>
            </w:pPr>
          </w:p>
        </w:tc>
      </w:tr>
      <w:tr w:rsidR="00573A45" w:rsidRPr="00573A45" w14:paraId="0EEDB203" w14:textId="77777777" w:rsidTr="001B4361">
        <w:trPr>
          <w:trHeight w:val="645"/>
        </w:trPr>
        <w:tc>
          <w:tcPr>
            <w:tcW w:w="4835" w:type="dxa"/>
            <w:gridSpan w:val="7"/>
            <w:vMerge/>
            <w:tcBorders>
              <w:top w:val="single" w:sz="8" w:space="0" w:color="000000"/>
              <w:left w:val="single" w:sz="8" w:space="0" w:color="000000"/>
              <w:bottom w:val="single" w:sz="8" w:space="0" w:color="000000"/>
              <w:right w:val="single" w:sz="8" w:space="0" w:color="000000"/>
            </w:tcBorders>
            <w:vAlign w:val="center"/>
            <w:hideMark/>
          </w:tcPr>
          <w:p w14:paraId="00507823" w14:textId="77777777" w:rsidR="00573A45" w:rsidRPr="00573A45" w:rsidRDefault="00573A45" w:rsidP="00573A45">
            <w:pPr>
              <w:rPr>
                <w:rFonts w:ascii="Tahoma" w:hAnsi="Tahoma" w:cs="Tahoma"/>
                <w:color w:val="000000"/>
                <w:sz w:val="16"/>
                <w:szCs w:val="16"/>
              </w:rPr>
            </w:pPr>
          </w:p>
        </w:tc>
        <w:tc>
          <w:tcPr>
            <w:tcW w:w="992" w:type="dxa"/>
            <w:vMerge/>
            <w:tcBorders>
              <w:top w:val="nil"/>
              <w:left w:val="single" w:sz="8" w:space="0" w:color="000000"/>
              <w:bottom w:val="single" w:sz="8" w:space="0" w:color="000000"/>
              <w:right w:val="single" w:sz="8" w:space="0" w:color="808080"/>
            </w:tcBorders>
            <w:vAlign w:val="center"/>
            <w:hideMark/>
          </w:tcPr>
          <w:p w14:paraId="2A1D847F" w14:textId="77777777" w:rsidR="00573A45" w:rsidRPr="00573A45" w:rsidRDefault="00573A45" w:rsidP="00573A45">
            <w:pPr>
              <w:rPr>
                <w:rFonts w:ascii="Tahoma" w:hAnsi="Tahoma" w:cs="Tahoma"/>
                <w:color w:val="000000"/>
                <w:sz w:val="16"/>
                <w:szCs w:val="16"/>
              </w:rPr>
            </w:pPr>
          </w:p>
        </w:tc>
        <w:tc>
          <w:tcPr>
            <w:tcW w:w="1134" w:type="dxa"/>
            <w:tcBorders>
              <w:top w:val="nil"/>
              <w:left w:val="nil"/>
              <w:bottom w:val="single" w:sz="8" w:space="0" w:color="808080"/>
              <w:right w:val="single" w:sz="8" w:space="0" w:color="808080"/>
            </w:tcBorders>
            <w:shd w:val="clear" w:color="auto" w:fill="auto"/>
            <w:hideMark/>
          </w:tcPr>
          <w:p w14:paraId="4970D54D"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Revaluation surplus [member]</w:t>
            </w:r>
          </w:p>
        </w:tc>
        <w:tc>
          <w:tcPr>
            <w:tcW w:w="1028" w:type="dxa"/>
            <w:vMerge/>
            <w:tcBorders>
              <w:top w:val="nil"/>
              <w:left w:val="nil"/>
              <w:bottom w:val="single" w:sz="8" w:space="0" w:color="000000"/>
              <w:right w:val="single" w:sz="8" w:space="0" w:color="808080"/>
            </w:tcBorders>
            <w:vAlign w:val="center"/>
            <w:hideMark/>
          </w:tcPr>
          <w:p w14:paraId="08B3D90C" w14:textId="77777777" w:rsidR="00573A45" w:rsidRPr="00573A45" w:rsidRDefault="00573A45" w:rsidP="00573A45">
            <w:pPr>
              <w:rPr>
                <w:rFonts w:ascii="Tahoma" w:hAnsi="Tahoma" w:cs="Tahoma"/>
                <w:color w:val="000000"/>
                <w:sz w:val="16"/>
                <w:szCs w:val="16"/>
              </w:rPr>
            </w:pPr>
          </w:p>
        </w:tc>
        <w:tc>
          <w:tcPr>
            <w:tcW w:w="922" w:type="dxa"/>
            <w:vMerge/>
            <w:tcBorders>
              <w:top w:val="nil"/>
              <w:left w:val="single" w:sz="8" w:space="0" w:color="808080"/>
              <w:bottom w:val="single" w:sz="8" w:space="0" w:color="000000"/>
              <w:right w:val="single" w:sz="8" w:space="0" w:color="808080"/>
            </w:tcBorders>
            <w:vAlign w:val="center"/>
            <w:hideMark/>
          </w:tcPr>
          <w:p w14:paraId="769A4E50" w14:textId="77777777" w:rsidR="00573A45" w:rsidRPr="00573A45" w:rsidRDefault="00573A45" w:rsidP="00573A45">
            <w:pPr>
              <w:rPr>
                <w:rFonts w:ascii="Tahoma" w:hAnsi="Tahoma" w:cs="Tahoma"/>
                <w:color w:val="000000"/>
                <w:sz w:val="16"/>
                <w:szCs w:val="16"/>
              </w:rPr>
            </w:pPr>
          </w:p>
        </w:tc>
        <w:tc>
          <w:tcPr>
            <w:tcW w:w="363" w:type="dxa"/>
            <w:vMerge/>
            <w:tcBorders>
              <w:top w:val="nil"/>
              <w:left w:val="nil"/>
              <w:bottom w:val="single" w:sz="8" w:space="0" w:color="000000"/>
              <w:right w:val="single" w:sz="8" w:space="0" w:color="808080"/>
            </w:tcBorders>
            <w:vAlign w:val="center"/>
            <w:hideMark/>
          </w:tcPr>
          <w:p w14:paraId="18BB52AB" w14:textId="77777777" w:rsidR="00573A45" w:rsidRPr="00573A45" w:rsidRDefault="00573A45" w:rsidP="00573A45">
            <w:pPr>
              <w:rPr>
                <w:rFonts w:ascii="Tahoma" w:hAnsi="Tahoma" w:cs="Tahoma"/>
                <w:color w:val="000000"/>
                <w:sz w:val="16"/>
                <w:szCs w:val="16"/>
              </w:rPr>
            </w:pPr>
          </w:p>
        </w:tc>
        <w:tc>
          <w:tcPr>
            <w:tcW w:w="266" w:type="dxa"/>
            <w:vMerge/>
            <w:tcBorders>
              <w:top w:val="single" w:sz="8" w:space="0" w:color="808080"/>
              <w:left w:val="nil"/>
              <w:bottom w:val="single" w:sz="8" w:space="0" w:color="000000"/>
              <w:right w:val="single" w:sz="8" w:space="0" w:color="808080"/>
            </w:tcBorders>
            <w:vAlign w:val="center"/>
            <w:hideMark/>
          </w:tcPr>
          <w:p w14:paraId="655F2A7C" w14:textId="77777777" w:rsidR="00573A45" w:rsidRPr="00573A45" w:rsidRDefault="00573A45" w:rsidP="00573A45">
            <w:pPr>
              <w:rPr>
                <w:rFonts w:ascii="Calibri" w:hAnsi="Calibri"/>
                <w:color w:val="000000"/>
                <w:szCs w:val="22"/>
              </w:rPr>
            </w:pPr>
          </w:p>
        </w:tc>
      </w:tr>
      <w:tr w:rsidR="00573A45" w:rsidRPr="00573A45" w14:paraId="439F0DD9" w14:textId="77777777" w:rsidTr="001B4361">
        <w:trPr>
          <w:trHeight w:val="240"/>
        </w:trPr>
        <w:tc>
          <w:tcPr>
            <w:tcW w:w="421" w:type="dxa"/>
            <w:vMerge w:val="restart"/>
            <w:tcBorders>
              <w:top w:val="nil"/>
              <w:left w:val="single" w:sz="8" w:space="0" w:color="808080"/>
              <w:bottom w:val="single" w:sz="8" w:space="0" w:color="808080"/>
              <w:right w:val="single" w:sz="8" w:space="0" w:color="808080"/>
            </w:tcBorders>
            <w:shd w:val="clear" w:color="auto" w:fill="auto"/>
            <w:textDirection w:val="btLr"/>
            <w:vAlign w:val="center"/>
            <w:hideMark/>
          </w:tcPr>
          <w:p w14:paraId="4FD2E432"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Currently stated [member]</w:t>
            </w:r>
          </w:p>
        </w:tc>
        <w:tc>
          <w:tcPr>
            <w:tcW w:w="421" w:type="dxa"/>
            <w:vMerge w:val="restart"/>
            <w:tcBorders>
              <w:top w:val="nil"/>
              <w:left w:val="single" w:sz="8" w:space="0" w:color="808080"/>
              <w:bottom w:val="single" w:sz="8" w:space="0" w:color="808080"/>
              <w:right w:val="single" w:sz="8" w:space="0" w:color="808080"/>
            </w:tcBorders>
            <w:shd w:val="clear" w:color="auto" w:fill="auto"/>
            <w:textDirection w:val="btLr"/>
            <w:vAlign w:val="center"/>
            <w:hideMark/>
          </w:tcPr>
          <w:p w14:paraId="68893A76" w14:textId="77777777" w:rsidR="00573A45" w:rsidRPr="00573A45" w:rsidRDefault="00573A45" w:rsidP="00573A45">
            <w:pPr>
              <w:jc w:val="center"/>
              <w:rPr>
                <w:rFonts w:ascii="Tahoma" w:hAnsi="Tahoma" w:cs="Tahoma"/>
                <w:color w:val="000000"/>
                <w:sz w:val="16"/>
                <w:szCs w:val="16"/>
              </w:rPr>
            </w:pPr>
            <w:r w:rsidRPr="00573A45">
              <w:rPr>
                <w:rFonts w:ascii="Tahoma" w:hAnsi="Tahoma" w:cs="Tahoma"/>
                <w:color w:val="000000"/>
                <w:sz w:val="16"/>
                <w:szCs w:val="16"/>
              </w:rPr>
              <w:t>Consolidated [member]</w:t>
            </w:r>
          </w:p>
        </w:tc>
        <w:tc>
          <w:tcPr>
            <w:tcW w:w="3993" w:type="dxa"/>
            <w:gridSpan w:val="5"/>
            <w:tcBorders>
              <w:top w:val="single" w:sz="8" w:space="0" w:color="000000"/>
              <w:left w:val="nil"/>
              <w:bottom w:val="nil"/>
              <w:right w:val="single" w:sz="8" w:space="0" w:color="000000"/>
            </w:tcBorders>
            <w:shd w:val="clear" w:color="auto" w:fill="auto"/>
            <w:hideMark/>
          </w:tcPr>
          <w:p w14:paraId="7394BB13"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Statement of changes in equity [abstract]</w:t>
            </w:r>
          </w:p>
        </w:tc>
        <w:tc>
          <w:tcPr>
            <w:tcW w:w="992" w:type="dxa"/>
            <w:tcBorders>
              <w:top w:val="nil"/>
              <w:left w:val="nil"/>
              <w:bottom w:val="single" w:sz="8" w:space="0" w:color="000000"/>
              <w:right w:val="single" w:sz="8" w:space="0" w:color="000000"/>
            </w:tcBorders>
            <w:shd w:val="clear" w:color="000000" w:fill="E6E6E6"/>
            <w:hideMark/>
          </w:tcPr>
          <w:p w14:paraId="2BD9AB8F"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134" w:type="dxa"/>
            <w:tcBorders>
              <w:top w:val="single" w:sz="8" w:space="0" w:color="000000"/>
              <w:left w:val="nil"/>
              <w:bottom w:val="single" w:sz="8" w:space="0" w:color="000000"/>
              <w:right w:val="single" w:sz="8" w:space="0" w:color="000000"/>
            </w:tcBorders>
            <w:shd w:val="clear" w:color="000000" w:fill="E6E6E6"/>
            <w:hideMark/>
          </w:tcPr>
          <w:p w14:paraId="589756E7"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028" w:type="dxa"/>
            <w:tcBorders>
              <w:top w:val="nil"/>
              <w:left w:val="nil"/>
              <w:bottom w:val="single" w:sz="8" w:space="0" w:color="000000"/>
              <w:right w:val="single" w:sz="8" w:space="0" w:color="000000"/>
            </w:tcBorders>
            <w:shd w:val="clear" w:color="000000" w:fill="E6E6E6"/>
            <w:hideMark/>
          </w:tcPr>
          <w:p w14:paraId="40EDC079"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922" w:type="dxa"/>
            <w:tcBorders>
              <w:top w:val="nil"/>
              <w:left w:val="nil"/>
              <w:bottom w:val="single" w:sz="8" w:space="0" w:color="000000"/>
              <w:right w:val="single" w:sz="8" w:space="0" w:color="000000"/>
            </w:tcBorders>
            <w:shd w:val="clear" w:color="000000" w:fill="E6E6E6"/>
            <w:hideMark/>
          </w:tcPr>
          <w:p w14:paraId="7BFDB2A7"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3" w:type="dxa"/>
            <w:tcBorders>
              <w:top w:val="nil"/>
              <w:left w:val="nil"/>
              <w:bottom w:val="single" w:sz="8" w:space="0" w:color="000000"/>
              <w:right w:val="single" w:sz="8" w:space="0" w:color="000000"/>
            </w:tcBorders>
            <w:shd w:val="clear" w:color="000000" w:fill="E6E6E6"/>
            <w:hideMark/>
          </w:tcPr>
          <w:p w14:paraId="4EBBA28F"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6" w:type="dxa"/>
            <w:tcBorders>
              <w:top w:val="nil"/>
              <w:left w:val="nil"/>
              <w:bottom w:val="single" w:sz="8" w:space="0" w:color="000000"/>
              <w:right w:val="single" w:sz="8" w:space="0" w:color="000000"/>
            </w:tcBorders>
            <w:shd w:val="clear" w:color="auto" w:fill="auto"/>
            <w:hideMark/>
          </w:tcPr>
          <w:p w14:paraId="0F582563" w14:textId="77777777" w:rsidR="00573A45" w:rsidRPr="00573A45" w:rsidRDefault="00573A45" w:rsidP="00573A45">
            <w:pPr>
              <w:rPr>
                <w:rFonts w:ascii="Calibri" w:hAnsi="Calibri"/>
                <w:color w:val="000000"/>
                <w:szCs w:val="22"/>
              </w:rPr>
            </w:pPr>
            <w:r w:rsidRPr="00573A45">
              <w:rPr>
                <w:rFonts w:ascii="Calibri" w:hAnsi="Calibri"/>
                <w:color w:val="000000"/>
                <w:szCs w:val="22"/>
              </w:rPr>
              <w:t> </w:t>
            </w:r>
          </w:p>
        </w:tc>
      </w:tr>
      <w:tr w:rsidR="00573A45" w:rsidRPr="00573A45" w14:paraId="0A300AC8" w14:textId="77777777"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14:paraId="47E3113A"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6D18BE47" w14:textId="77777777" w:rsidR="00573A45" w:rsidRPr="00573A45" w:rsidRDefault="00573A45" w:rsidP="00573A45">
            <w:pPr>
              <w:rPr>
                <w:rFonts w:ascii="Tahoma" w:hAnsi="Tahoma" w:cs="Tahoma"/>
                <w:color w:val="000000"/>
                <w:sz w:val="16"/>
                <w:szCs w:val="16"/>
              </w:rPr>
            </w:pPr>
          </w:p>
        </w:tc>
        <w:tc>
          <w:tcPr>
            <w:tcW w:w="322" w:type="dxa"/>
            <w:vMerge w:val="restart"/>
            <w:tcBorders>
              <w:top w:val="nil"/>
              <w:left w:val="single" w:sz="8" w:space="0" w:color="808080"/>
              <w:bottom w:val="single" w:sz="8" w:space="0" w:color="808080"/>
              <w:right w:val="single" w:sz="8" w:space="0" w:color="808080"/>
            </w:tcBorders>
            <w:shd w:val="clear" w:color="auto" w:fill="auto"/>
            <w:hideMark/>
          </w:tcPr>
          <w:p w14:paraId="69488C52"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71" w:type="dxa"/>
            <w:gridSpan w:val="4"/>
            <w:tcBorders>
              <w:top w:val="single" w:sz="8" w:space="0" w:color="808080"/>
              <w:left w:val="nil"/>
              <w:bottom w:val="nil"/>
              <w:right w:val="single" w:sz="8" w:space="0" w:color="000000"/>
            </w:tcBorders>
            <w:shd w:val="clear" w:color="auto" w:fill="auto"/>
            <w:hideMark/>
          </w:tcPr>
          <w:p w14:paraId="1F3C2099"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Statement of changes in equity [line items]</w:t>
            </w:r>
          </w:p>
        </w:tc>
        <w:tc>
          <w:tcPr>
            <w:tcW w:w="992" w:type="dxa"/>
            <w:tcBorders>
              <w:top w:val="nil"/>
              <w:left w:val="nil"/>
              <w:bottom w:val="single" w:sz="8" w:space="0" w:color="000000"/>
              <w:right w:val="single" w:sz="8" w:space="0" w:color="000000"/>
            </w:tcBorders>
            <w:shd w:val="clear" w:color="000000" w:fill="E6E6E6"/>
            <w:hideMark/>
          </w:tcPr>
          <w:p w14:paraId="60BB5C41"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134" w:type="dxa"/>
            <w:tcBorders>
              <w:top w:val="nil"/>
              <w:left w:val="nil"/>
              <w:bottom w:val="single" w:sz="8" w:space="0" w:color="000000"/>
              <w:right w:val="single" w:sz="8" w:space="0" w:color="000000"/>
            </w:tcBorders>
            <w:shd w:val="clear" w:color="000000" w:fill="E6E6E6"/>
            <w:hideMark/>
          </w:tcPr>
          <w:p w14:paraId="0ECF1F2E"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028" w:type="dxa"/>
            <w:tcBorders>
              <w:top w:val="nil"/>
              <w:left w:val="nil"/>
              <w:bottom w:val="single" w:sz="8" w:space="0" w:color="000000"/>
              <w:right w:val="single" w:sz="8" w:space="0" w:color="000000"/>
            </w:tcBorders>
            <w:shd w:val="clear" w:color="000000" w:fill="E6E6E6"/>
            <w:hideMark/>
          </w:tcPr>
          <w:p w14:paraId="3AEBDAF6"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922" w:type="dxa"/>
            <w:tcBorders>
              <w:top w:val="nil"/>
              <w:left w:val="nil"/>
              <w:bottom w:val="single" w:sz="8" w:space="0" w:color="000000"/>
              <w:right w:val="single" w:sz="8" w:space="0" w:color="000000"/>
            </w:tcBorders>
            <w:shd w:val="clear" w:color="000000" w:fill="E6E6E6"/>
            <w:hideMark/>
          </w:tcPr>
          <w:p w14:paraId="053BF280"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3" w:type="dxa"/>
            <w:tcBorders>
              <w:top w:val="nil"/>
              <w:left w:val="nil"/>
              <w:bottom w:val="single" w:sz="8" w:space="0" w:color="000000"/>
              <w:right w:val="single" w:sz="8" w:space="0" w:color="000000"/>
            </w:tcBorders>
            <w:shd w:val="clear" w:color="000000" w:fill="E6E6E6"/>
            <w:hideMark/>
          </w:tcPr>
          <w:p w14:paraId="67D2D7E3"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6" w:type="dxa"/>
            <w:tcBorders>
              <w:top w:val="nil"/>
              <w:left w:val="nil"/>
              <w:bottom w:val="single" w:sz="8" w:space="0" w:color="000000"/>
              <w:right w:val="single" w:sz="8" w:space="0" w:color="000000"/>
            </w:tcBorders>
            <w:shd w:val="clear" w:color="auto" w:fill="auto"/>
            <w:hideMark/>
          </w:tcPr>
          <w:p w14:paraId="1EB112EF" w14:textId="77777777" w:rsidR="00573A45" w:rsidRPr="00573A45" w:rsidRDefault="00573A45" w:rsidP="00573A45">
            <w:pPr>
              <w:rPr>
                <w:rFonts w:ascii="Calibri" w:hAnsi="Calibri"/>
                <w:color w:val="000000"/>
                <w:szCs w:val="22"/>
              </w:rPr>
            </w:pPr>
            <w:r w:rsidRPr="00573A45">
              <w:rPr>
                <w:rFonts w:ascii="Calibri" w:hAnsi="Calibri"/>
                <w:color w:val="000000"/>
                <w:szCs w:val="22"/>
              </w:rPr>
              <w:t> </w:t>
            </w:r>
          </w:p>
        </w:tc>
      </w:tr>
      <w:tr w:rsidR="00573A45" w:rsidRPr="00573A45" w14:paraId="1EF79D33" w14:textId="77777777" w:rsidTr="001B4361">
        <w:trPr>
          <w:trHeight w:val="225"/>
        </w:trPr>
        <w:tc>
          <w:tcPr>
            <w:tcW w:w="421" w:type="dxa"/>
            <w:vMerge/>
            <w:tcBorders>
              <w:top w:val="nil"/>
              <w:left w:val="single" w:sz="8" w:space="0" w:color="808080"/>
              <w:bottom w:val="single" w:sz="8" w:space="0" w:color="808080"/>
              <w:right w:val="single" w:sz="8" w:space="0" w:color="808080"/>
            </w:tcBorders>
            <w:vAlign w:val="center"/>
            <w:hideMark/>
          </w:tcPr>
          <w:p w14:paraId="701A57B8"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3DA42F78"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5EBDF1B9" w14:textId="77777777" w:rsidR="00573A45" w:rsidRPr="00573A45" w:rsidRDefault="00573A45" w:rsidP="00573A45">
            <w:pPr>
              <w:rPr>
                <w:rFonts w:ascii="Tahoma" w:hAnsi="Tahoma" w:cs="Tahoma"/>
                <w:color w:val="000000"/>
                <w:sz w:val="16"/>
                <w:szCs w:val="16"/>
              </w:rPr>
            </w:pPr>
          </w:p>
        </w:tc>
        <w:tc>
          <w:tcPr>
            <w:tcW w:w="337" w:type="dxa"/>
            <w:vMerge w:val="restart"/>
            <w:tcBorders>
              <w:top w:val="nil"/>
              <w:left w:val="single" w:sz="8" w:space="0" w:color="808080"/>
              <w:bottom w:val="single" w:sz="8" w:space="0" w:color="808080"/>
              <w:right w:val="single" w:sz="8" w:space="0" w:color="808080"/>
            </w:tcBorders>
            <w:shd w:val="clear" w:color="auto" w:fill="auto"/>
            <w:hideMark/>
          </w:tcPr>
          <w:p w14:paraId="37EF2BF6"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334" w:type="dxa"/>
            <w:gridSpan w:val="3"/>
            <w:tcBorders>
              <w:top w:val="single" w:sz="8" w:space="0" w:color="808080"/>
              <w:left w:val="nil"/>
              <w:bottom w:val="single" w:sz="8" w:space="0" w:color="808080"/>
              <w:right w:val="single" w:sz="8" w:space="0" w:color="000000"/>
            </w:tcBorders>
            <w:shd w:val="clear" w:color="auto" w:fill="auto"/>
            <w:hideMark/>
          </w:tcPr>
          <w:p w14:paraId="6D764977"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Equity</w:t>
            </w:r>
          </w:p>
        </w:tc>
        <w:tc>
          <w:tcPr>
            <w:tcW w:w="992" w:type="dxa"/>
            <w:tcBorders>
              <w:top w:val="nil"/>
              <w:left w:val="nil"/>
              <w:bottom w:val="single" w:sz="8" w:space="0" w:color="000000"/>
              <w:right w:val="single" w:sz="8" w:space="0" w:color="000000"/>
            </w:tcBorders>
            <w:shd w:val="clear" w:color="000000" w:fill="FFFFFF"/>
            <w:hideMark/>
          </w:tcPr>
          <w:p w14:paraId="6DED56E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452C0C13"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45D8103D"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0CF3DE1D"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029CABDF"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4F7A395E"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0C811462" w14:textId="77777777" w:rsidTr="001B4361">
        <w:trPr>
          <w:trHeight w:val="240"/>
        </w:trPr>
        <w:tc>
          <w:tcPr>
            <w:tcW w:w="421" w:type="dxa"/>
            <w:vMerge/>
            <w:tcBorders>
              <w:top w:val="nil"/>
              <w:left w:val="single" w:sz="8" w:space="0" w:color="808080"/>
              <w:bottom w:val="single" w:sz="8" w:space="0" w:color="808080"/>
              <w:right w:val="single" w:sz="8" w:space="0" w:color="808080"/>
            </w:tcBorders>
            <w:vAlign w:val="center"/>
            <w:hideMark/>
          </w:tcPr>
          <w:p w14:paraId="1C56740A"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3BAE5430"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29E083E4"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25307C20" w14:textId="77777777" w:rsidR="00573A45" w:rsidRPr="00573A45" w:rsidRDefault="00573A45" w:rsidP="00573A45">
            <w:pPr>
              <w:rPr>
                <w:rFonts w:ascii="Tahoma" w:hAnsi="Tahoma" w:cs="Tahoma"/>
                <w:color w:val="000000"/>
                <w:sz w:val="16"/>
                <w:szCs w:val="16"/>
              </w:rPr>
            </w:pPr>
          </w:p>
        </w:tc>
        <w:tc>
          <w:tcPr>
            <w:tcW w:w="3334" w:type="dxa"/>
            <w:gridSpan w:val="3"/>
            <w:tcBorders>
              <w:top w:val="single" w:sz="8" w:space="0" w:color="808080"/>
              <w:left w:val="nil"/>
              <w:bottom w:val="nil"/>
              <w:right w:val="single" w:sz="8" w:space="0" w:color="000000"/>
            </w:tcBorders>
            <w:shd w:val="clear" w:color="auto" w:fill="auto"/>
            <w:hideMark/>
          </w:tcPr>
          <w:p w14:paraId="5016973D"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Changes in equity [abstract]</w:t>
            </w:r>
          </w:p>
        </w:tc>
        <w:tc>
          <w:tcPr>
            <w:tcW w:w="992" w:type="dxa"/>
            <w:tcBorders>
              <w:top w:val="nil"/>
              <w:left w:val="nil"/>
              <w:bottom w:val="single" w:sz="8" w:space="0" w:color="000000"/>
              <w:right w:val="single" w:sz="8" w:space="0" w:color="000000"/>
            </w:tcBorders>
            <w:shd w:val="clear" w:color="000000" w:fill="E6E6E6"/>
            <w:hideMark/>
          </w:tcPr>
          <w:p w14:paraId="0DB4E12B"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134" w:type="dxa"/>
            <w:tcBorders>
              <w:top w:val="nil"/>
              <w:left w:val="nil"/>
              <w:bottom w:val="single" w:sz="8" w:space="0" w:color="000000"/>
              <w:right w:val="single" w:sz="8" w:space="0" w:color="000000"/>
            </w:tcBorders>
            <w:shd w:val="clear" w:color="000000" w:fill="E6E6E6"/>
            <w:hideMark/>
          </w:tcPr>
          <w:p w14:paraId="6F2EF893"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028" w:type="dxa"/>
            <w:tcBorders>
              <w:top w:val="nil"/>
              <w:left w:val="nil"/>
              <w:bottom w:val="single" w:sz="8" w:space="0" w:color="000000"/>
              <w:right w:val="single" w:sz="8" w:space="0" w:color="000000"/>
            </w:tcBorders>
            <w:shd w:val="clear" w:color="000000" w:fill="E6E6E6"/>
            <w:hideMark/>
          </w:tcPr>
          <w:p w14:paraId="780303F4"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922" w:type="dxa"/>
            <w:tcBorders>
              <w:top w:val="nil"/>
              <w:left w:val="nil"/>
              <w:bottom w:val="single" w:sz="8" w:space="0" w:color="000000"/>
              <w:right w:val="single" w:sz="8" w:space="0" w:color="000000"/>
            </w:tcBorders>
            <w:shd w:val="clear" w:color="000000" w:fill="E6E6E6"/>
            <w:hideMark/>
          </w:tcPr>
          <w:p w14:paraId="26BB9EDA"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3" w:type="dxa"/>
            <w:tcBorders>
              <w:top w:val="nil"/>
              <w:left w:val="nil"/>
              <w:bottom w:val="single" w:sz="8" w:space="0" w:color="000000"/>
              <w:right w:val="single" w:sz="8" w:space="0" w:color="000000"/>
            </w:tcBorders>
            <w:shd w:val="clear" w:color="000000" w:fill="E6E6E6"/>
            <w:hideMark/>
          </w:tcPr>
          <w:p w14:paraId="06C9EABD"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6" w:type="dxa"/>
            <w:tcBorders>
              <w:top w:val="nil"/>
              <w:left w:val="nil"/>
              <w:bottom w:val="single" w:sz="8" w:space="0" w:color="000000"/>
              <w:right w:val="single" w:sz="8" w:space="0" w:color="000000"/>
            </w:tcBorders>
            <w:shd w:val="clear" w:color="auto" w:fill="auto"/>
            <w:hideMark/>
          </w:tcPr>
          <w:p w14:paraId="0B3F0A76" w14:textId="77777777" w:rsidR="00573A45" w:rsidRPr="00573A45" w:rsidRDefault="00573A45" w:rsidP="00573A45">
            <w:pPr>
              <w:rPr>
                <w:rFonts w:ascii="Calibri" w:hAnsi="Calibri"/>
                <w:color w:val="000000"/>
                <w:szCs w:val="22"/>
              </w:rPr>
            </w:pPr>
            <w:r w:rsidRPr="00573A45">
              <w:rPr>
                <w:rFonts w:ascii="Calibri" w:hAnsi="Calibri"/>
                <w:color w:val="000000"/>
                <w:szCs w:val="22"/>
              </w:rPr>
              <w:t> </w:t>
            </w:r>
          </w:p>
        </w:tc>
      </w:tr>
      <w:tr w:rsidR="00573A45" w:rsidRPr="00573A45" w14:paraId="286D580C" w14:textId="77777777"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14:paraId="4EF799F7"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0BDA7293"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566A1CB6"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3FDC4B82" w14:textId="77777777" w:rsidR="00573A45" w:rsidRPr="00573A45" w:rsidRDefault="00573A45" w:rsidP="00573A45">
            <w:pPr>
              <w:rPr>
                <w:rFonts w:ascii="Tahoma" w:hAnsi="Tahoma" w:cs="Tahoma"/>
                <w:color w:val="000000"/>
                <w:sz w:val="16"/>
                <w:szCs w:val="16"/>
              </w:rPr>
            </w:pPr>
          </w:p>
        </w:tc>
        <w:tc>
          <w:tcPr>
            <w:tcW w:w="367" w:type="dxa"/>
            <w:vMerge w:val="restart"/>
            <w:tcBorders>
              <w:top w:val="nil"/>
              <w:left w:val="single" w:sz="8" w:space="0" w:color="808080"/>
              <w:bottom w:val="single" w:sz="8" w:space="0" w:color="808080"/>
              <w:right w:val="single" w:sz="8" w:space="0" w:color="808080"/>
            </w:tcBorders>
            <w:shd w:val="clear" w:color="auto" w:fill="auto"/>
            <w:hideMark/>
          </w:tcPr>
          <w:p w14:paraId="01498875"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967" w:type="dxa"/>
            <w:gridSpan w:val="2"/>
            <w:tcBorders>
              <w:top w:val="single" w:sz="8" w:space="0" w:color="808080"/>
              <w:left w:val="nil"/>
              <w:bottom w:val="nil"/>
              <w:right w:val="single" w:sz="8" w:space="0" w:color="000000"/>
            </w:tcBorders>
            <w:shd w:val="clear" w:color="auto" w:fill="auto"/>
            <w:hideMark/>
          </w:tcPr>
          <w:p w14:paraId="7D0495E4"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Comprehensive income [abstract]</w:t>
            </w:r>
          </w:p>
        </w:tc>
        <w:tc>
          <w:tcPr>
            <w:tcW w:w="992" w:type="dxa"/>
            <w:tcBorders>
              <w:top w:val="nil"/>
              <w:left w:val="nil"/>
              <w:bottom w:val="single" w:sz="8" w:space="0" w:color="000000"/>
              <w:right w:val="single" w:sz="8" w:space="0" w:color="000000"/>
            </w:tcBorders>
            <w:shd w:val="clear" w:color="000000" w:fill="E6E6E6"/>
            <w:hideMark/>
          </w:tcPr>
          <w:p w14:paraId="33F73E2C"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134" w:type="dxa"/>
            <w:tcBorders>
              <w:top w:val="nil"/>
              <w:left w:val="nil"/>
              <w:bottom w:val="single" w:sz="8" w:space="0" w:color="000000"/>
              <w:right w:val="single" w:sz="8" w:space="0" w:color="000000"/>
            </w:tcBorders>
            <w:shd w:val="clear" w:color="000000" w:fill="E6E6E6"/>
            <w:hideMark/>
          </w:tcPr>
          <w:p w14:paraId="2F18E40B"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1028" w:type="dxa"/>
            <w:tcBorders>
              <w:top w:val="nil"/>
              <w:left w:val="nil"/>
              <w:bottom w:val="single" w:sz="8" w:space="0" w:color="000000"/>
              <w:right w:val="single" w:sz="8" w:space="0" w:color="000000"/>
            </w:tcBorders>
            <w:shd w:val="clear" w:color="000000" w:fill="E6E6E6"/>
            <w:hideMark/>
          </w:tcPr>
          <w:p w14:paraId="68F14D77"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922" w:type="dxa"/>
            <w:tcBorders>
              <w:top w:val="nil"/>
              <w:left w:val="nil"/>
              <w:bottom w:val="single" w:sz="8" w:space="0" w:color="000000"/>
              <w:right w:val="single" w:sz="8" w:space="0" w:color="000000"/>
            </w:tcBorders>
            <w:shd w:val="clear" w:color="000000" w:fill="E6E6E6"/>
            <w:hideMark/>
          </w:tcPr>
          <w:p w14:paraId="0C35B569"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363" w:type="dxa"/>
            <w:tcBorders>
              <w:top w:val="nil"/>
              <w:left w:val="nil"/>
              <w:bottom w:val="single" w:sz="8" w:space="0" w:color="000000"/>
              <w:right w:val="single" w:sz="8" w:space="0" w:color="000000"/>
            </w:tcBorders>
            <w:shd w:val="clear" w:color="000000" w:fill="E6E6E6"/>
            <w:hideMark/>
          </w:tcPr>
          <w:p w14:paraId="037D3532"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6" w:type="dxa"/>
            <w:tcBorders>
              <w:top w:val="nil"/>
              <w:left w:val="nil"/>
              <w:bottom w:val="single" w:sz="8" w:space="0" w:color="000000"/>
              <w:right w:val="single" w:sz="8" w:space="0" w:color="000000"/>
            </w:tcBorders>
            <w:shd w:val="clear" w:color="auto" w:fill="auto"/>
            <w:hideMark/>
          </w:tcPr>
          <w:p w14:paraId="756E6D8B" w14:textId="77777777" w:rsidR="00573A45" w:rsidRPr="00573A45" w:rsidRDefault="00573A45" w:rsidP="00573A45">
            <w:pPr>
              <w:rPr>
                <w:rFonts w:ascii="Calibri" w:hAnsi="Calibri"/>
                <w:color w:val="000000"/>
                <w:szCs w:val="22"/>
              </w:rPr>
            </w:pPr>
            <w:r w:rsidRPr="00573A45">
              <w:rPr>
                <w:rFonts w:ascii="Calibri" w:hAnsi="Calibri"/>
                <w:color w:val="000000"/>
                <w:szCs w:val="22"/>
              </w:rPr>
              <w:t> </w:t>
            </w:r>
          </w:p>
        </w:tc>
      </w:tr>
      <w:tr w:rsidR="00573A45" w:rsidRPr="00573A45" w14:paraId="48785697" w14:textId="77777777" w:rsidTr="001B4361">
        <w:trPr>
          <w:trHeight w:val="315"/>
        </w:trPr>
        <w:tc>
          <w:tcPr>
            <w:tcW w:w="421" w:type="dxa"/>
            <w:vMerge/>
            <w:tcBorders>
              <w:top w:val="nil"/>
              <w:left w:val="single" w:sz="8" w:space="0" w:color="808080"/>
              <w:bottom w:val="single" w:sz="8" w:space="0" w:color="808080"/>
              <w:right w:val="single" w:sz="8" w:space="0" w:color="808080"/>
            </w:tcBorders>
            <w:vAlign w:val="center"/>
            <w:hideMark/>
          </w:tcPr>
          <w:p w14:paraId="05D7833A"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37D20AC2"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0FF38148"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0BB3619B"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7BB41E7E" w14:textId="77777777" w:rsidR="00573A45" w:rsidRPr="00573A45" w:rsidRDefault="00573A45" w:rsidP="00573A45">
            <w:pPr>
              <w:rPr>
                <w:rFonts w:ascii="Tahoma" w:hAnsi="Tahoma" w:cs="Tahoma"/>
                <w:color w:val="000000"/>
                <w:sz w:val="16"/>
                <w:szCs w:val="16"/>
              </w:rPr>
            </w:pPr>
          </w:p>
        </w:tc>
        <w:tc>
          <w:tcPr>
            <w:tcW w:w="367" w:type="dxa"/>
            <w:vMerge w:val="restart"/>
            <w:tcBorders>
              <w:top w:val="nil"/>
              <w:left w:val="single" w:sz="8" w:space="0" w:color="808080"/>
              <w:bottom w:val="single" w:sz="8" w:space="0" w:color="808080"/>
              <w:right w:val="single" w:sz="8" w:space="0" w:color="808080"/>
            </w:tcBorders>
            <w:shd w:val="clear" w:color="auto" w:fill="auto"/>
            <w:hideMark/>
          </w:tcPr>
          <w:p w14:paraId="4802C7E7"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 </w:t>
            </w:r>
          </w:p>
        </w:tc>
        <w:tc>
          <w:tcPr>
            <w:tcW w:w="2600" w:type="dxa"/>
            <w:tcBorders>
              <w:top w:val="single" w:sz="8" w:space="0" w:color="808080"/>
              <w:left w:val="nil"/>
              <w:bottom w:val="single" w:sz="8" w:space="0" w:color="808080"/>
              <w:right w:val="single" w:sz="8" w:space="0" w:color="808080"/>
            </w:tcBorders>
            <w:shd w:val="clear" w:color="auto" w:fill="auto"/>
            <w:hideMark/>
          </w:tcPr>
          <w:p w14:paraId="2DBBB3C6"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Profit (loss)</w:t>
            </w:r>
          </w:p>
        </w:tc>
        <w:tc>
          <w:tcPr>
            <w:tcW w:w="992" w:type="dxa"/>
            <w:tcBorders>
              <w:top w:val="nil"/>
              <w:left w:val="single" w:sz="8" w:space="0" w:color="000000"/>
              <w:bottom w:val="single" w:sz="8" w:space="0" w:color="000000"/>
              <w:right w:val="single" w:sz="8" w:space="0" w:color="000000"/>
            </w:tcBorders>
            <w:shd w:val="clear" w:color="000000" w:fill="FFFFFF"/>
            <w:hideMark/>
          </w:tcPr>
          <w:p w14:paraId="14EC7804"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4EC4F710"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7546F0D5"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3D921B48"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292D7565"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4FFD6E2B"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0F573454" w14:textId="77777777"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14:paraId="4B9EB912"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232EB5B1"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51FD0C16"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73C57816"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799CEADC"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13EAF854" w14:textId="77777777" w:rsidR="00573A45" w:rsidRPr="00573A45" w:rsidRDefault="00573A45" w:rsidP="00573A45">
            <w:pPr>
              <w:rPr>
                <w:rFonts w:ascii="Tahoma" w:hAnsi="Tahoma" w:cs="Tahoma"/>
                <w:color w:val="000000"/>
                <w:sz w:val="16"/>
                <w:szCs w:val="16"/>
              </w:rPr>
            </w:pPr>
          </w:p>
        </w:tc>
        <w:tc>
          <w:tcPr>
            <w:tcW w:w="2600" w:type="dxa"/>
            <w:tcBorders>
              <w:top w:val="nil"/>
              <w:left w:val="nil"/>
              <w:bottom w:val="single" w:sz="8" w:space="0" w:color="808080"/>
              <w:right w:val="single" w:sz="8" w:space="0" w:color="808080"/>
            </w:tcBorders>
            <w:shd w:val="clear" w:color="auto" w:fill="auto"/>
            <w:hideMark/>
          </w:tcPr>
          <w:p w14:paraId="3845727A"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Other comprehensive income</w:t>
            </w:r>
          </w:p>
        </w:tc>
        <w:tc>
          <w:tcPr>
            <w:tcW w:w="992" w:type="dxa"/>
            <w:tcBorders>
              <w:top w:val="nil"/>
              <w:left w:val="single" w:sz="8" w:space="0" w:color="000000"/>
              <w:bottom w:val="single" w:sz="8" w:space="0" w:color="000000"/>
              <w:right w:val="single" w:sz="8" w:space="0" w:color="000000"/>
            </w:tcBorders>
            <w:shd w:val="clear" w:color="000000" w:fill="FFFFFF"/>
            <w:hideMark/>
          </w:tcPr>
          <w:p w14:paraId="5B45827E"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14AC0341"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2605822C"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3C5F963F"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3A13B492"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21031C08"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74B323D2" w14:textId="77777777" w:rsidTr="001B4361">
        <w:trPr>
          <w:trHeight w:val="240"/>
        </w:trPr>
        <w:tc>
          <w:tcPr>
            <w:tcW w:w="421" w:type="dxa"/>
            <w:vMerge/>
            <w:tcBorders>
              <w:top w:val="nil"/>
              <w:left w:val="single" w:sz="8" w:space="0" w:color="808080"/>
              <w:bottom w:val="single" w:sz="8" w:space="0" w:color="808080"/>
              <w:right w:val="single" w:sz="8" w:space="0" w:color="808080"/>
            </w:tcBorders>
            <w:vAlign w:val="center"/>
            <w:hideMark/>
          </w:tcPr>
          <w:p w14:paraId="1F7F30B1"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6D7BB649"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3E0D135E"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16ACD8F0"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000B3639"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492BE3AD" w14:textId="77777777" w:rsidR="00573A45" w:rsidRPr="00573A45" w:rsidRDefault="00573A45" w:rsidP="00573A45">
            <w:pPr>
              <w:rPr>
                <w:rFonts w:ascii="Tahoma" w:hAnsi="Tahoma" w:cs="Tahoma"/>
                <w:color w:val="000000"/>
                <w:sz w:val="16"/>
                <w:szCs w:val="16"/>
              </w:rPr>
            </w:pPr>
          </w:p>
        </w:tc>
        <w:tc>
          <w:tcPr>
            <w:tcW w:w="2600" w:type="dxa"/>
            <w:tcBorders>
              <w:top w:val="nil"/>
              <w:left w:val="nil"/>
              <w:bottom w:val="single" w:sz="8" w:space="0" w:color="808080"/>
              <w:right w:val="single" w:sz="8" w:space="0" w:color="808080"/>
            </w:tcBorders>
            <w:shd w:val="clear" w:color="auto" w:fill="auto"/>
            <w:hideMark/>
          </w:tcPr>
          <w:p w14:paraId="33CA3BD1"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Comprehensive income</w:t>
            </w:r>
          </w:p>
        </w:tc>
        <w:tc>
          <w:tcPr>
            <w:tcW w:w="992" w:type="dxa"/>
            <w:tcBorders>
              <w:top w:val="nil"/>
              <w:left w:val="single" w:sz="8" w:space="0" w:color="000000"/>
              <w:bottom w:val="single" w:sz="8" w:space="0" w:color="000000"/>
              <w:right w:val="single" w:sz="8" w:space="0" w:color="000000"/>
            </w:tcBorders>
            <w:shd w:val="clear" w:color="000000" w:fill="FFFFFF"/>
            <w:hideMark/>
          </w:tcPr>
          <w:p w14:paraId="70658B7A"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02A4BD43"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04FD633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07D437D0"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736DD036"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56D99843"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354DCBF2" w14:textId="77777777" w:rsidTr="001B4361">
        <w:trPr>
          <w:trHeight w:val="225"/>
        </w:trPr>
        <w:tc>
          <w:tcPr>
            <w:tcW w:w="421" w:type="dxa"/>
            <w:vMerge/>
            <w:tcBorders>
              <w:top w:val="nil"/>
              <w:left w:val="single" w:sz="8" w:space="0" w:color="808080"/>
              <w:bottom w:val="single" w:sz="8" w:space="0" w:color="808080"/>
              <w:right w:val="single" w:sz="8" w:space="0" w:color="808080"/>
            </w:tcBorders>
            <w:vAlign w:val="center"/>
            <w:hideMark/>
          </w:tcPr>
          <w:p w14:paraId="17721532"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0EA3D3D8"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3E02AD2E"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07BAA1E5"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1DE17C0D"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6E60B87D"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Issue of equity</w:t>
            </w:r>
          </w:p>
        </w:tc>
        <w:tc>
          <w:tcPr>
            <w:tcW w:w="992" w:type="dxa"/>
            <w:tcBorders>
              <w:top w:val="nil"/>
              <w:left w:val="nil"/>
              <w:bottom w:val="single" w:sz="8" w:space="0" w:color="000000"/>
              <w:right w:val="single" w:sz="8" w:space="0" w:color="000000"/>
            </w:tcBorders>
            <w:shd w:val="clear" w:color="000000" w:fill="FFFFFF"/>
            <w:hideMark/>
          </w:tcPr>
          <w:p w14:paraId="0F929557"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0577DCE3"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62619F5E"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562BCE1C"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698EF6C4"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2C9D9AF1"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498A9A60" w14:textId="77777777"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14:paraId="0495C5D4"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00D3115D"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3C4DCADE"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0F6C7554"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4EDDCBD1"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2DE0E286"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Dividends recognised as distributions to owners</w:t>
            </w:r>
          </w:p>
        </w:tc>
        <w:tc>
          <w:tcPr>
            <w:tcW w:w="992" w:type="dxa"/>
            <w:tcBorders>
              <w:top w:val="nil"/>
              <w:left w:val="nil"/>
              <w:bottom w:val="single" w:sz="8" w:space="0" w:color="000000"/>
              <w:right w:val="single" w:sz="8" w:space="0" w:color="000000"/>
            </w:tcBorders>
            <w:shd w:val="clear" w:color="000000" w:fill="FFFFFF"/>
            <w:hideMark/>
          </w:tcPr>
          <w:p w14:paraId="275F011A"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02BA14CC"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37BC7B20"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54CC4A20"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3C4493C1"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2DE51CB2"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10EE9B27" w14:textId="77777777" w:rsidTr="001B4361">
        <w:trPr>
          <w:trHeight w:val="315"/>
        </w:trPr>
        <w:tc>
          <w:tcPr>
            <w:tcW w:w="421" w:type="dxa"/>
            <w:vMerge/>
            <w:tcBorders>
              <w:top w:val="nil"/>
              <w:left w:val="single" w:sz="8" w:space="0" w:color="808080"/>
              <w:bottom w:val="single" w:sz="8" w:space="0" w:color="808080"/>
              <w:right w:val="single" w:sz="8" w:space="0" w:color="808080"/>
            </w:tcBorders>
            <w:vAlign w:val="center"/>
            <w:hideMark/>
          </w:tcPr>
          <w:p w14:paraId="65513A2D"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7831C05D"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27AD9ED5"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4AB30C59"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51ED8A4C"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20DF68E4"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through other contributions by owners</w:t>
            </w:r>
          </w:p>
        </w:tc>
        <w:tc>
          <w:tcPr>
            <w:tcW w:w="992" w:type="dxa"/>
            <w:tcBorders>
              <w:top w:val="nil"/>
              <w:left w:val="nil"/>
              <w:bottom w:val="single" w:sz="8" w:space="0" w:color="000000"/>
              <w:right w:val="single" w:sz="8" w:space="0" w:color="000000"/>
            </w:tcBorders>
            <w:shd w:val="clear" w:color="000000" w:fill="FFFFFF"/>
            <w:hideMark/>
          </w:tcPr>
          <w:p w14:paraId="35C7C028"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4B238364"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2C746A65"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09228115"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0BBEB4AF"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2E265DF0"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102D6268" w14:textId="77777777" w:rsidTr="001B4361">
        <w:trPr>
          <w:trHeight w:val="240"/>
        </w:trPr>
        <w:tc>
          <w:tcPr>
            <w:tcW w:w="421" w:type="dxa"/>
            <w:vMerge/>
            <w:tcBorders>
              <w:top w:val="nil"/>
              <w:left w:val="single" w:sz="8" w:space="0" w:color="808080"/>
              <w:bottom w:val="single" w:sz="8" w:space="0" w:color="808080"/>
              <w:right w:val="single" w:sz="8" w:space="0" w:color="808080"/>
            </w:tcBorders>
            <w:vAlign w:val="center"/>
            <w:hideMark/>
          </w:tcPr>
          <w:p w14:paraId="2CC2EE47"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4D3BDBBB"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0C6968C8"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42E57DF3"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791D9D14"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00200540"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Decrease through other distributions to owners</w:t>
            </w:r>
          </w:p>
        </w:tc>
        <w:tc>
          <w:tcPr>
            <w:tcW w:w="992" w:type="dxa"/>
            <w:tcBorders>
              <w:top w:val="nil"/>
              <w:left w:val="nil"/>
              <w:bottom w:val="single" w:sz="8" w:space="0" w:color="000000"/>
              <w:right w:val="single" w:sz="8" w:space="0" w:color="000000"/>
            </w:tcBorders>
            <w:shd w:val="clear" w:color="000000" w:fill="FFFFFF"/>
            <w:hideMark/>
          </w:tcPr>
          <w:p w14:paraId="67761AD3"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38F001CC"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6A81BB9C"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0E073AF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466E1A21"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08ED3C42"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1A5B8983" w14:textId="77777777" w:rsidTr="001B4361">
        <w:trPr>
          <w:trHeight w:val="465"/>
        </w:trPr>
        <w:tc>
          <w:tcPr>
            <w:tcW w:w="421" w:type="dxa"/>
            <w:vMerge/>
            <w:tcBorders>
              <w:top w:val="nil"/>
              <w:left w:val="single" w:sz="8" w:space="0" w:color="808080"/>
              <w:bottom w:val="single" w:sz="8" w:space="0" w:color="808080"/>
              <w:right w:val="single" w:sz="8" w:space="0" w:color="808080"/>
            </w:tcBorders>
            <w:vAlign w:val="center"/>
            <w:hideMark/>
          </w:tcPr>
          <w:p w14:paraId="3824ECA0"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7B967C7B"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57326A07"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441A6563"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43B04E72"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5DBE5031"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through transfers and other changes, equity</w:t>
            </w:r>
          </w:p>
        </w:tc>
        <w:tc>
          <w:tcPr>
            <w:tcW w:w="992" w:type="dxa"/>
            <w:tcBorders>
              <w:top w:val="nil"/>
              <w:left w:val="nil"/>
              <w:bottom w:val="single" w:sz="8" w:space="0" w:color="000000"/>
              <w:right w:val="single" w:sz="8" w:space="0" w:color="000000"/>
            </w:tcBorders>
            <w:shd w:val="clear" w:color="000000" w:fill="FFFFFF"/>
            <w:hideMark/>
          </w:tcPr>
          <w:p w14:paraId="69174D67"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3E014DF2"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53181B7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5EE2D3A3"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3EDDF685"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64473224"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62FE79A8" w14:textId="77777777" w:rsidTr="001B4361">
        <w:trPr>
          <w:trHeight w:val="465"/>
        </w:trPr>
        <w:tc>
          <w:tcPr>
            <w:tcW w:w="421" w:type="dxa"/>
            <w:vMerge/>
            <w:tcBorders>
              <w:top w:val="nil"/>
              <w:left w:val="single" w:sz="8" w:space="0" w:color="808080"/>
              <w:bottom w:val="single" w:sz="8" w:space="0" w:color="808080"/>
              <w:right w:val="single" w:sz="8" w:space="0" w:color="808080"/>
            </w:tcBorders>
            <w:vAlign w:val="center"/>
            <w:hideMark/>
          </w:tcPr>
          <w:p w14:paraId="44B738C9"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440A5AD3"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5C4B2864"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4A597911"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65865ADD"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6E58BA62"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through treasury share transactions</w:t>
            </w:r>
          </w:p>
        </w:tc>
        <w:tc>
          <w:tcPr>
            <w:tcW w:w="992" w:type="dxa"/>
            <w:tcBorders>
              <w:top w:val="nil"/>
              <w:left w:val="nil"/>
              <w:bottom w:val="single" w:sz="8" w:space="0" w:color="000000"/>
              <w:right w:val="single" w:sz="8" w:space="0" w:color="000000"/>
            </w:tcBorders>
            <w:shd w:val="clear" w:color="000000" w:fill="FFFFFF"/>
            <w:hideMark/>
          </w:tcPr>
          <w:p w14:paraId="5CF3233B"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769B8258"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46E46A1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43C70BEF"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4621BB45"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171A320A"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7FD5FC0E" w14:textId="77777777" w:rsidTr="001B4361">
        <w:trPr>
          <w:trHeight w:val="705"/>
        </w:trPr>
        <w:tc>
          <w:tcPr>
            <w:tcW w:w="421" w:type="dxa"/>
            <w:vMerge/>
            <w:tcBorders>
              <w:top w:val="nil"/>
              <w:left w:val="single" w:sz="8" w:space="0" w:color="808080"/>
              <w:bottom w:val="single" w:sz="8" w:space="0" w:color="808080"/>
              <w:right w:val="single" w:sz="8" w:space="0" w:color="808080"/>
            </w:tcBorders>
            <w:vAlign w:val="center"/>
            <w:hideMark/>
          </w:tcPr>
          <w:p w14:paraId="578DFB92"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7CF8EC33"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748A4A66"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78551E37"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74752B39"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4E0824AA"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through changes in ownership interests in subsidiaries that do not result in loss of control</w:t>
            </w:r>
          </w:p>
        </w:tc>
        <w:tc>
          <w:tcPr>
            <w:tcW w:w="992" w:type="dxa"/>
            <w:tcBorders>
              <w:top w:val="nil"/>
              <w:left w:val="nil"/>
              <w:bottom w:val="single" w:sz="8" w:space="0" w:color="000000"/>
              <w:right w:val="single" w:sz="8" w:space="0" w:color="000000"/>
            </w:tcBorders>
            <w:shd w:val="clear" w:color="000000" w:fill="FFFFFF"/>
            <w:hideMark/>
          </w:tcPr>
          <w:p w14:paraId="29736A72"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4BC76557"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3B8790D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5ACCB14B"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79BA69A0"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7F732817"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16CE8798" w14:textId="77777777" w:rsidTr="001B4361">
        <w:trPr>
          <w:trHeight w:val="450"/>
        </w:trPr>
        <w:tc>
          <w:tcPr>
            <w:tcW w:w="421" w:type="dxa"/>
            <w:vMerge/>
            <w:tcBorders>
              <w:top w:val="nil"/>
              <w:left w:val="single" w:sz="8" w:space="0" w:color="808080"/>
              <w:bottom w:val="single" w:sz="8" w:space="0" w:color="808080"/>
              <w:right w:val="single" w:sz="8" w:space="0" w:color="808080"/>
            </w:tcBorders>
            <w:vAlign w:val="center"/>
            <w:hideMark/>
          </w:tcPr>
          <w:p w14:paraId="4F338F1C"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0805FFEA"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69376635"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0D58F3EC"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28925118"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103DCD94"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through share-based payment transactions</w:t>
            </w:r>
          </w:p>
        </w:tc>
        <w:tc>
          <w:tcPr>
            <w:tcW w:w="992" w:type="dxa"/>
            <w:tcBorders>
              <w:top w:val="nil"/>
              <w:left w:val="nil"/>
              <w:bottom w:val="single" w:sz="8" w:space="0" w:color="000000"/>
              <w:right w:val="single" w:sz="8" w:space="0" w:color="000000"/>
            </w:tcBorders>
            <w:shd w:val="clear" w:color="000000" w:fill="FFFFFF"/>
            <w:hideMark/>
          </w:tcPr>
          <w:p w14:paraId="2E0461A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79236164"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5D5C20BA"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326072E3"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392436D9"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3D58E824"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r w:rsidR="00573A45" w:rsidRPr="00573A45" w14:paraId="65E74A27" w14:textId="77777777" w:rsidTr="001B4361">
        <w:trPr>
          <w:trHeight w:val="255"/>
        </w:trPr>
        <w:tc>
          <w:tcPr>
            <w:tcW w:w="421" w:type="dxa"/>
            <w:vMerge/>
            <w:tcBorders>
              <w:top w:val="nil"/>
              <w:left w:val="single" w:sz="8" w:space="0" w:color="808080"/>
              <w:bottom w:val="single" w:sz="8" w:space="0" w:color="808080"/>
              <w:right w:val="single" w:sz="8" w:space="0" w:color="808080"/>
            </w:tcBorders>
            <w:vAlign w:val="center"/>
            <w:hideMark/>
          </w:tcPr>
          <w:p w14:paraId="0C3495E2" w14:textId="77777777" w:rsidR="00573A45" w:rsidRPr="00573A45" w:rsidRDefault="00573A45" w:rsidP="00573A45">
            <w:pPr>
              <w:rPr>
                <w:rFonts w:ascii="Tahoma" w:hAnsi="Tahoma" w:cs="Tahoma"/>
                <w:color w:val="000000"/>
                <w:sz w:val="16"/>
                <w:szCs w:val="16"/>
              </w:rPr>
            </w:pPr>
          </w:p>
        </w:tc>
        <w:tc>
          <w:tcPr>
            <w:tcW w:w="421" w:type="dxa"/>
            <w:vMerge/>
            <w:tcBorders>
              <w:top w:val="nil"/>
              <w:left w:val="single" w:sz="8" w:space="0" w:color="808080"/>
              <w:bottom w:val="single" w:sz="8" w:space="0" w:color="808080"/>
              <w:right w:val="single" w:sz="8" w:space="0" w:color="808080"/>
            </w:tcBorders>
            <w:vAlign w:val="center"/>
            <w:hideMark/>
          </w:tcPr>
          <w:p w14:paraId="5866B366" w14:textId="77777777" w:rsidR="00573A45" w:rsidRPr="00573A45" w:rsidRDefault="00573A45" w:rsidP="00573A45">
            <w:pPr>
              <w:rPr>
                <w:rFonts w:ascii="Tahoma" w:hAnsi="Tahoma" w:cs="Tahoma"/>
                <w:color w:val="000000"/>
                <w:sz w:val="16"/>
                <w:szCs w:val="16"/>
              </w:rPr>
            </w:pPr>
          </w:p>
        </w:tc>
        <w:tc>
          <w:tcPr>
            <w:tcW w:w="322" w:type="dxa"/>
            <w:vMerge/>
            <w:tcBorders>
              <w:top w:val="nil"/>
              <w:left w:val="single" w:sz="8" w:space="0" w:color="808080"/>
              <w:bottom w:val="single" w:sz="8" w:space="0" w:color="808080"/>
              <w:right w:val="single" w:sz="8" w:space="0" w:color="808080"/>
            </w:tcBorders>
            <w:vAlign w:val="center"/>
            <w:hideMark/>
          </w:tcPr>
          <w:p w14:paraId="76FD4803" w14:textId="77777777" w:rsidR="00573A45" w:rsidRPr="00573A45" w:rsidRDefault="00573A45" w:rsidP="00573A45">
            <w:pPr>
              <w:rPr>
                <w:rFonts w:ascii="Tahoma" w:hAnsi="Tahoma" w:cs="Tahoma"/>
                <w:color w:val="000000"/>
                <w:sz w:val="16"/>
                <w:szCs w:val="16"/>
              </w:rPr>
            </w:pPr>
          </w:p>
        </w:tc>
        <w:tc>
          <w:tcPr>
            <w:tcW w:w="337" w:type="dxa"/>
            <w:vMerge/>
            <w:tcBorders>
              <w:top w:val="nil"/>
              <w:left w:val="single" w:sz="8" w:space="0" w:color="808080"/>
              <w:bottom w:val="single" w:sz="8" w:space="0" w:color="808080"/>
              <w:right w:val="single" w:sz="8" w:space="0" w:color="808080"/>
            </w:tcBorders>
            <w:vAlign w:val="center"/>
            <w:hideMark/>
          </w:tcPr>
          <w:p w14:paraId="6DC093DF" w14:textId="77777777" w:rsidR="00573A45" w:rsidRPr="00573A45" w:rsidRDefault="00573A45" w:rsidP="00573A45">
            <w:pPr>
              <w:rPr>
                <w:rFonts w:ascii="Tahoma" w:hAnsi="Tahoma" w:cs="Tahoma"/>
                <w:color w:val="000000"/>
                <w:sz w:val="16"/>
                <w:szCs w:val="16"/>
              </w:rPr>
            </w:pPr>
          </w:p>
        </w:tc>
        <w:tc>
          <w:tcPr>
            <w:tcW w:w="367" w:type="dxa"/>
            <w:vMerge/>
            <w:tcBorders>
              <w:top w:val="nil"/>
              <w:left w:val="single" w:sz="8" w:space="0" w:color="808080"/>
              <w:bottom w:val="single" w:sz="8" w:space="0" w:color="808080"/>
              <w:right w:val="single" w:sz="8" w:space="0" w:color="808080"/>
            </w:tcBorders>
            <w:vAlign w:val="center"/>
            <w:hideMark/>
          </w:tcPr>
          <w:p w14:paraId="0FF5CAB9" w14:textId="77777777" w:rsidR="00573A45" w:rsidRPr="00573A45" w:rsidRDefault="00573A45" w:rsidP="00573A45">
            <w:pPr>
              <w:rPr>
                <w:rFonts w:ascii="Tahoma" w:hAnsi="Tahoma" w:cs="Tahoma"/>
                <w:color w:val="000000"/>
                <w:sz w:val="16"/>
                <w:szCs w:val="16"/>
              </w:rPr>
            </w:pPr>
          </w:p>
        </w:tc>
        <w:tc>
          <w:tcPr>
            <w:tcW w:w="2967" w:type="dxa"/>
            <w:gridSpan w:val="2"/>
            <w:tcBorders>
              <w:top w:val="single" w:sz="8" w:space="0" w:color="808080"/>
              <w:left w:val="nil"/>
              <w:bottom w:val="single" w:sz="8" w:space="0" w:color="808080"/>
              <w:right w:val="single" w:sz="8" w:space="0" w:color="000000"/>
            </w:tcBorders>
            <w:shd w:val="clear" w:color="auto" w:fill="auto"/>
            <w:hideMark/>
          </w:tcPr>
          <w:p w14:paraId="636EE6A8" w14:textId="77777777" w:rsidR="00573A45" w:rsidRPr="00573A45" w:rsidRDefault="00573A45" w:rsidP="00573A45">
            <w:pPr>
              <w:rPr>
                <w:rFonts w:ascii="Tahoma" w:hAnsi="Tahoma" w:cs="Tahoma"/>
                <w:color w:val="000000"/>
                <w:sz w:val="16"/>
                <w:szCs w:val="16"/>
              </w:rPr>
            </w:pPr>
            <w:r w:rsidRPr="00573A45">
              <w:rPr>
                <w:rFonts w:ascii="Tahoma" w:hAnsi="Tahoma" w:cs="Tahoma"/>
                <w:color w:val="000000"/>
                <w:sz w:val="16"/>
                <w:szCs w:val="16"/>
              </w:rPr>
              <w:t>Increase (decrease) in equity</w:t>
            </w:r>
          </w:p>
        </w:tc>
        <w:tc>
          <w:tcPr>
            <w:tcW w:w="992" w:type="dxa"/>
            <w:tcBorders>
              <w:top w:val="nil"/>
              <w:left w:val="nil"/>
              <w:bottom w:val="single" w:sz="8" w:space="0" w:color="000000"/>
              <w:right w:val="single" w:sz="8" w:space="0" w:color="000000"/>
            </w:tcBorders>
            <w:shd w:val="clear" w:color="000000" w:fill="FFFFFF"/>
            <w:hideMark/>
          </w:tcPr>
          <w:p w14:paraId="3093B7DD"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134" w:type="dxa"/>
            <w:tcBorders>
              <w:top w:val="nil"/>
              <w:left w:val="nil"/>
              <w:bottom w:val="single" w:sz="8" w:space="0" w:color="000000"/>
              <w:right w:val="single" w:sz="8" w:space="0" w:color="000000"/>
            </w:tcBorders>
            <w:shd w:val="clear" w:color="000000" w:fill="FFFFFF"/>
            <w:hideMark/>
          </w:tcPr>
          <w:p w14:paraId="2E01644A"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1028" w:type="dxa"/>
            <w:tcBorders>
              <w:top w:val="nil"/>
              <w:left w:val="nil"/>
              <w:bottom w:val="single" w:sz="8" w:space="0" w:color="000000"/>
              <w:right w:val="single" w:sz="8" w:space="0" w:color="000000"/>
            </w:tcBorders>
            <w:shd w:val="clear" w:color="000000" w:fill="FFFFFF"/>
            <w:hideMark/>
          </w:tcPr>
          <w:p w14:paraId="06713DE8"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922" w:type="dxa"/>
            <w:tcBorders>
              <w:top w:val="nil"/>
              <w:left w:val="nil"/>
              <w:bottom w:val="single" w:sz="8" w:space="0" w:color="000000"/>
              <w:right w:val="single" w:sz="8" w:space="0" w:color="000000"/>
            </w:tcBorders>
            <w:shd w:val="clear" w:color="000000" w:fill="FFFFFF"/>
            <w:hideMark/>
          </w:tcPr>
          <w:p w14:paraId="4160AAA6"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363" w:type="dxa"/>
            <w:tcBorders>
              <w:top w:val="nil"/>
              <w:left w:val="nil"/>
              <w:bottom w:val="single" w:sz="8" w:space="0" w:color="000000"/>
              <w:right w:val="single" w:sz="8" w:space="0" w:color="000000"/>
            </w:tcBorders>
            <w:shd w:val="clear" w:color="000000" w:fill="FFFFFF"/>
            <w:hideMark/>
          </w:tcPr>
          <w:p w14:paraId="347F7314" w14:textId="77777777" w:rsidR="00573A45" w:rsidRPr="00573A45" w:rsidRDefault="00573A45" w:rsidP="00573A45">
            <w:pPr>
              <w:jc w:val="right"/>
              <w:rPr>
                <w:rFonts w:ascii="Tahoma" w:hAnsi="Tahoma" w:cs="Tahoma"/>
                <w:color w:val="000000"/>
                <w:sz w:val="16"/>
                <w:szCs w:val="16"/>
              </w:rPr>
            </w:pPr>
            <w:r w:rsidRPr="00573A45">
              <w:rPr>
                <w:rFonts w:ascii="Tahoma" w:hAnsi="Tahoma" w:cs="Tahoma"/>
                <w:color w:val="000000"/>
                <w:sz w:val="16"/>
                <w:szCs w:val="16"/>
              </w:rPr>
              <w:t>X</w:t>
            </w:r>
          </w:p>
        </w:tc>
        <w:tc>
          <w:tcPr>
            <w:tcW w:w="266" w:type="dxa"/>
            <w:tcBorders>
              <w:top w:val="nil"/>
              <w:left w:val="nil"/>
              <w:bottom w:val="single" w:sz="8" w:space="0" w:color="000000"/>
              <w:right w:val="single" w:sz="8" w:space="0" w:color="000000"/>
            </w:tcBorders>
            <w:shd w:val="clear" w:color="auto" w:fill="auto"/>
            <w:hideMark/>
          </w:tcPr>
          <w:p w14:paraId="186E98C4" w14:textId="77777777" w:rsidR="00573A45" w:rsidRPr="00573A45" w:rsidRDefault="00573A45" w:rsidP="00573A45">
            <w:pPr>
              <w:jc w:val="right"/>
              <w:rPr>
                <w:rFonts w:ascii="Calibri" w:hAnsi="Calibri"/>
                <w:color w:val="000000"/>
                <w:szCs w:val="22"/>
              </w:rPr>
            </w:pPr>
            <w:r w:rsidRPr="00573A45">
              <w:rPr>
                <w:rFonts w:ascii="Calibri" w:hAnsi="Calibri"/>
                <w:color w:val="000000"/>
                <w:szCs w:val="22"/>
              </w:rPr>
              <w:t> </w:t>
            </w:r>
          </w:p>
        </w:tc>
      </w:tr>
    </w:tbl>
    <w:p w14:paraId="7514A7C9" w14:textId="77777777" w:rsidR="007F0AB5" w:rsidRDefault="007F0AB5" w:rsidP="005A1A89">
      <w:pPr>
        <w:pStyle w:val="Head2"/>
        <w:numPr>
          <w:ilvl w:val="0"/>
          <w:numId w:val="0"/>
        </w:numPr>
        <w:sectPr w:rsidR="007F0AB5" w:rsidSect="00F637FF">
          <w:headerReference w:type="even" r:id="rId27"/>
          <w:headerReference w:type="default" r:id="rId28"/>
          <w:footerReference w:type="even" r:id="rId29"/>
          <w:footerReference w:type="default" r:id="rId30"/>
          <w:headerReference w:type="first" r:id="rId31"/>
          <w:footerReference w:type="first" r:id="rId32"/>
          <w:pgSz w:w="11906" w:h="16838" w:code="9"/>
          <w:pgMar w:top="1814" w:right="566" w:bottom="1418" w:left="1276" w:header="425" w:footer="680" w:gutter="0"/>
          <w:cols w:space="708"/>
          <w:formProt w:val="0"/>
          <w:docGrid w:linePitch="360"/>
        </w:sectPr>
      </w:pPr>
    </w:p>
    <w:p w14:paraId="3475C042" w14:textId="18229353" w:rsidR="001B7B13" w:rsidRDefault="00FB1E0E" w:rsidP="007924A0">
      <w:pPr>
        <w:pStyle w:val="Head2"/>
        <w:tabs>
          <w:tab w:val="clear" w:pos="1144"/>
        </w:tabs>
        <w:ind w:left="426" w:hanging="426"/>
      </w:pPr>
      <w:bookmarkStart w:id="169" w:name="_Toc205457959"/>
      <w:r>
        <w:t>S</w:t>
      </w:r>
      <w:r w:rsidR="001B7B13">
        <w:t xml:space="preserve">tructure of the </w:t>
      </w:r>
      <w:r w:rsidR="00FC3CEC">
        <w:t xml:space="preserve">IFRS AU Taxonomy </w:t>
      </w:r>
      <w:r w:rsidR="00442B0D">
        <w:t>2025</w:t>
      </w:r>
      <w:bookmarkEnd w:id="169"/>
    </w:p>
    <w:p w14:paraId="245D6FBB" w14:textId="77777777" w:rsidR="003A2E43" w:rsidRDefault="003A2E43" w:rsidP="00D07281">
      <w:pPr>
        <w:pStyle w:val="Head3"/>
        <w:spacing w:after="120"/>
      </w:pPr>
      <w:bookmarkStart w:id="170" w:name="_Toc205457960"/>
      <w:r w:rsidRPr="005819BE">
        <w:t>Folders and file structures</w:t>
      </w:r>
      <w:bookmarkEnd w:id="170"/>
    </w:p>
    <w:p w14:paraId="2F9424EA" w14:textId="31543BDD" w:rsidR="008671B6" w:rsidRDefault="008671B6" w:rsidP="007F0AB5">
      <w:pPr>
        <w:autoSpaceDE w:val="0"/>
        <w:autoSpaceDN w:val="0"/>
        <w:adjustRightInd w:val="0"/>
        <w:rPr>
          <w:sz w:val="20"/>
          <w:szCs w:val="20"/>
        </w:rPr>
      </w:pPr>
      <w:r w:rsidRPr="00B35B7B">
        <w:rPr>
          <w:sz w:val="20"/>
          <w:szCs w:val="20"/>
        </w:rPr>
        <w:t xml:space="preserve">Taxonomy structure refers to the general composition of the files and folders within </w:t>
      </w:r>
      <w:r w:rsidR="00A916E6" w:rsidRPr="00B35B7B">
        <w:rPr>
          <w:sz w:val="20"/>
          <w:szCs w:val="20"/>
        </w:rPr>
        <w:t>taxonomy</w:t>
      </w:r>
      <w:r w:rsidRPr="00B35B7B">
        <w:rPr>
          <w:sz w:val="20"/>
          <w:szCs w:val="20"/>
        </w:rPr>
        <w:t xml:space="preserve">. In the </w:t>
      </w:r>
      <w:r w:rsidR="00FC3CEC">
        <w:rPr>
          <w:sz w:val="20"/>
          <w:szCs w:val="20"/>
        </w:rPr>
        <w:t xml:space="preserve">IFRS AU Taxonomy </w:t>
      </w:r>
      <w:r w:rsidR="00442B0D">
        <w:rPr>
          <w:sz w:val="20"/>
          <w:szCs w:val="20"/>
        </w:rPr>
        <w:t>2025</w:t>
      </w:r>
      <w:r w:rsidRPr="00B35B7B">
        <w:rPr>
          <w:sz w:val="20"/>
          <w:szCs w:val="20"/>
        </w:rPr>
        <w:t>, files are</w:t>
      </w:r>
      <w:r w:rsidR="00D07281">
        <w:rPr>
          <w:sz w:val="20"/>
          <w:szCs w:val="20"/>
        </w:rPr>
        <w:t xml:space="preserve"> </w:t>
      </w:r>
      <w:r w:rsidRPr="00B35B7B">
        <w:rPr>
          <w:sz w:val="20"/>
          <w:szCs w:val="20"/>
        </w:rPr>
        <w:t xml:space="preserve">placed in a folder structure as shown in </w:t>
      </w:r>
      <w:r w:rsidR="00D07281">
        <w:rPr>
          <w:sz w:val="20"/>
          <w:szCs w:val="20"/>
        </w:rPr>
        <w:t xml:space="preserve">Illustration </w:t>
      </w:r>
      <w:r w:rsidR="005606A9">
        <w:rPr>
          <w:sz w:val="20"/>
          <w:szCs w:val="20"/>
        </w:rPr>
        <w:t xml:space="preserve">5 </w:t>
      </w:r>
      <w:r w:rsidR="00D07281">
        <w:rPr>
          <w:sz w:val="20"/>
          <w:szCs w:val="20"/>
        </w:rPr>
        <w:t>below</w:t>
      </w:r>
      <w:r w:rsidRPr="00B35B7B">
        <w:rPr>
          <w:sz w:val="20"/>
          <w:szCs w:val="20"/>
        </w:rPr>
        <w:t xml:space="preserve">. </w:t>
      </w:r>
    </w:p>
    <w:p w14:paraId="0936F796" w14:textId="77777777" w:rsidR="00B80E5D" w:rsidRDefault="00B80E5D" w:rsidP="007F0AB5">
      <w:pPr>
        <w:autoSpaceDE w:val="0"/>
        <w:autoSpaceDN w:val="0"/>
        <w:adjustRightInd w:val="0"/>
        <w:rPr>
          <w:sz w:val="20"/>
          <w:szCs w:val="20"/>
        </w:rPr>
      </w:pPr>
    </w:p>
    <w:p w14:paraId="6158DF86" w14:textId="77777777" w:rsidR="005573C0" w:rsidRPr="00944861" w:rsidRDefault="00D07281" w:rsidP="00F069A2">
      <w:pPr>
        <w:pStyle w:val="ListParagraph"/>
        <w:numPr>
          <w:ilvl w:val="0"/>
          <w:numId w:val="36"/>
        </w:numPr>
        <w:ind w:left="0" w:firstLine="0"/>
        <w:rPr>
          <w:b/>
          <w:sz w:val="18"/>
          <w:szCs w:val="18"/>
        </w:rPr>
      </w:pPr>
      <w:r w:rsidRPr="00944861">
        <w:rPr>
          <w:b/>
          <w:sz w:val="18"/>
          <w:szCs w:val="18"/>
        </w:rPr>
        <w:t>Folders and files structure</w:t>
      </w:r>
    </w:p>
    <w:p w14:paraId="29841290" w14:textId="77777777" w:rsidR="00867885" w:rsidRDefault="00E845BF" w:rsidP="008671B6">
      <w:pPr>
        <w:pStyle w:val="Maintext"/>
      </w:pPr>
      <w:r>
        <w:rPr>
          <w:noProof/>
        </w:rPr>
        <mc:AlternateContent>
          <mc:Choice Requires="wps">
            <w:drawing>
              <wp:anchor distT="0" distB="0" distL="114300" distR="114300" simplePos="0" relativeHeight="251707904" behindDoc="0" locked="0" layoutInCell="1" allowOverlap="1" wp14:anchorId="1B19DC1E" wp14:editId="4A1E21E5">
                <wp:simplePos x="0" y="0"/>
                <wp:positionH relativeFrom="column">
                  <wp:posOffset>212090</wp:posOffset>
                </wp:positionH>
                <wp:positionV relativeFrom="paragraph">
                  <wp:posOffset>990600</wp:posOffset>
                </wp:positionV>
                <wp:extent cx="750570" cy="172085"/>
                <wp:effectExtent l="12065" t="9525" r="8890" b="889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172085"/>
                        </a:xfrm>
                        <a:prstGeom prst="flowChartProcess">
                          <a:avLst/>
                        </a:prstGeom>
                        <a:solidFill>
                          <a:schemeClr val="bg1">
                            <a:lumMod val="6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71A42F94" id="_x0000_t109" coordsize="21600,21600" o:spt="109" path="m,l,21600r21600,l21600,xe">
                <v:stroke joinstyle="miter"/>
                <v:path gradientshapeok="t" o:connecttype="rect"/>
              </v:shapetype>
              <v:shape id="AutoShape 7" o:spid="_x0000_s1026" type="#_x0000_t109" style="position:absolute;margin-left:16.7pt;margin-top:78pt;width:59.1pt;height:13.5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" fillcolor="#a5a5a5 [2092]"/>
            </w:pict>
          </mc:Fallback>
        </mc:AlternateContent>
      </w:r>
      <w:r>
        <w:rPr>
          <w:noProof/>
        </w:rPr>
        <mc:AlternateContent>
          <mc:Choice Requires="wps">
            <w:drawing>
              <wp:anchor distT="0" distB="0" distL="114300" distR="114300" simplePos="0" relativeHeight="251706880" behindDoc="0" locked="0" layoutInCell="1" allowOverlap="1" wp14:anchorId="01073479" wp14:editId="0C74B71D">
                <wp:simplePos x="0" y="0"/>
                <wp:positionH relativeFrom="column">
                  <wp:posOffset>212090</wp:posOffset>
                </wp:positionH>
                <wp:positionV relativeFrom="paragraph">
                  <wp:posOffset>567690</wp:posOffset>
                </wp:positionV>
                <wp:extent cx="328295" cy="259080"/>
                <wp:effectExtent l="12065" t="5715" r="12065" b="1143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 cy="259080"/>
                        </a:xfrm>
                        <a:prstGeom prst="flowChartDocumen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2A8E98C7"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6" o:spid="_x0000_s1026" type="#_x0000_t114" style="position:absolute;margin-left:16.7pt;margin-top:44.7pt;width:25.85pt;height:20.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" fillcolor="#ffc000"/>
            </w:pict>
          </mc:Fallback>
        </mc:AlternateContent>
      </w:r>
      <w:r>
        <w:rPr>
          <w:noProof/>
        </w:rPr>
        <mc:AlternateContent>
          <mc:Choice Requires="wps">
            <w:drawing>
              <wp:anchor distT="0" distB="0" distL="114300" distR="114300" simplePos="0" relativeHeight="251705856" behindDoc="0" locked="0" layoutInCell="1" allowOverlap="1" wp14:anchorId="74A18D01" wp14:editId="74AB50EA">
                <wp:simplePos x="0" y="0"/>
                <wp:positionH relativeFrom="column">
                  <wp:posOffset>57150</wp:posOffset>
                </wp:positionH>
                <wp:positionV relativeFrom="paragraph">
                  <wp:posOffset>274320</wp:posOffset>
                </wp:positionV>
                <wp:extent cx="3666490" cy="1561465"/>
                <wp:effectExtent l="9525" t="7620" r="10160"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6490" cy="1561465"/>
                        </a:xfrm>
                        <a:prstGeom prst="rect">
                          <a:avLst/>
                        </a:prstGeom>
                        <a:solidFill>
                          <a:srgbClr val="FFFFFF"/>
                        </a:solidFill>
                        <a:ln w="9525">
                          <a:solidFill>
                            <a:srgbClr val="000000"/>
                          </a:solidFill>
                          <a:miter lim="800000"/>
                          <a:headEnd/>
                          <a:tailEnd/>
                        </a:ln>
                      </wps:spPr>
                      <wps:txbx>
                        <w:txbxContent>
                          <w:p w14:paraId="182BE2BA" w14:textId="77777777" w:rsidR="00FE1052" w:rsidRPr="001C0B74" w:rsidRDefault="00FE1052">
                            <w:pPr>
                              <w:rPr>
                                <w:b/>
                                <w:sz w:val="18"/>
                                <w:szCs w:val="18"/>
                              </w:rPr>
                            </w:pPr>
                            <w:r w:rsidRPr="001C0B74">
                              <w:rPr>
                                <w:b/>
                                <w:sz w:val="18"/>
                                <w:szCs w:val="18"/>
                              </w:rPr>
                              <w:t>Legend:</w:t>
                            </w:r>
                          </w:p>
                          <w:p w14:paraId="66A5A6AD" w14:textId="77777777" w:rsidR="00FE1052" w:rsidRDefault="00FE1052">
                            <w:pPr>
                              <w:rPr>
                                <w:sz w:val="18"/>
                                <w:szCs w:val="18"/>
                              </w:rPr>
                            </w:pPr>
                          </w:p>
                          <w:p w14:paraId="7BF82205" w14:textId="77777777" w:rsidR="00FE1052" w:rsidRDefault="00FE1052">
                            <w:pPr>
                              <w:rPr>
                                <w:sz w:val="18"/>
                                <w:szCs w:val="18"/>
                              </w:rPr>
                            </w:pPr>
                            <w:r>
                              <w:rPr>
                                <w:sz w:val="18"/>
                                <w:szCs w:val="18"/>
                              </w:rPr>
                              <w:tab/>
                              <w:t>representing a folder</w:t>
                            </w:r>
                          </w:p>
                          <w:p w14:paraId="793E1E96" w14:textId="77777777" w:rsidR="00FE1052" w:rsidRDefault="00FE1052">
                            <w:pPr>
                              <w:rPr>
                                <w:sz w:val="18"/>
                                <w:szCs w:val="18"/>
                              </w:rPr>
                            </w:pPr>
                          </w:p>
                          <w:p w14:paraId="5F285B99" w14:textId="77777777" w:rsidR="00FE1052" w:rsidRDefault="00FE1052">
                            <w:pPr>
                              <w:rPr>
                                <w:sz w:val="18"/>
                                <w:szCs w:val="18"/>
                              </w:rPr>
                            </w:pPr>
                          </w:p>
                          <w:p w14:paraId="2A4EE735" w14:textId="77777777" w:rsidR="00FE1052" w:rsidRDefault="00FE1052">
                            <w:pPr>
                              <w:rPr>
                                <w:sz w:val="18"/>
                                <w:szCs w:val="18"/>
                              </w:rPr>
                            </w:pPr>
                            <w:r>
                              <w:rPr>
                                <w:sz w:val="18"/>
                                <w:szCs w:val="18"/>
                              </w:rPr>
                              <w:tab/>
                            </w:r>
                            <w:r>
                              <w:rPr>
                                <w:sz w:val="18"/>
                                <w:szCs w:val="18"/>
                              </w:rPr>
                              <w:tab/>
                              <w:t>representing a file (schema or entry points)</w:t>
                            </w:r>
                          </w:p>
                          <w:p w14:paraId="3008A1F0" w14:textId="77777777" w:rsidR="00FE1052" w:rsidRDefault="00FE1052">
                            <w:pPr>
                              <w:rPr>
                                <w:sz w:val="18"/>
                                <w:szCs w:val="18"/>
                              </w:rPr>
                            </w:pPr>
                          </w:p>
                          <w:p w14:paraId="56394B2E" w14:textId="77777777" w:rsidR="00FE1052" w:rsidRDefault="00FE1052">
                            <w:pPr>
                              <w:rPr>
                                <w:sz w:val="18"/>
                                <w:szCs w:val="18"/>
                              </w:rPr>
                            </w:pPr>
                          </w:p>
                          <w:p w14:paraId="6F05F920" w14:textId="5D96BF30" w:rsidR="00FE1052" w:rsidRPr="004B2328" w:rsidRDefault="00FE1052">
                            <w:pPr>
                              <w:rPr>
                                <w:sz w:val="18"/>
                                <w:szCs w:val="18"/>
                              </w:rPr>
                            </w:pPr>
                            <w:r>
                              <w:rPr>
                                <w:sz w:val="18"/>
                                <w:szCs w:val="18"/>
                              </w:rPr>
                              <w:t>Note (*): folder “full_ifrs” is copied across from the IFRS Taxonomy 202</w:t>
                            </w:r>
                            <w:r w:rsidR="00B83ED2">
                              <w:rPr>
                                <w:sz w:val="18"/>
                                <w:szCs w:val="18"/>
                              </w:rPr>
                              <w:t>5</w:t>
                            </w:r>
                            <w:r>
                              <w:rPr>
                                <w:sz w:val="18"/>
                                <w:szCs w:val="18"/>
                              </w:rPr>
                              <w:t xml:space="preserve"> as is.  This folder contains IFRS taxonomy linkbases and the coreschema.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18D01" id="_x0000_t202" coordsize="21600,21600" o:spt="202" path="m,l,21600r21600,l21600,xe">
                <v:stroke joinstyle="miter"/>
                <v:path gradientshapeok="t" o:connecttype="rect"/>
              </v:shapetype>
              <v:shape id="Text Box 5" o:spid="_x0000_s1026" type="#_x0000_t202" style="position:absolute;margin-left:4.5pt;margin-top:21.6pt;width:288.7pt;height:122.9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">
                <v:textbox>
                  <w:txbxContent>
                    <w:p w14:paraId="182BE2BA" w14:textId="77777777" w:rsidR="00FE1052" w:rsidRPr="001C0B74" w:rsidRDefault="00FE1052">
                      <w:pPr>
                        <w:rPr>
                          <w:b/>
                          <w:sz w:val="18"/>
                          <w:szCs w:val="18"/>
                        </w:rPr>
                      </w:pPr>
                      <w:r w:rsidRPr="001C0B74">
                        <w:rPr>
                          <w:b/>
                          <w:sz w:val="18"/>
                          <w:szCs w:val="18"/>
                        </w:rPr>
                        <w:t>Legend:</w:t>
                      </w:r>
                    </w:p>
                    <w:p w14:paraId="66A5A6AD" w14:textId="77777777" w:rsidR="00FE1052" w:rsidRDefault="00FE1052">
                      <w:pPr>
                        <w:rPr>
                          <w:sz w:val="18"/>
                          <w:szCs w:val="18"/>
                        </w:rPr>
                      </w:pPr>
                    </w:p>
                    <w:p w14:paraId="7BF82205" w14:textId="77777777" w:rsidR="00FE1052" w:rsidRDefault="00FE1052">
                      <w:pPr>
                        <w:rPr>
                          <w:sz w:val="18"/>
                          <w:szCs w:val="18"/>
                        </w:rPr>
                      </w:pPr>
                      <w:r>
                        <w:rPr>
                          <w:sz w:val="18"/>
                          <w:szCs w:val="18"/>
                        </w:rPr>
                        <w:tab/>
                        <w:t>representing a folder</w:t>
                      </w:r>
                    </w:p>
                    <w:p w14:paraId="793E1E96" w14:textId="77777777" w:rsidR="00FE1052" w:rsidRDefault="00FE1052">
                      <w:pPr>
                        <w:rPr>
                          <w:sz w:val="18"/>
                          <w:szCs w:val="18"/>
                        </w:rPr>
                      </w:pPr>
                    </w:p>
                    <w:p w14:paraId="5F285B99" w14:textId="77777777" w:rsidR="00FE1052" w:rsidRDefault="00FE1052">
                      <w:pPr>
                        <w:rPr>
                          <w:sz w:val="18"/>
                          <w:szCs w:val="18"/>
                        </w:rPr>
                      </w:pPr>
                    </w:p>
                    <w:p w14:paraId="2A4EE735" w14:textId="77777777" w:rsidR="00FE1052" w:rsidRDefault="00FE1052">
                      <w:pPr>
                        <w:rPr>
                          <w:sz w:val="18"/>
                          <w:szCs w:val="18"/>
                        </w:rPr>
                      </w:pPr>
                      <w:r>
                        <w:rPr>
                          <w:sz w:val="18"/>
                          <w:szCs w:val="18"/>
                        </w:rPr>
                        <w:tab/>
                      </w:r>
                      <w:r>
                        <w:rPr>
                          <w:sz w:val="18"/>
                          <w:szCs w:val="18"/>
                        </w:rPr>
                        <w:tab/>
                        <w:t>representing a file (schema or entry points)</w:t>
                      </w:r>
                    </w:p>
                    <w:p w14:paraId="3008A1F0" w14:textId="77777777" w:rsidR="00FE1052" w:rsidRDefault="00FE1052">
                      <w:pPr>
                        <w:rPr>
                          <w:sz w:val="18"/>
                          <w:szCs w:val="18"/>
                        </w:rPr>
                      </w:pPr>
                    </w:p>
                    <w:p w14:paraId="56394B2E" w14:textId="77777777" w:rsidR="00FE1052" w:rsidRDefault="00FE1052">
                      <w:pPr>
                        <w:rPr>
                          <w:sz w:val="18"/>
                          <w:szCs w:val="18"/>
                        </w:rPr>
                      </w:pPr>
                    </w:p>
                    <w:p w14:paraId="6F05F920" w14:textId="5D96BF30" w:rsidR="00FE1052" w:rsidRPr="004B2328" w:rsidRDefault="00FE1052">
                      <w:pPr>
                        <w:rPr>
                          <w:sz w:val="18"/>
                          <w:szCs w:val="18"/>
                        </w:rPr>
                      </w:pPr>
                      <w:r>
                        <w:rPr>
                          <w:sz w:val="18"/>
                          <w:szCs w:val="18"/>
                        </w:rPr>
                        <w:t>Note (*): folder “full_ifrs” is copied across from the IFRS Taxonomy 202</w:t>
                      </w:r>
                      <w:r w:rsidR="00B83ED2">
                        <w:rPr>
                          <w:sz w:val="18"/>
                          <w:szCs w:val="18"/>
                        </w:rPr>
                        <w:t>5</w:t>
                      </w:r>
                      <w:r>
                        <w:rPr>
                          <w:sz w:val="18"/>
                          <w:szCs w:val="18"/>
                        </w:rPr>
                        <w:t xml:space="preserve"> as is.  This folder contains IFRS taxonomy linkbases and the coreschema.  </w:t>
                      </w:r>
                    </w:p>
                  </w:txbxContent>
                </v:textbox>
              </v:shape>
            </w:pict>
          </mc:Fallback>
        </mc:AlternateContent>
      </w:r>
      <w:r w:rsidR="005A4695" w:rsidRPr="005A4695">
        <w:rPr>
          <w:noProof/>
        </w:rPr>
        <w:drawing>
          <wp:inline distT="0" distB="0" distL="0" distR="0" wp14:anchorId="6B4C18AA" wp14:editId="6352AF4D">
            <wp:extent cx="8981440" cy="4032089"/>
            <wp:effectExtent l="0" t="19050" r="0" b="64135"/>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r w:rsidR="001E4490" w:rsidRPr="001E4490">
        <w:rPr>
          <w:noProof/>
        </w:rPr>
        <w:t xml:space="preserve"> </w:t>
      </w:r>
      <w:r w:rsidR="001E4490" w:rsidRPr="001E4490">
        <w:rPr>
          <w:rStyle w:val="CommentReference"/>
          <w:sz w:val="22"/>
        </w:rPr>
        <w:t xml:space="preserve"> </w:t>
      </w:r>
    </w:p>
    <w:p w14:paraId="4AC8F3F5" w14:textId="77777777" w:rsidR="00643A94" w:rsidRPr="00C00AB4" w:rsidRDefault="00643A94" w:rsidP="00C00AB4">
      <w:pPr>
        <w:rPr>
          <w:rFonts w:cs="Arial"/>
          <w:b/>
          <w:sz w:val="24"/>
        </w:rPr>
        <w:sectPr w:rsidR="00643A94" w:rsidRPr="00C00AB4" w:rsidSect="007F0AB5">
          <w:pgSz w:w="16838" w:h="11906" w:orient="landscape" w:code="9"/>
          <w:pgMar w:top="1276" w:right="1814" w:bottom="566" w:left="1418" w:header="425" w:footer="680" w:gutter="0"/>
          <w:cols w:space="708"/>
          <w:formProt w:val="0"/>
          <w:docGrid w:linePitch="360"/>
        </w:sectPr>
      </w:pPr>
    </w:p>
    <w:p w14:paraId="1A43C916" w14:textId="77777777" w:rsidR="00CA720E" w:rsidRDefault="00CA720E" w:rsidP="00611094">
      <w:pPr>
        <w:rPr>
          <w:sz w:val="20"/>
          <w:szCs w:val="20"/>
        </w:rPr>
      </w:pPr>
    </w:p>
    <w:p w14:paraId="3586049E" w14:textId="77777777" w:rsidR="004859E3" w:rsidRPr="00611094" w:rsidRDefault="004859E3" w:rsidP="00611094">
      <w:pPr>
        <w:rPr>
          <w:sz w:val="20"/>
          <w:szCs w:val="20"/>
        </w:rPr>
      </w:pPr>
      <w:r w:rsidRPr="00611094">
        <w:rPr>
          <w:sz w:val="20"/>
          <w:szCs w:val="20"/>
        </w:rPr>
        <w:t>For each taxonomy release, the IFRS Taxonomy release date appears in all taxonomy files.</w:t>
      </w:r>
    </w:p>
    <w:p w14:paraId="716C0101" w14:textId="77777777" w:rsidR="004859E3" w:rsidRPr="00611094" w:rsidRDefault="004859E3" w:rsidP="00611094">
      <w:pPr>
        <w:rPr>
          <w:sz w:val="20"/>
          <w:szCs w:val="20"/>
        </w:rPr>
      </w:pPr>
      <w:r w:rsidRPr="00611094">
        <w:rPr>
          <w:sz w:val="20"/>
          <w:szCs w:val="20"/>
        </w:rPr>
        <w:t>The folders and their contents, and the guidelines for folder and file names, are as f</w:t>
      </w:r>
      <w:r w:rsidR="00F06D0D">
        <w:rPr>
          <w:sz w:val="20"/>
          <w:szCs w:val="20"/>
        </w:rPr>
        <w:t>ollows (folder names are in bold</w:t>
      </w:r>
      <w:r w:rsidR="00B64680">
        <w:rPr>
          <w:sz w:val="20"/>
          <w:szCs w:val="20"/>
        </w:rPr>
        <w:t xml:space="preserve"> and files are in italic</w:t>
      </w:r>
      <w:r w:rsidRPr="00611094">
        <w:rPr>
          <w:sz w:val="20"/>
          <w:szCs w:val="20"/>
        </w:rPr>
        <w:t>):</w:t>
      </w:r>
    </w:p>
    <w:p w14:paraId="576F7ADF" w14:textId="77777777" w:rsidR="009B77C1" w:rsidRPr="004D550A" w:rsidRDefault="00F06D0D" w:rsidP="00F069A2">
      <w:pPr>
        <w:pStyle w:val="ListParagraph"/>
        <w:numPr>
          <w:ilvl w:val="0"/>
          <w:numId w:val="30"/>
        </w:numPr>
        <w:rPr>
          <w:sz w:val="20"/>
          <w:szCs w:val="20"/>
        </w:rPr>
      </w:pPr>
      <w:r w:rsidRPr="004D550A">
        <w:rPr>
          <w:b/>
          <w:sz w:val="20"/>
          <w:szCs w:val="20"/>
        </w:rPr>
        <w:t>sbr_au_taxonomy</w:t>
      </w:r>
      <w:r w:rsidRPr="004D550A">
        <w:rPr>
          <w:sz w:val="20"/>
          <w:szCs w:val="20"/>
        </w:rPr>
        <w:t xml:space="preserve"> is the SBR folder </w:t>
      </w:r>
      <w:r w:rsidR="00E42E66" w:rsidRPr="004D550A">
        <w:rPr>
          <w:sz w:val="20"/>
          <w:szCs w:val="20"/>
        </w:rPr>
        <w:t>where all SBR reportable facts are defined and classified;</w:t>
      </w:r>
    </w:p>
    <w:p w14:paraId="6AC9B26C" w14:textId="5A68A0BE" w:rsidR="009B77C1" w:rsidRPr="004D550A" w:rsidRDefault="00F06D0D" w:rsidP="00F069A2">
      <w:pPr>
        <w:pStyle w:val="ListParagraph"/>
        <w:numPr>
          <w:ilvl w:val="0"/>
          <w:numId w:val="30"/>
        </w:numPr>
        <w:rPr>
          <w:sz w:val="20"/>
          <w:szCs w:val="20"/>
        </w:rPr>
      </w:pPr>
      <w:r w:rsidRPr="004D550A">
        <w:rPr>
          <w:b/>
          <w:sz w:val="20"/>
          <w:szCs w:val="20"/>
        </w:rPr>
        <w:t xml:space="preserve">extl </w:t>
      </w:r>
      <w:r w:rsidRPr="004D550A">
        <w:rPr>
          <w:sz w:val="20"/>
          <w:szCs w:val="20"/>
        </w:rPr>
        <w:t xml:space="preserve">is the folder reserved by SBR </w:t>
      </w:r>
      <w:r w:rsidR="00E50B00" w:rsidRPr="004D550A">
        <w:rPr>
          <w:sz w:val="20"/>
          <w:szCs w:val="20"/>
        </w:rPr>
        <w:t>for external</w:t>
      </w:r>
      <w:r w:rsidR="00E42E66" w:rsidRPr="004D550A">
        <w:rPr>
          <w:sz w:val="20"/>
          <w:szCs w:val="20"/>
        </w:rPr>
        <w:t xml:space="preserve"> taxonomies;</w:t>
      </w:r>
    </w:p>
    <w:p w14:paraId="56CECB46" w14:textId="56E8723D" w:rsidR="009B77C1" w:rsidRPr="004D550A" w:rsidRDefault="007D0D17" w:rsidP="00F069A2">
      <w:pPr>
        <w:pStyle w:val="ListParagraph"/>
        <w:numPr>
          <w:ilvl w:val="0"/>
          <w:numId w:val="30"/>
        </w:numPr>
        <w:rPr>
          <w:sz w:val="20"/>
          <w:szCs w:val="20"/>
        </w:rPr>
      </w:pPr>
      <w:r w:rsidRPr="004D550A">
        <w:rPr>
          <w:b/>
          <w:sz w:val="20"/>
          <w:szCs w:val="20"/>
        </w:rPr>
        <w:t>ifrs_</w:t>
      </w:r>
      <w:r w:rsidR="004545C8">
        <w:rPr>
          <w:b/>
          <w:sz w:val="20"/>
          <w:szCs w:val="20"/>
        </w:rPr>
        <w:t>au_</w:t>
      </w:r>
      <w:r w:rsidR="009A4824">
        <w:rPr>
          <w:b/>
          <w:sz w:val="20"/>
          <w:szCs w:val="20"/>
        </w:rPr>
        <w:t>20250821</w:t>
      </w:r>
      <w:r w:rsidR="00DE6B65" w:rsidRPr="004D550A">
        <w:rPr>
          <w:sz w:val="20"/>
          <w:szCs w:val="20"/>
        </w:rPr>
        <w:t xml:space="preserve"> </w:t>
      </w:r>
      <w:r w:rsidR="00E42E66" w:rsidRPr="004D550A">
        <w:rPr>
          <w:sz w:val="20"/>
          <w:szCs w:val="20"/>
        </w:rPr>
        <w:t xml:space="preserve">is the folder </w:t>
      </w:r>
      <w:r w:rsidR="00972526">
        <w:rPr>
          <w:sz w:val="20"/>
          <w:szCs w:val="20"/>
        </w:rPr>
        <w:t>for</w:t>
      </w:r>
      <w:r w:rsidR="00E42E66" w:rsidRPr="004D550A">
        <w:rPr>
          <w:sz w:val="20"/>
          <w:szCs w:val="20"/>
        </w:rPr>
        <w:t xml:space="preserve"> the </w:t>
      </w:r>
      <w:r w:rsidR="00FC3CEC">
        <w:rPr>
          <w:sz w:val="20"/>
          <w:szCs w:val="20"/>
        </w:rPr>
        <w:t xml:space="preserve">IFRS AU Taxonomy </w:t>
      </w:r>
      <w:r w:rsidR="00442B0D">
        <w:rPr>
          <w:sz w:val="20"/>
          <w:szCs w:val="20"/>
        </w:rPr>
        <w:t>2025</w:t>
      </w:r>
      <w:r w:rsidR="00E42E66" w:rsidRPr="004D550A">
        <w:rPr>
          <w:sz w:val="20"/>
          <w:szCs w:val="20"/>
        </w:rPr>
        <w:t>;</w:t>
      </w:r>
    </w:p>
    <w:p w14:paraId="565927F3" w14:textId="1756164A" w:rsidR="009B77C1" w:rsidRPr="004D550A" w:rsidRDefault="00B64680" w:rsidP="00F069A2">
      <w:pPr>
        <w:pStyle w:val="ListParagraph"/>
        <w:numPr>
          <w:ilvl w:val="0"/>
          <w:numId w:val="30"/>
        </w:numPr>
        <w:rPr>
          <w:sz w:val="20"/>
          <w:szCs w:val="20"/>
        </w:rPr>
      </w:pPr>
      <w:r>
        <w:rPr>
          <w:b/>
          <w:sz w:val="20"/>
          <w:szCs w:val="20"/>
        </w:rPr>
        <w:t>full_</w:t>
      </w:r>
      <w:r w:rsidR="00A20DE4" w:rsidRPr="004D550A">
        <w:rPr>
          <w:b/>
          <w:sz w:val="20"/>
          <w:szCs w:val="20"/>
        </w:rPr>
        <w:t>ifrs</w:t>
      </w:r>
      <w:r w:rsidR="00E42E66" w:rsidRPr="004D550A">
        <w:rPr>
          <w:b/>
          <w:sz w:val="20"/>
          <w:szCs w:val="20"/>
        </w:rPr>
        <w:t xml:space="preserve"> </w:t>
      </w:r>
      <w:r w:rsidR="00E42E66" w:rsidRPr="004D550A">
        <w:rPr>
          <w:sz w:val="20"/>
          <w:szCs w:val="20"/>
        </w:rPr>
        <w:t xml:space="preserve">is the folder </w:t>
      </w:r>
      <w:r>
        <w:rPr>
          <w:sz w:val="20"/>
          <w:szCs w:val="20"/>
        </w:rPr>
        <w:t>that is copied across from the IFRS Taxonomy</w:t>
      </w:r>
      <w:r w:rsidR="006C03AC">
        <w:rPr>
          <w:sz w:val="20"/>
          <w:szCs w:val="20"/>
        </w:rPr>
        <w:t xml:space="preserve"> as is</w:t>
      </w:r>
      <w:r>
        <w:rPr>
          <w:sz w:val="20"/>
          <w:szCs w:val="20"/>
        </w:rPr>
        <w:t xml:space="preserve"> and contain</w:t>
      </w:r>
      <w:r w:rsidR="00BA4444">
        <w:rPr>
          <w:sz w:val="20"/>
          <w:szCs w:val="20"/>
        </w:rPr>
        <w:t>s</w:t>
      </w:r>
      <w:r>
        <w:rPr>
          <w:sz w:val="20"/>
          <w:szCs w:val="20"/>
        </w:rPr>
        <w:t xml:space="preserve"> IFRS Taxonomy’s linkbase files and the IFRS taxonomy’s core schema</w:t>
      </w:r>
      <w:r w:rsidR="00E42E66" w:rsidRPr="004D550A">
        <w:rPr>
          <w:sz w:val="20"/>
          <w:szCs w:val="20"/>
        </w:rPr>
        <w:t>;</w:t>
      </w:r>
    </w:p>
    <w:p w14:paraId="355E8838" w14:textId="67DAA942" w:rsidR="009B77C1" w:rsidRPr="004D550A" w:rsidRDefault="004965C8" w:rsidP="00F069A2">
      <w:pPr>
        <w:pStyle w:val="ListParagraph"/>
        <w:numPr>
          <w:ilvl w:val="0"/>
          <w:numId w:val="30"/>
        </w:numPr>
        <w:rPr>
          <w:sz w:val="20"/>
          <w:szCs w:val="20"/>
        </w:rPr>
      </w:pPr>
      <w:r w:rsidRPr="00B64680">
        <w:rPr>
          <w:i/>
          <w:sz w:val="20"/>
          <w:szCs w:val="20"/>
        </w:rPr>
        <w:t>ifrs_au-cor_</w:t>
      </w:r>
      <w:r w:rsidR="009A4824">
        <w:rPr>
          <w:i/>
          <w:sz w:val="20"/>
          <w:szCs w:val="20"/>
        </w:rPr>
        <w:t>2025-08-21</w:t>
      </w:r>
      <w:r w:rsidRPr="00B64680">
        <w:rPr>
          <w:i/>
          <w:sz w:val="20"/>
          <w:szCs w:val="20"/>
        </w:rPr>
        <w:t>.xsd</w:t>
      </w:r>
      <w:r w:rsidR="00E42E66" w:rsidRPr="004D550A">
        <w:rPr>
          <w:sz w:val="20"/>
          <w:szCs w:val="20"/>
        </w:rPr>
        <w:t xml:space="preserve"> is the core schema which contains the additional reportable concepts required for the Australian extension;</w:t>
      </w:r>
    </w:p>
    <w:p w14:paraId="069C9840" w14:textId="1FE38DDC" w:rsidR="009B77C1" w:rsidRPr="00E50B00" w:rsidRDefault="00DE2ED9" w:rsidP="00F069A2">
      <w:pPr>
        <w:pStyle w:val="ListParagraph"/>
        <w:numPr>
          <w:ilvl w:val="0"/>
          <w:numId w:val="30"/>
        </w:numPr>
        <w:rPr>
          <w:sz w:val="20"/>
          <w:szCs w:val="20"/>
        </w:rPr>
      </w:pPr>
      <w:r w:rsidRPr="00E50B00">
        <w:rPr>
          <w:bCs/>
          <w:i/>
          <w:sz w:val="20"/>
          <w:szCs w:val="20"/>
        </w:rPr>
        <w:t>full_ifrs</w:t>
      </w:r>
      <w:r w:rsidR="00F30483" w:rsidRPr="00E50B00">
        <w:rPr>
          <w:bCs/>
          <w:i/>
          <w:sz w:val="20"/>
          <w:szCs w:val="20"/>
        </w:rPr>
        <w:t xml:space="preserve"> </w:t>
      </w:r>
      <w:r w:rsidRPr="00E50B00">
        <w:rPr>
          <w:bCs/>
          <w:i/>
          <w:sz w:val="20"/>
          <w:szCs w:val="20"/>
        </w:rPr>
        <w:t>_with_AU_extensions_entry_point_1_</w:t>
      </w:r>
      <w:r w:rsidR="009A4824">
        <w:rPr>
          <w:bCs/>
          <w:i/>
          <w:sz w:val="20"/>
          <w:szCs w:val="20"/>
        </w:rPr>
        <w:t>2025-08-21</w:t>
      </w:r>
      <w:r w:rsidRPr="00E50B00">
        <w:rPr>
          <w:bCs/>
          <w:i/>
          <w:sz w:val="20"/>
          <w:szCs w:val="20"/>
        </w:rPr>
        <w:t>.xsd</w:t>
      </w:r>
      <w:r w:rsidR="00B64680" w:rsidRPr="00E50B00">
        <w:rPr>
          <w:b/>
          <w:bCs/>
          <w:sz w:val="20"/>
          <w:szCs w:val="20"/>
        </w:rPr>
        <w:t xml:space="preserve"> </w:t>
      </w:r>
      <w:r w:rsidR="00E42E66" w:rsidRPr="00E50B00">
        <w:rPr>
          <w:sz w:val="20"/>
          <w:szCs w:val="20"/>
        </w:rPr>
        <w:t>i</w:t>
      </w:r>
      <w:r w:rsidR="004859E3" w:rsidRPr="00E50B00">
        <w:rPr>
          <w:sz w:val="20"/>
          <w:szCs w:val="20"/>
        </w:rPr>
        <w:t xml:space="preserve">s the entry point schema that combines all of the files for </w:t>
      </w:r>
      <w:r w:rsidR="00FC3CEC" w:rsidRPr="00E50B00">
        <w:rPr>
          <w:sz w:val="20"/>
          <w:szCs w:val="20"/>
        </w:rPr>
        <w:t xml:space="preserve">IFRS Taxonomy </w:t>
      </w:r>
      <w:r w:rsidR="00442B0D">
        <w:rPr>
          <w:sz w:val="20"/>
          <w:szCs w:val="20"/>
        </w:rPr>
        <w:t>2025</w:t>
      </w:r>
      <w:r w:rsidR="004859E3" w:rsidRPr="00E50B00">
        <w:rPr>
          <w:sz w:val="20"/>
          <w:szCs w:val="20"/>
        </w:rPr>
        <w:t xml:space="preserve"> and the </w:t>
      </w:r>
      <w:r w:rsidR="00E42E66" w:rsidRPr="00E50B00">
        <w:rPr>
          <w:sz w:val="20"/>
          <w:szCs w:val="20"/>
        </w:rPr>
        <w:t>AU</w:t>
      </w:r>
      <w:r w:rsidR="00F35962" w:rsidRPr="00E50B00">
        <w:rPr>
          <w:sz w:val="20"/>
          <w:szCs w:val="20"/>
        </w:rPr>
        <w:t xml:space="preserve"> Extension specifically to present consolidated financial statements only</w:t>
      </w:r>
      <w:r w:rsidR="00E42E66" w:rsidRPr="00E50B00">
        <w:rPr>
          <w:sz w:val="20"/>
          <w:szCs w:val="20"/>
        </w:rPr>
        <w:t>;</w:t>
      </w:r>
    </w:p>
    <w:p w14:paraId="766BCB1C" w14:textId="77777777" w:rsidR="002703DD" w:rsidRDefault="00E42E66" w:rsidP="00F069A2">
      <w:pPr>
        <w:pStyle w:val="ListParagraph"/>
        <w:numPr>
          <w:ilvl w:val="0"/>
          <w:numId w:val="30"/>
        </w:numPr>
        <w:rPr>
          <w:sz w:val="20"/>
          <w:szCs w:val="20"/>
        </w:rPr>
      </w:pPr>
      <w:r w:rsidRPr="004D550A">
        <w:rPr>
          <w:b/>
          <w:sz w:val="20"/>
          <w:szCs w:val="20"/>
        </w:rPr>
        <w:t>au</w:t>
      </w:r>
      <w:r w:rsidR="00B64680">
        <w:rPr>
          <w:b/>
          <w:sz w:val="20"/>
          <w:szCs w:val="20"/>
        </w:rPr>
        <w:t>_extensions</w:t>
      </w:r>
      <w:r w:rsidR="004859E3" w:rsidRPr="004D550A">
        <w:rPr>
          <w:sz w:val="20"/>
          <w:szCs w:val="20"/>
        </w:rPr>
        <w:t xml:space="preserve"> contains folders for standards, references</w:t>
      </w:r>
      <w:r w:rsidR="00B64680">
        <w:rPr>
          <w:sz w:val="20"/>
          <w:szCs w:val="20"/>
        </w:rPr>
        <w:t xml:space="preserve"> and changes to the IFRS Taxonomy due to the integration of AU Extensions. </w:t>
      </w:r>
      <w:r w:rsidR="002703DD">
        <w:rPr>
          <w:sz w:val="20"/>
          <w:szCs w:val="20"/>
        </w:rPr>
        <w:t>This folder includes:</w:t>
      </w:r>
    </w:p>
    <w:p w14:paraId="205BECCE" w14:textId="3B5E64A5" w:rsidR="009B77C1" w:rsidRPr="002703DD" w:rsidRDefault="002703DD" w:rsidP="00F069A2">
      <w:pPr>
        <w:pStyle w:val="ListParagraph"/>
        <w:numPr>
          <w:ilvl w:val="1"/>
          <w:numId w:val="30"/>
        </w:numPr>
        <w:rPr>
          <w:sz w:val="20"/>
          <w:szCs w:val="20"/>
        </w:rPr>
      </w:pPr>
      <w:r>
        <w:rPr>
          <w:sz w:val="20"/>
          <w:szCs w:val="20"/>
        </w:rPr>
        <w:t>Folders that contains modular presentation</w:t>
      </w:r>
      <w:r w:rsidR="0093318D">
        <w:rPr>
          <w:sz w:val="20"/>
          <w:szCs w:val="20"/>
        </w:rPr>
        <w:t xml:space="preserve"> and</w:t>
      </w:r>
      <w:r w:rsidR="00106CAA">
        <w:rPr>
          <w:sz w:val="20"/>
          <w:szCs w:val="20"/>
        </w:rPr>
        <w:t xml:space="preserve"> reference </w:t>
      </w:r>
      <w:r>
        <w:rPr>
          <w:sz w:val="20"/>
          <w:szCs w:val="20"/>
        </w:rPr>
        <w:t xml:space="preserve">linkbase files for specific accounting standards </w:t>
      </w:r>
      <w:r w:rsidR="00DB5F4C">
        <w:rPr>
          <w:sz w:val="20"/>
          <w:szCs w:val="20"/>
        </w:rPr>
        <w:t xml:space="preserve">that are applicable to the </w:t>
      </w:r>
      <w:r w:rsidR="00DD161C">
        <w:rPr>
          <w:sz w:val="20"/>
          <w:szCs w:val="20"/>
        </w:rPr>
        <w:t>taxonomy</w:t>
      </w:r>
    </w:p>
    <w:p w14:paraId="01986997" w14:textId="77777777" w:rsidR="00DE2ED9" w:rsidRPr="002703DD" w:rsidRDefault="00DE2ED9" w:rsidP="00F069A2">
      <w:pPr>
        <w:pStyle w:val="ListParagraph"/>
        <w:numPr>
          <w:ilvl w:val="1"/>
          <w:numId w:val="30"/>
        </w:numPr>
        <w:rPr>
          <w:sz w:val="20"/>
          <w:szCs w:val="20"/>
        </w:rPr>
      </w:pPr>
      <w:r w:rsidRPr="002703DD">
        <w:rPr>
          <w:b/>
          <w:bCs/>
          <w:sz w:val="20"/>
          <w:szCs w:val="20"/>
        </w:rPr>
        <w:t>au_additional_disclosures_entry_point_1</w:t>
      </w:r>
      <w:r w:rsidR="002703DD">
        <w:rPr>
          <w:b/>
          <w:bCs/>
          <w:sz w:val="20"/>
          <w:szCs w:val="20"/>
        </w:rPr>
        <w:t xml:space="preserve"> </w:t>
      </w:r>
      <w:r w:rsidR="002703DD">
        <w:rPr>
          <w:bCs/>
          <w:sz w:val="20"/>
          <w:szCs w:val="20"/>
        </w:rPr>
        <w:t>contains all AU Extension’s linkbase files that are used for the entry point one</w:t>
      </w:r>
    </w:p>
    <w:p w14:paraId="5209A9E3" w14:textId="77777777" w:rsidR="002703DD" w:rsidRPr="002703DD" w:rsidRDefault="002703DD" w:rsidP="002703DD">
      <w:pPr>
        <w:pStyle w:val="ListParagraph"/>
        <w:ind w:left="1486"/>
        <w:rPr>
          <w:sz w:val="20"/>
          <w:szCs w:val="20"/>
        </w:rPr>
      </w:pPr>
    </w:p>
    <w:p w14:paraId="57C7586F" w14:textId="77777777" w:rsidR="002703DD" w:rsidRDefault="00C0712A" w:rsidP="00F069A2">
      <w:pPr>
        <w:pStyle w:val="ListParagraph"/>
        <w:numPr>
          <w:ilvl w:val="0"/>
          <w:numId w:val="30"/>
        </w:numPr>
        <w:rPr>
          <w:sz w:val="20"/>
          <w:szCs w:val="20"/>
        </w:rPr>
      </w:pPr>
      <w:r>
        <w:rPr>
          <w:sz w:val="20"/>
          <w:szCs w:val="20"/>
        </w:rPr>
        <w:t>F</w:t>
      </w:r>
      <w:r w:rsidR="002703DD">
        <w:rPr>
          <w:sz w:val="20"/>
          <w:szCs w:val="20"/>
        </w:rPr>
        <w:t>iles contain</w:t>
      </w:r>
      <w:r>
        <w:rPr>
          <w:sz w:val="20"/>
          <w:szCs w:val="20"/>
        </w:rPr>
        <w:t>ed</w:t>
      </w:r>
      <w:r w:rsidR="002703DD">
        <w:rPr>
          <w:sz w:val="20"/>
          <w:szCs w:val="20"/>
        </w:rPr>
        <w:t xml:space="preserve"> in </w:t>
      </w:r>
      <w:r w:rsidR="002703DD" w:rsidRPr="00C0712A">
        <w:rPr>
          <w:b/>
          <w:sz w:val="20"/>
          <w:szCs w:val="20"/>
        </w:rPr>
        <w:t>au_extensions</w:t>
      </w:r>
      <w:r w:rsidR="002703DD">
        <w:rPr>
          <w:sz w:val="20"/>
          <w:szCs w:val="20"/>
        </w:rPr>
        <w:t xml:space="preserve"> </w:t>
      </w:r>
      <w:r>
        <w:rPr>
          <w:sz w:val="20"/>
          <w:szCs w:val="20"/>
        </w:rPr>
        <w:t>are</w:t>
      </w:r>
      <w:r w:rsidR="002703DD">
        <w:rPr>
          <w:sz w:val="20"/>
          <w:szCs w:val="20"/>
        </w:rPr>
        <w:t xml:space="preserve"> as follows:</w:t>
      </w:r>
    </w:p>
    <w:p w14:paraId="1598748A" w14:textId="6C2C32EA" w:rsidR="0087577C" w:rsidRDefault="00106CAA" w:rsidP="00F069A2">
      <w:pPr>
        <w:pStyle w:val="ListParagraph"/>
        <w:numPr>
          <w:ilvl w:val="1"/>
          <w:numId w:val="30"/>
        </w:numPr>
        <w:rPr>
          <w:sz w:val="20"/>
          <w:szCs w:val="20"/>
        </w:rPr>
      </w:pPr>
      <w:r>
        <w:rPr>
          <w:sz w:val="20"/>
          <w:szCs w:val="20"/>
        </w:rPr>
        <w:t>{</w:t>
      </w:r>
      <w:r w:rsidR="004859E3" w:rsidRPr="004D550A">
        <w:rPr>
          <w:sz w:val="20"/>
          <w:szCs w:val="20"/>
        </w:rPr>
        <w:t xml:space="preserve">pre | </w:t>
      </w:r>
      <w:r>
        <w:rPr>
          <w:sz w:val="20"/>
          <w:szCs w:val="20"/>
        </w:rPr>
        <w:t>ref</w:t>
      </w:r>
      <w:r w:rsidRPr="004D550A">
        <w:rPr>
          <w:sz w:val="20"/>
          <w:szCs w:val="20"/>
        </w:rPr>
        <w:t xml:space="preserve"> </w:t>
      </w:r>
      <w:r w:rsidR="004859E3" w:rsidRPr="004D550A">
        <w:rPr>
          <w:sz w:val="20"/>
          <w:szCs w:val="20"/>
        </w:rPr>
        <w:t>}_</w:t>
      </w:r>
      <w:r>
        <w:rPr>
          <w:sz w:val="20"/>
          <w:szCs w:val="20"/>
        </w:rPr>
        <w:t>aasb</w:t>
      </w:r>
      <w:r w:rsidR="00E42E66" w:rsidRPr="004D550A">
        <w:rPr>
          <w:sz w:val="20"/>
          <w:szCs w:val="20"/>
        </w:rPr>
        <w:t>_{“number”}_</w:t>
      </w:r>
      <w:r w:rsidR="009A4824">
        <w:rPr>
          <w:sz w:val="20"/>
          <w:szCs w:val="20"/>
        </w:rPr>
        <w:t>2025-08-21</w:t>
      </w:r>
      <w:r w:rsidR="004859E3" w:rsidRPr="004D550A">
        <w:rPr>
          <w:sz w:val="20"/>
          <w:szCs w:val="20"/>
        </w:rPr>
        <w:t xml:space="preserve">.xml are modular presentation </w:t>
      </w:r>
      <w:r>
        <w:rPr>
          <w:sz w:val="20"/>
          <w:szCs w:val="20"/>
        </w:rPr>
        <w:t xml:space="preserve">and reference </w:t>
      </w:r>
      <w:r w:rsidR="004859E3" w:rsidRPr="004D550A">
        <w:rPr>
          <w:sz w:val="20"/>
          <w:szCs w:val="20"/>
        </w:rPr>
        <w:t>linkbase files for each</w:t>
      </w:r>
      <w:r>
        <w:rPr>
          <w:sz w:val="20"/>
          <w:szCs w:val="20"/>
        </w:rPr>
        <w:t xml:space="preserve"> AASB </w:t>
      </w:r>
      <w:r w:rsidR="00C7502C">
        <w:rPr>
          <w:sz w:val="20"/>
          <w:szCs w:val="20"/>
        </w:rPr>
        <w:t>standard standards</w:t>
      </w:r>
      <w:r w:rsidR="004859E3" w:rsidRPr="004D550A">
        <w:rPr>
          <w:sz w:val="20"/>
          <w:szCs w:val="20"/>
        </w:rPr>
        <w:t>;</w:t>
      </w:r>
    </w:p>
    <w:p w14:paraId="14BBA049" w14:textId="7668FFF2" w:rsidR="00C7502C" w:rsidRPr="00C7502C" w:rsidRDefault="00C7502C" w:rsidP="00F069A2">
      <w:pPr>
        <w:pStyle w:val="ListParagraph"/>
        <w:numPr>
          <w:ilvl w:val="1"/>
          <w:numId w:val="30"/>
        </w:numPr>
        <w:rPr>
          <w:sz w:val="20"/>
          <w:szCs w:val="20"/>
        </w:rPr>
      </w:pPr>
      <w:r w:rsidRPr="004D550A">
        <w:rPr>
          <w:sz w:val="20"/>
          <w:szCs w:val="20"/>
        </w:rPr>
        <w:t>rol_{</w:t>
      </w:r>
      <w:r>
        <w:rPr>
          <w:sz w:val="20"/>
          <w:szCs w:val="20"/>
        </w:rPr>
        <w:t>aasb</w:t>
      </w:r>
      <w:r w:rsidRPr="004D550A">
        <w:rPr>
          <w:sz w:val="20"/>
          <w:szCs w:val="20"/>
        </w:rPr>
        <w:t>}_{“number”}_</w:t>
      </w:r>
      <w:r w:rsidR="009A4824">
        <w:rPr>
          <w:sz w:val="20"/>
          <w:szCs w:val="20"/>
        </w:rPr>
        <w:t>2025-08-21</w:t>
      </w:r>
      <w:r w:rsidRPr="004D550A">
        <w:rPr>
          <w:sz w:val="20"/>
          <w:szCs w:val="20"/>
        </w:rPr>
        <w:t xml:space="preserve">.xsd are modular schemas that contain ELRs for the presentation linkbases for each </w:t>
      </w:r>
      <w:r>
        <w:rPr>
          <w:sz w:val="20"/>
          <w:szCs w:val="20"/>
        </w:rPr>
        <w:t xml:space="preserve">AASB </w:t>
      </w:r>
      <w:r w:rsidRPr="004D550A">
        <w:rPr>
          <w:sz w:val="20"/>
          <w:szCs w:val="20"/>
        </w:rPr>
        <w:t>standard</w:t>
      </w:r>
      <w:r>
        <w:rPr>
          <w:sz w:val="20"/>
          <w:szCs w:val="20"/>
        </w:rPr>
        <w:t>.</w:t>
      </w:r>
    </w:p>
    <w:p w14:paraId="7D00D54D" w14:textId="64AFB1DE" w:rsidR="00A73296" w:rsidRPr="00C0712A" w:rsidRDefault="00106CAA" w:rsidP="00F069A2">
      <w:pPr>
        <w:pStyle w:val="ListParagraph"/>
        <w:numPr>
          <w:ilvl w:val="1"/>
          <w:numId w:val="30"/>
        </w:numPr>
        <w:rPr>
          <w:sz w:val="20"/>
          <w:szCs w:val="20"/>
        </w:rPr>
      </w:pPr>
      <w:r w:rsidRPr="00C0712A">
        <w:rPr>
          <w:sz w:val="20"/>
          <w:szCs w:val="20"/>
        </w:rPr>
        <w:t>{pre | cal | def</w:t>
      </w:r>
      <w:r w:rsidR="00A73296" w:rsidRPr="00C0712A">
        <w:rPr>
          <w:sz w:val="20"/>
          <w:szCs w:val="20"/>
        </w:rPr>
        <w:t>}_</w:t>
      </w:r>
      <w:r w:rsidRPr="00C0712A">
        <w:rPr>
          <w:sz w:val="20"/>
          <w:szCs w:val="20"/>
        </w:rPr>
        <w:t>au_extension_</w:t>
      </w:r>
      <w:r w:rsidR="00A73296" w:rsidRPr="00C0712A">
        <w:rPr>
          <w:sz w:val="20"/>
          <w:szCs w:val="20"/>
        </w:rPr>
        <w:t>{ias | ifrs</w:t>
      </w:r>
      <w:r w:rsidR="00D44B0F" w:rsidRPr="00C0712A">
        <w:rPr>
          <w:sz w:val="20"/>
          <w:szCs w:val="20"/>
        </w:rPr>
        <w:t xml:space="preserve"> |}_{“number”}_</w:t>
      </w:r>
      <w:r w:rsidR="009A4824">
        <w:rPr>
          <w:sz w:val="20"/>
          <w:szCs w:val="20"/>
        </w:rPr>
        <w:t>2025-08-21</w:t>
      </w:r>
      <w:r w:rsidR="00A73296" w:rsidRPr="00C0712A">
        <w:rPr>
          <w:sz w:val="20"/>
          <w:szCs w:val="20"/>
        </w:rPr>
        <w:t>_role-{“unique role</w:t>
      </w:r>
      <w:r w:rsidR="00C0712A">
        <w:rPr>
          <w:sz w:val="20"/>
          <w:szCs w:val="20"/>
        </w:rPr>
        <w:t xml:space="preserve"> </w:t>
      </w:r>
      <w:r w:rsidRPr="00C0712A">
        <w:rPr>
          <w:sz w:val="20"/>
          <w:szCs w:val="20"/>
        </w:rPr>
        <w:t>number”}</w:t>
      </w:r>
      <w:r w:rsidR="00A73296" w:rsidRPr="00C0712A">
        <w:rPr>
          <w:sz w:val="20"/>
          <w:szCs w:val="20"/>
        </w:rPr>
        <w:t>.xml are modular presentation</w:t>
      </w:r>
      <w:r w:rsidRPr="00C0712A">
        <w:rPr>
          <w:sz w:val="20"/>
          <w:szCs w:val="20"/>
        </w:rPr>
        <w:t>, calculation</w:t>
      </w:r>
      <w:r w:rsidR="00A73296" w:rsidRPr="00C0712A">
        <w:rPr>
          <w:sz w:val="20"/>
          <w:szCs w:val="20"/>
        </w:rPr>
        <w:t xml:space="preserve"> and definition linkbase files for</w:t>
      </w:r>
      <w:r w:rsidRPr="00C0712A">
        <w:rPr>
          <w:sz w:val="20"/>
          <w:szCs w:val="20"/>
        </w:rPr>
        <w:t xml:space="preserve"> changes to the related IFRS Taxonomy linkbases due to the integration of AU Extensions</w:t>
      </w:r>
      <w:r w:rsidR="00A73296" w:rsidRPr="00C0712A">
        <w:rPr>
          <w:sz w:val="20"/>
          <w:szCs w:val="20"/>
        </w:rPr>
        <w:t>.</w:t>
      </w:r>
    </w:p>
    <w:p w14:paraId="2403E170" w14:textId="2805166F" w:rsidR="00106CAA" w:rsidRPr="00C7502C" w:rsidRDefault="00106CAA" w:rsidP="00F069A2">
      <w:pPr>
        <w:pStyle w:val="ListParagraph"/>
        <w:numPr>
          <w:ilvl w:val="1"/>
          <w:numId w:val="30"/>
        </w:numPr>
        <w:rPr>
          <w:i/>
          <w:sz w:val="20"/>
          <w:szCs w:val="20"/>
        </w:rPr>
      </w:pPr>
      <w:r w:rsidRPr="00106CAA">
        <w:rPr>
          <w:i/>
          <w:sz w:val="20"/>
          <w:szCs w:val="20"/>
        </w:rPr>
        <w:t>ref_au_extension_</w:t>
      </w:r>
      <w:r w:rsidR="009A4824">
        <w:rPr>
          <w:i/>
          <w:sz w:val="20"/>
          <w:szCs w:val="20"/>
        </w:rPr>
        <w:t>2025-08-21</w:t>
      </w:r>
      <w:r w:rsidRPr="00106CAA">
        <w:rPr>
          <w:i/>
          <w:sz w:val="20"/>
          <w:szCs w:val="20"/>
        </w:rPr>
        <w:t>.xml</w:t>
      </w:r>
      <w:r>
        <w:rPr>
          <w:i/>
          <w:sz w:val="20"/>
          <w:szCs w:val="20"/>
        </w:rPr>
        <w:t xml:space="preserve"> </w:t>
      </w:r>
      <w:r>
        <w:rPr>
          <w:sz w:val="20"/>
          <w:szCs w:val="20"/>
        </w:rPr>
        <w:t xml:space="preserve">is the reference linkbase file for </w:t>
      </w:r>
      <w:r w:rsidR="00C7502C">
        <w:rPr>
          <w:sz w:val="20"/>
          <w:szCs w:val="20"/>
        </w:rPr>
        <w:t xml:space="preserve">AU Extension’s standard references that are not related </w:t>
      </w:r>
      <w:r w:rsidR="00E6725B">
        <w:rPr>
          <w:sz w:val="20"/>
          <w:szCs w:val="20"/>
        </w:rPr>
        <w:t xml:space="preserve">to </w:t>
      </w:r>
      <w:r w:rsidR="0093318D">
        <w:rPr>
          <w:sz w:val="20"/>
          <w:szCs w:val="20"/>
        </w:rPr>
        <w:t>AASB 1058</w:t>
      </w:r>
      <w:r w:rsidR="00C7502C">
        <w:rPr>
          <w:sz w:val="20"/>
          <w:szCs w:val="20"/>
        </w:rPr>
        <w:t>.</w:t>
      </w:r>
    </w:p>
    <w:p w14:paraId="43EC3FE8" w14:textId="5C60BE13" w:rsidR="00C7502C" w:rsidRPr="00C7502C" w:rsidRDefault="00C7502C" w:rsidP="00F069A2">
      <w:pPr>
        <w:pStyle w:val="ListParagraph"/>
        <w:numPr>
          <w:ilvl w:val="1"/>
          <w:numId w:val="30"/>
        </w:numPr>
        <w:rPr>
          <w:i/>
          <w:sz w:val="20"/>
          <w:szCs w:val="20"/>
        </w:rPr>
      </w:pPr>
      <w:r w:rsidRPr="00C7502C">
        <w:rPr>
          <w:i/>
          <w:sz w:val="20"/>
          <w:szCs w:val="20"/>
        </w:rPr>
        <w:t>rol_au_extension_</w:t>
      </w:r>
      <w:r w:rsidR="009A4824">
        <w:rPr>
          <w:i/>
          <w:sz w:val="20"/>
          <w:szCs w:val="20"/>
        </w:rPr>
        <w:t>2025-08-21</w:t>
      </w:r>
      <w:r w:rsidRPr="00C7502C">
        <w:rPr>
          <w:i/>
          <w:sz w:val="20"/>
          <w:szCs w:val="20"/>
        </w:rPr>
        <w:t>.xsd</w:t>
      </w:r>
      <w:r>
        <w:rPr>
          <w:i/>
          <w:sz w:val="20"/>
          <w:szCs w:val="20"/>
        </w:rPr>
        <w:t xml:space="preserve"> </w:t>
      </w:r>
      <w:r w:rsidRPr="004D550A">
        <w:rPr>
          <w:sz w:val="20"/>
          <w:szCs w:val="20"/>
        </w:rPr>
        <w:t xml:space="preserve">are modular schemas that contain ELRs </w:t>
      </w:r>
      <w:r>
        <w:rPr>
          <w:sz w:val="20"/>
          <w:szCs w:val="20"/>
        </w:rPr>
        <w:t>used for AU Extensions</w:t>
      </w:r>
    </w:p>
    <w:p w14:paraId="31873E8B" w14:textId="77777777" w:rsidR="003A2E43" w:rsidRDefault="003A2E43" w:rsidP="00867885">
      <w:pPr>
        <w:pStyle w:val="Head3"/>
      </w:pPr>
      <w:bookmarkStart w:id="171" w:name="_Toc205457961"/>
      <w:r w:rsidRPr="005819BE">
        <w:t>Absolute and relative paths</w:t>
      </w:r>
      <w:bookmarkEnd w:id="171"/>
    </w:p>
    <w:p w14:paraId="2C772B1F" w14:textId="20DFCA4A" w:rsidR="00B2505D" w:rsidRPr="001B1E65" w:rsidRDefault="00867885" w:rsidP="00867885">
      <w:pPr>
        <w:rPr>
          <w:rFonts w:cs="Arial"/>
          <w:bCs/>
          <w:iCs/>
          <w:sz w:val="20"/>
          <w:szCs w:val="20"/>
        </w:rPr>
      </w:pPr>
      <w:r w:rsidRPr="001B1E65">
        <w:rPr>
          <w:rFonts w:cs="Arial"/>
          <w:bCs/>
          <w:iCs/>
          <w:sz w:val="20"/>
          <w:szCs w:val="20"/>
        </w:rPr>
        <w:t xml:space="preserve">The root resource location (URL) of the </w:t>
      </w:r>
      <w:r w:rsidR="00FC3CEC">
        <w:rPr>
          <w:rFonts w:cs="Arial"/>
          <w:bCs/>
          <w:iCs/>
          <w:sz w:val="20"/>
          <w:szCs w:val="20"/>
        </w:rPr>
        <w:t xml:space="preserve">IFRS AU Taxonomy </w:t>
      </w:r>
      <w:r w:rsidR="00442B0D">
        <w:rPr>
          <w:rFonts w:cs="Arial"/>
          <w:bCs/>
          <w:iCs/>
          <w:sz w:val="20"/>
          <w:szCs w:val="20"/>
        </w:rPr>
        <w:t>2025</w:t>
      </w:r>
      <w:r w:rsidR="00753C7B" w:rsidRPr="001B1E65">
        <w:rPr>
          <w:rFonts w:cs="Arial"/>
          <w:bCs/>
          <w:iCs/>
          <w:sz w:val="20"/>
          <w:szCs w:val="20"/>
        </w:rPr>
        <w:t xml:space="preserve"> </w:t>
      </w:r>
      <w:r w:rsidR="00122EB0">
        <w:rPr>
          <w:rFonts w:cs="Arial"/>
          <w:bCs/>
          <w:iCs/>
          <w:sz w:val="20"/>
          <w:szCs w:val="20"/>
        </w:rPr>
        <w:t>is</w:t>
      </w:r>
      <w:r w:rsidR="00122EB0" w:rsidRPr="001B1E65">
        <w:rPr>
          <w:rFonts w:cs="Arial"/>
          <w:bCs/>
          <w:iCs/>
          <w:sz w:val="20"/>
          <w:szCs w:val="20"/>
        </w:rPr>
        <w:t xml:space="preserve"> </w:t>
      </w:r>
    </w:p>
    <w:p w14:paraId="7F6541D8" w14:textId="63C718C6" w:rsidR="005E75F9" w:rsidRDefault="00AC4935" w:rsidP="00122EB0">
      <w:r w:rsidRPr="00B67020">
        <w:rPr>
          <w:rFonts w:cs="Arial"/>
          <w:bCs/>
          <w:iCs/>
          <w:sz w:val="20"/>
          <w:szCs w:val="20"/>
        </w:rPr>
        <w:t>http://sbr.gov.au/taxonomy/sbr_au_taxonomy/extl/ifrs_au_</w:t>
      </w:r>
      <w:r w:rsidR="009A4824">
        <w:rPr>
          <w:rFonts w:cs="Arial"/>
          <w:bCs/>
          <w:iCs/>
          <w:sz w:val="20"/>
          <w:szCs w:val="20"/>
        </w:rPr>
        <w:t>20250821</w:t>
      </w:r>
      <w:r w:rsidRPr="00B67020">
        <w:rPr>
          <w:rFonts w:cs="Arial"/>
          <w:bCs/>
          <w:iCs/>
          <w:sz w:val="20"/>
          <w:szCs w:val="20"/>
        </w:rPr>
        <w:t>/full_ifrs_with_AU_extensions_entry_point_1_</w:t>
      </w:r>
      <w:r w:rsidR="009A4824">
        <w:rPr>
          <w:rFonts w:cs="Arial"/>
          <w:bCs/>
          <w:iCs/>
          <w:sz w:val="20"/>
          <w:szCs w:val="20"/>
        </w:rPr>
        <w:t>2025-08-21</w:t>
      </w:r>
      <w:r w:rsidRPr="00B67020">
        <w:rPr>
          <w:rFonts w:cs="Arial"/>
          <w:bCs/>
          <w:iCs/>
          <w:sz w:val="20"/>
          <w:szCs w:val="20"/>
        </w:rPr>
        <w:t>.xsd</w:t>
      </w:r>
      <w:r w:rsidRPr="00AC4935" w:rsidDel="00AC4935">
        <w:t xml:space="preserve"> </w:t>
      </w:r>
    </w:p>
    <w:p w14:paraId="6A9BE87D" w14:textId="77777777" w:rsidR="00867885" w:rsidRPr="00B35B7B" w:rsidRDefault="003842E2" w:rsidP="00867885">
      <w:pPr>
        <w:rPr>
          <w:rFonts w:cs="Arial"/>
          <w:bCs/>
          <w:iCs/>
          <w:sz w:val="20"/>
          <w:szCs w:val="20"/>
        </w:rPr>
      </w:pPr>
      <w:r w:rsidRPr="001B1E65">
        <w:rPr>
          <w:sz w:val="20"/>
          <w:szCs w:val="20"/>
        </w:rPr>
        <w:t xml:space="preserve">This </w:t>
      </w:r>
      <w:r w:rsidR="00867885" w:rsidRPr="001B1E65">
        <w:rPr>
          <w:sz w:val="20"/>
          <w:szCs w:val="20"/>
        </w:rPr>
        <w:t xml:space="preserve">is formed </w:t>
      </w:r>
      <w:r w:rsidR="00867885" w:rsidRPr="001B1E65">
        <w:rPr>
          <w:rFonts w:cs="Arial"/>
          <w:bCs/>
          <w:iCs/>
          <w:sz w:val="20"/>
          <w:szCs w:val="20"/>
        </w:rPr>
        <w:t xml:space="preserve">according to the file and folder structure set out in section </w:t>
      </w:r>
      <w:r w:rsidR="00B2505D" w:rsidRPr="001B1E65">
        <w:rPr>
          <w:rFonts w:cs="Arial"/>
          <w:bCs/>
          <w:iCs/>
          <w:sz w:val="20"/>
          <w:szCs w:val="20"/>
        </w:rPr>
        <w:t>3.3.1</w:t>
      </w:r>
      <w:r w:rsidR="00867885" w:rsidRPr="00B35B7B">
        <w:rPr>
          <w:rFonts w:cs="Arial"/>
          <w:bCs/>
          <w:iCs/>
          <w:sz w:val="20"/>
          <w:szCs w:val="20"/>
        </w:rPr>
        <w:t xml:space="preserve"> </w:t>
      </w:r>
    </w:p>
    <w:p w14:paraId="7A32E856" w14:textId="77777777" w:rsidR="00B2505D" w:rsidRPr="00B35B7B" w:rsidRDefault="00B2505D" w:rsidP="00867885">
      <w:pPr>
        <w:rPr>
          <w:rFonts w:cs="Arial"/>
          <w:bCs/>
          <w:iCs/>
          <w:sz w:val="20"/>
          <w:szCs w:val="20"/>
        </w:rPr>
      </w:pPr>
    </w:p>
    <w:p w14:paraId="0E081EC9" w14:textId="2322A4AA" w:rsidR="00867885" w:rsidRPr="00B35B7B" w:rsidRDefault="00867885" w:rsidP="00867885">
      <w:pPr>
        <w:rPr>
          <w:rFonts w:cs="Arial"/>
          <w:bCs/>
          <w:iCs/>
          <w:sz w:val="20"/>
          <w:szCs w:val="20"/>
        </w:rPr>
      </w:pPr>
      <w:r w:rsidRPr="00B35B7B">
        <w:rPr>
          <w:rFonts w:cs="Arial"/>
          <w:bCs/>
          <w:iCs/>
          <w:sz w:val="20"/>
          <w:szCs w:val="20"/>
        </w:rPr>
        <w:t xml:space="preserve">Table </w:t>
      </w:r>
      <w:r w:rsidR="00B711E0">
        <w:rPr>
          <w:rFonts w:cs="Arial"/>
          <w:bCs/>
          <w:iCs/>
          <w:sz w:val="20"/>
          <w:szCs w:val="20"/>
        </w:rPr>
        <w:t xml:space="preserve">1 </w:t>
      </w:r>
      <w:r w:rsidRPr="00B35B7B">
        <w:rPr>
          <w:rFonts w:cs="Arial"/>
          <w:bCs/>
          <w:iCs/>
          <w:sz w:val="20"/>
          <w:szCs w:val="20"/>
        </w:rPr>
        <w:t>below provides examples of absolute</w:t>
      </w:r>
      <w:r w:rsidR="00B2505D" w:rsidRPr="00B35B7B">
        <w:rPr>
          <w:rFonts w:cs="Arial"/>
          <w:bCs/>
          <w:iCs/>
          <w:sz w:val="20"/>
          <w:szCs w:val="20"/>
        </w:rPr>
        <w:t xml:space="preserve"> </w:t>
      </w:r>
      <w:r w:rsidRPr="00B35B7B">
        <w:rPr>
          <w:rFonts w:cs="Arial"/>
          <w:bCs/>
          <w:iCs/>
          <w:sz w:val="20"/>
          <w:szCs w:val="20"/>
        </w:rPr>
        <w:t xml:space="preserve">paths to </w:t>
      </w:r>
      <w:r w:rsidR="00FC3CEC">
        <w:rPr>
          <w:rFonts w:cs="Arial"/>
          <w:bCs/>
          <w:iCs/>
          <w:sz w:val="20"/>
          <w:szCs w:val="20"/>
        </w:rPr>
        <w:t xml:space="preserve">IFRS AU Taxonomy </w:t>
      </w:r>
      <w:r w:rsidR="00442B0D">
        <w:rPr>
          <w:rFonts w:cs="Arial"/>
          <w:bCs/>
          <w:iCs/>
          <w:sz w:val="20"/>
          <w:szCs w:val="20"/>
        </w:rPr>
        <w:t>2025</w:t>
      </w:r>
      <w:r w:rsidR="00753C7B" w:rsidRPr="00B35B7B">
        <w:rPr>
          <w:rFonts w:cs="Arial"/>
          <w:bCs/>
          <w:iCs/>
          <w:sz w:val="20"/>
          <w:szCs w:val="20"/>
        </w:rPr>
        <w:t xml:space="preserve"> </w:t>
      </w:r>
      <w:r w:rsidRPr="00B35B7B">
        <w:rPr>
          <w:rFonts w:cs="Arial"/>
          <w:bCs/>
          <w:iCs/>
          <w:sz w:val="20"/>
          <w:szCs w:val="20"/>
        </w:rPr>
        <w:t>files</w:t>
      </w:r>
      <w:r w:rsidR="000F27E9">
        <w:rPr>
          <w:rFonts w:cs="Arial"/>
          <w:bCs/>
          <w:iCs/>
          <w:sz w:val="20"/>
          <w:szCs w:val="20"/>
        </w:rPr>
        <w:t xml:space="preserve"> formed according to the file and folder structure set out in section 3.3.1</w:t>
      </w:r>
    </w:p>
    <w:p w14:paraId="6891BC17" w14:textId="77777777" w:rsidR="00867885" w:rsidRDefault="00867885" w:rsidP="00643A94">
      <w:pPr>
        <w:pStyle w:val="ListParagraph"/>
        <w:ind w:left="644"/>
        <w:rPr>
          <w:rFonts w:cs="Arial"/>
          <w:bCs/>
          <w:iCs/>
          <w:szCs w:val="22"/>
        </w:rPr>
      </w:pPr>
    </w:p>
    <w:p w14:paraId="39E9AB9A" w14:textId="77777777" w:rsidR="009B77C1" w:rsidRDefault="003E2A65" w:rsidP="00F069A2">
      <w:pPr>
        <w:pStyle w:val="ListParagraph"/>
        <w:numPr>
          <w:ilvl w:val="0"/>
          <w:numId w:val="28"/>
        </w:numPr>
        <w:ind w:left="851" w:hanging="851"/>
        <w:rPr>
          <w:rFonts w:cs="Arial"/>
          <w:bCs/>
          <w:iCs/>
          <w:szCs w:val="22"/>
        </w:rPr>
      </w:pPr>
      <w:r>
        <w:rPr>
          <w:rStyle w:val="Emphasis"/>
          <w:sz w:val="18"/>
          <w:szCs w:val="18"/>
        </w:rPr>
        <w:t>Absolute path to I</w:t>
      </w:r>
      <w:r w:rsidR="00045ECF">
        <w:rPr>
          <w:rStyle w:val="Emphasis"/>
          <w:sz w:val="18"/>
          <w:szCs w:val="18"/>
        </w:rPr>
        <w:t>F</w:t>
      </w:r>
      <w:r>
        <w:rPr>
          <w:rStyle w:val="Emphasis"/>
          <w:sz w:val="18"/>
          <w:szCs w:val="18"/>
        </w:rPr>
        <w:t>R</w:t>
      </w:r>
      <w:r w:rsidR="00045ECF">
        <w:rPr>
          <w:rStyle w:val="Emphasis"/>
          <w:sz w:val="18"/>
          <w:szCs w:val="18"/>
        </w:rPr>
        <w:t>S AU</w:t>
      </w:r>
    </w:p>
    <w:tbl>
      <w:tblPr>
        <w:tblStyle w:val="TableGrid"/>
        <w:tblW w:w="0" w:type="auto"/>
        <w:tblLayout w:type="fixed"/>
        <w:tblLook w:val="04A0" w:firstRow="1" w:lastRow="0" w:firstColumn="1" w:lastColumn="0" w:noHBand="0" w:noVBand="1"/>
      </w:tblPr>
      <w:tblGrid>
        <w:gridCol w:w="1384"/>
        <w:gridCol w:w="8896"/>
      </w:tblGrid>
      <w:tr w:rsidR="00867885" w14:paraId="160F6919" w14:textId="77777777" w:rsidTr="00B67020">
        <w:tc>
          <w:tcPr>
            <w:tcW w:w="1384" w:type="dxa"/>
            <w:shd w:val="clear" w:color="auto" w:fill="DBE5F1" w:themeFill="accent1" w:themeFillTint="33"/>
          </w:tcPr>
          <w:p w14:paraId="54690657" w14:textId="77777777" w:rsidR="00867885" w:rsidRPr="00867885" w:rsidRDefault="00867885" w:rsidP="00867885">
            <w:pPr>
              <w:pStyle w:val="Maintext"/>
              <w:spacing w:before="120" w:after="120"/>
              <w:rPr>
                <w:b/>
                <w:szCs w:val="22"/>
              </w:rPr>
            </w:pPr>
            <w:r w:rsidRPr="00867885">
              <w:rPr>
                <w:b/>
                <w:szCs w:val="22"/>
              </w:rPr>
              <w:t>File</w:t>
            </w:r>
          </w:p>
        </w:tc>
        <w:tc>
          <w:tcPr>
            <w:tcW w:w="8896" w:type="dxa"/>
            <w:shd w:val="clear" w:color="auto" w:fill="DBE5F1" w:themeFill="accent1" w:themeFillTint="33"/>
          </w:tcPr>
          <w:p w14:paraId="5C2517D0" w14:textId="77777777" w:rsidR="00867885" w:rsidRPr="00867885" w:rsidRDefault="00867885" w:rsidP="00867885">
            <w:pPr>
              <w:pStyle w:val="Maintext"/>
              <w:spacing w:before="120" w:after="120"/>
              <w:rPr>
                <w:b/>
                <w:szCs w:val="22"/>
              </w:rPr>
            </w:pPr>
            <w:r w:rsidRPr="00867885">
              <w:rPr>
                <w:b/>
                <w:szCs w:val="22"/>
              </w:rPr>
              <w:t>Absolute path</w:t>
            </w:r>
          </w:p>
        </w:tc>
      </w:tr>
      <w:tr w:rsidR="003E2A65" w:rsidRPr="0084394D" w14:paraId="0F43ED23" w14:textId="77777777" w:rsidTr="00B67020">
        <w:trPr>
          <w:trHeight w:val="454"/>
        </w:trPr>
        <w:tc>
          <w:tcPr>
            <w:tcW w:w="1384" w:type="dxa"/>
            <w:vAlign w:val="center"/>
          </w:tcPr>
          <w:p w14:paraId="683F9216" w14:textId="77777777" w:rsidR="003E2A65" w:rsidRPr="0084394D" w:rsidRDefault="003E2A65" w:rsidP="001E5ADE">
            <w:pPr>
              <w:rPr>
                <w:rFonts w:cs="Arial"/>
                <w:bCs/>
                <w:iCs/>
                <w:sz w:val="18"/>
                <w:szCs w:val="18"/>
              </w:rPr>
            </w:pPr>
            <w:r w:rsidRPr="0084394D">
              <w:rPr>
                <w:rFonts w:cs="Arial"/>
                <w:bCs/>
                <w:iCs/>
                <w:sz w:val="18"/>
                <w:szCs w:val="18"/>
              </w:rPr>
              <w:t>IFRS AU Core schema</w:t>
            </w:r>
          </w:p>
        </w:tc>
        <w:tc>
          <w:tcPr>
            <w:tcW w:w="8896" w:type="dxa"/>
            <w:vAlign w:val="center"/>
          </w:tcPr>
          <w:p w14:paraId="69D4440F" w14:textId="4850FBEA" w:rsidR="003E2A65" w:rsidRPr="0084394D" w:rsidRDefault="003E2A65" w:rsidP="000F27E9">
            <w:pPr>
              <w:rPr>
                <w:rFonts w:cs="Arial"/>
                <w:bCs/>
                <w:iCs/>
                <w:sz w:val="18"/>
                <w:szCs w:val="18"/>
              </w:rPr>
            </w:pPr>
            <w:r w:rsidRPr="0084394D">
              <w:rPr>
                <w:rFonts w:cs="Arial"/>
                <w:bCs/>
                <w:iCs/>
                <w:sz w:val="18"/>
                <w:szCs w:val="18"/>
              </w:rPr>
              <w:t>http://sbr.gov.au/taxonomy/sbr_au_taxonomy/extl/</w:t>
            </w:r>
            <w:r w:rsidR="00A20DE4" w:rsidRPr="0084394D">
              <w:rPr>
                <w:rFonts w:cs="Arial"/>
                <w:bCs/>
                <w:iCs/>
                <w:sz w:val="18"/>
                <w:szCs w:val="18"/>
              </w:rPr>
              <w:t>ifrs_au_</w:t>
            </w:r>
            <w:r w:rsidR="009A4824">
              <w:rPr>
                <w:rFonts w:cs="Arial"/>
                <w:bCs/>
                <w:iCs/>
                <w:sz w:val="18"/>
                <w:szCs w:val="18"/>
              </w:rPr>
              <w:t>20250821</w:t>
            </w:r>
            <w:r w:rsidR="00422325" w:rsidRPr="0084394D">
              <w:rPr>
                <w:rFonts w:cs="Arial"/>
                <w:bCs/>
                <w:iCs/>
                <w:sz w:val="18"/>
                <w:szCs w:val="18"/>
              </w:rPr>
              <w:t>/au</w:t>
            </w:r>
            <w:r w:rsidR="000F27E9">
              <w:rPr>
                <w:rFonts w:cs="Arial"/>
                <w:bCs/>
                <w:iCs/>
                <w:sz w:val="18"/>
                <w:szCs w:val="18"/>
              </w:rPr>
              <w:t>_extensions</w:t>
            </w:r>
            <w:r w:rsidRPr="0084394D">
              <w:rPr>
                <w:rFonts w:cs="Arial"/>
                <w:bCs/>
                <w:iCs/>
                <w:sz w:val="18"/>
                <w:szCs w:val="18"/>
              </w:rPr>
              <w:t>/ifrs_au-cor_</w:t>
            </w:r>
            <w:r w:rsidR="009A4824">
              <w:rPr>
                <w:rFonts w:cs="Arial"/>
                <w:bCs/>
                <w:iCs/>
                <w:sz w:val="18"/>
                <w:szCs w:val="18"/>
              </w:rPr>
              <w:t>2025-08-21</w:t>
            </w:r>
            <w:r w:rsidRPr="0084394D">
              <w:rPr>
                <w:rFonts w:cs="Arial"/>
                <w:bCs/>
                <w:iCs/>
                <w:sz w:val="18"/>
                <w:szCs w:val="18"/>
              </w:rPr>
              <w:t>.xsd</w:t>
            </w:r>
          </w:p>
        </w:tc>
      </w:tr>
      <w:tr w:rsidR="003E2A65" w:rsidRPr="0084394D" w14:paraId="40913439" w14:textId="77777777" w:rsidTr="00B67020">
        <w:trPr>
          <w:trHeight w:val="454"/>
        </w:trPr>
        <w:tc>
          <w:tcPr>
            <w:tcW w:w="1384" w:type="dxa"/>
            <w:vAlign w:val="center"/>
          </w:tcPr>
          <w:p w14:paraId="3BED0A97" w14:textId="77777777" w:rsidR="003E2A65" w:rsidRPr="0084394D" w:rsidRDefault="003E2A65" w:rsidP="001E5ADE">
            <w:pPr>
              <w:rPr>
                <w:rFonts w:cs="Arial"/>
                <w:bCs/>
                <w:iCs/>
                <w:sz w:val="18"/>
                <w:szCs w:val="18"/>
              </w:rPr>
            </w:pPr>
            <w:r w:rsidRPr="0084394D">
              <w:rPr>
                <w:rFonts w:cs="Arial"/>
                <w:bCs/>
                <w:iCs/>
                <w:sz w:val="18"/>
                <w:szCs w:val="18"/>
              </w:rPr>
              <w:t>English label linkbase</w:t>
            </w:r>
            <w:r w:rsidR="00F00BE5" w:rsidRPr="0084394D">
              <w:rPr>
                <w:rFonts w:cs="Arial"/>
                <w:bCs/>
                <w:iCs/>
                <w:sz w:val="18"/>
                <w:szCs w:val="18"/>
              </w:rPr>
              <w:t xml:space="preserve"> for the IFRS AU Taxonomy additional concepts</w:t>
            </w:r>
          </w:p>
        </w:tc>
        <w:tc>
          <w:tcPr>
            <w:tcW w:w="8896" w:type="dxa"/>
            <w:vAlign w:val="center"/>
          </w:tcPr>
          <w:p w14:paraId="0FBC2983" w14:textId="3D27E804" w:rsidR="003E2A65" w:rsidRPr="0084394D" w:rsidRDefault="003E2A65" w:rsidP="000F27E9">
            <w:pPr>
              <w:rPr>
                <w:rFonts w:cs="Arial"/>
                <w:bCs/>
                <w:iCs/>
                <w:sz w:val="18"/>
                <w:szCs w:val="18"/>
              </w:rPr>
            </w:pPr>
            <w:r w:rsidRPr="0084394D">
              <w:rPr>
                <w:rFonts w:cs="Arial"/>
                <w:bCs/>
                <w:iCs/>
                <w:sz w:val="18"/>
                <w:szCs w:val="18"/>
              </w:rPr>
              <w:t>http://sbr.gov.au/taxonomy/sbr_au_taxonomy/extl/</w:t>
            </w:r>
            <w:r w:rsidR="00A20DE4" w:rsidRPr="0084394D">
              <w:rPr>
                <w:rFonts w:cs="Arial"/>
                <w:bCs/>
                <w:iCs/>
                <w:sz w:val="18"/>
                <w:szCs w:val="18"/>
              </w:rPr>
              <w:t>ifrs_au_</w:t>
            </w:r>
            <w:r w:rsidR="009A4824">
              <w:rPr>
                <w:rFonts w:cs="Arial"/>
                <w:bCs/>
                <w:iCs/>
                <w:sz w:val="18"/>
                <w:szCs w:val="18"/>
              </w:rPr>
              <w:t>20250821</w:t>
            </w:r>
            <w:r w:rsidR="00841F06" w:rsidRPr="0084394D">
              <w:rPr>
                <w:rFonts w:cs="Arial"/>
                <w:bCs/>
                <w:iCs/>
                <w:sz w:val="18"/>
                <w:szCs w:val="18"/>
              </w:rPr>
              <w:t>/au</w:t>
            </w:r>
            <w:r w:rsidR="000F27E9">
              <w:rPr>
                <w:rFonts w:cs="Arial"/>
                <w:bCs/>
                <w:iCs/>
                <w:sz w:val="18"/>
                <w:szCs w:val="18"/>
              </w:rPr>
              <w:t>_extensions</w:t>
            </w:r>
            <w:r w:rsidRPr="0084394D">
              <w:rPr>
                <w:rFonts w:cs="Arial"/>
                <w:bCs/>
                <w:iCs/>
                <w:sz w:val="18"/>
                <w:szCs w:val="18"/>
              </w:rPr>
              <w:t>/labels_au/lab_ifrs_au-en_</w:t>
            </w:r>
            <w:r w:rsidR="009A4824">
              <w:rPr>
                <w:rFonts w:cs="Arial"/>
                <w:bCs/>
                <w:iCs/>
                <w:sz w:val="18"/>
                <w:szCs w:val="18"/>
              </w:rPr>
              <w:t>2025-08-21</w:t>
            </w:r>
            <w:r w:rsidRPr="0084394D">
              <w:rPr>
                <w:rFonts w:cs="Arial"/>
                <w:bCs/>
                <w:iCs/>
                <w:sz w:val="18"/>
                <w:szCs w:val="18"/>
              </w:rPr>
              <w:t>.x</w:t>
            </w:r>
            <w:r w:rsidR="00F00BE5" w:rsidRPr="0084394D">
              <w:rPr>
                <w:rFonts w:cs="Arial"/>
                <w:bCs/>
                <w:iCs/>
                <w:sz w:val="18"/>
                <w:szCs w:val="18"/>
              </w:rPr>
              <w:t>ml</w:t>
            </w:r>
          </w:p>
        </w:tc>
      </w:tr>
      <w:tr w:rsidR="003E2A65" w:rsidRPr="0084394D" w14:paraId="03D8D00B" w14:textId="77777777" w:rsidTr="00B67020">
        <w:trPr>
          <w:trHeight w:val="454"/>
        </w:trPr>
        <w:tc>
          <w:tcPr>
            <w:tcW w:w="1384" w:type="dxa"/>
            <w:vAlign w:val="center"/>
          </w:tcPr>
          <w:p w14:paraId="1D8D39F0" w14:textId="77777777" w:rsidR="003E2A65" w:rsidRDefault="003E2A65" w:rsidP="001E5ADE">
            <w:pPr>
              <w:rPr>
                <w:rFonts w:cs="Arial"/>
                <w:bCs/>
                <w:iCs/>
                <w:sz w:val="18"/>
                <w:szCs w:val="18"/>
              </w:rPr>
            </w:pPr>
          </w:p>
          <w:p w14:paraId="4DF46DC0" w14:textId="77777777" w:rsidR="000F27E9" w:rsidRPr="0084394D" w:rsidRDefault="000F27E9" w:rsidP="001E5ADE">
            <w:pPr>
              <w:rPr>
                <w:rFonts w:cs="Arial"/>
                <w:bCs/>
                <w:iCs/>
                <w:sz w:val="18"/>
                <w:szCs w:val="18"/>
              </w:rPr>
            </w:pPr>
            <w:r>
              <w:rPr>
                <w:rFonts w:cs="Arial"/>
                <w:bCs/>
                <w:iCs/>
                <w:sz w:val="18"/>
                <w:szCs w:val="18"/>
              </w:rPr>
              <w:t>AU Extension to the presentation linkbase in relation to the role 210000 of the IFRS Taxonomy</w:t>
            </w:r>
          </w:p>
        </w:tc>
        <w:tc>
          <w:tcPr>
            <w:tcW w:w="8896" w:type="dxa"/>
            <w:vAlign w:val="center"/>
          </w:tcPr>
          <w:p w14:paraId="3523361E" w14:textId="77777777" w:rsidR="003E2A65" w:rsidRDefault="003E2A65" w:rsidP="00EB648E">
            <w:pPr>
              <w:rPr>
                <w:rFonts w:cs="Arial"/>
                <w:bCs/>
                <w:iCs/>
                <w:sz w:val="18"/>
                <w:szCs w:val="18"/>
              </w:rPr>
            </w:pPr>
          </w:p>
          <w:p w14:paraId="22DFEECC" w14:textId="5E9F7551" w:rsidR="000F27E9" w:rsidRPr="0084394D" w:rsidRDefault="000F27E9" w:rsidP="0076286C">
            <w:pPr>
              <w:rPr>
                <w:rFonts w:cs="Arial"/>
                <w:bCs/>
                <w:iCs/>
                <w:sz w:val="18"/>
                <w:szCs w:val="18"/>
              </w:rPr>
            </w:pPr>
            <w:r w:rsidRPr="0084394D">
              <w:rPr>
                <w:rFonts w:cs="Arial"/>
                <w:bCs/>
                <w:iCs/>
                <w:sz w:val="18"/>
                <w:szCs w:val="18"/>
              </w:rPr>
              <w:t>http://sbr.gov.au/taxonomy/sbr_au_taxonomy/extl/ifrs_au_</w:t>
            </w:r>
            <w:r w:rsidR="009A4824">
              <w:rPr>
                <w:rFonts w:cs="Arial"/>
                <w:bCs/>
                <w:iCs/>
                <w:sz w:val="18"/>
                <w:szCs w:val="18"/>
              </w:rPr>
              <w:t>20250821</w:t>
            </w:r>
            <w:r w:rsidRPr="0084394D">
              <w:rPr>
                <w:rFonts w:cs="Arial"/>
                <w:bCs/>
                <w:iCs/>
                <w:sz w:val="18"/>
                <w:szCs w:val="18"/>
              </w:rPr>
              <w:t>/au</w:t>
            </w:r>
            <w:r>
              <w:rPr>
                <w:rFonts w:cs="Arial"/>
                <w:bCs/>
                <w:iCs/>
                <w:sz w:val="18"/>
                <w:szCs w:val="18"/>
              </w:rPr>
              <w:t>_extensions</w:t>
            </w:r>
            <w:r w:rsidRPr="0084394D">
              <w:rPr>
                <w:rFonts w:cs="Arial"/>
                <w:bCs/>
                <w:iCs/>
                <w:sz w:val="18"/>
                <w:szCs w:val="18"/>
              </w:rPr>
              <w:t>/</w:t>
            </w:r>
            <w:r w:rsidRPr="000F27E9">
              <w:rPr>
                <w:rFonts w:cs="Arial"/>
                <w:bCs/>
                <w:iCs/>
                <w:sz w:val="18"/>
                <w:szCs w:val="18"/>
              </w:rPr>
              <w:t>linkbase_au</w:t>
            </w:r>
            <w:r w:rsidR="0076286C">
              <w:rPr>
                <w:rFonts w:cs="Arial"/>
                <w:bCs/>
                <w:iCs/>
                <w:sz w:val="18"/>
                <w:szCs w:val="18"/>
              </w:rPr>
              <w:t>/</w:t>
            </w:r>
            <w:r w:rsidRPr="000F27E9">
              <w:rPr>
                <w:rFonts w:cs="Arial"/>
                <w:bCs/>
                <w:iCs/>
                <w:sz w:val="18"/>
                <w:szCs w:val="18"/>
              </w:rPr>
              <w:t>au_additional_disclosures_entry_point_1</w:t>
            </w:r>
            <w:r>
              <w:rPr>
                <w:rFonts w:cs="Arial"/>
                <w:bCs/>
                <w:iCs/>
                <w:sz w:val="18"/>
                <w:szCs w:val="18"/>
              </w:rPr>
              <w:t>/</w:t>
            </w:r>
            <w:r w:rsidRPr="000F27E9">
              <w:rPr>
                <w:rFonts w:cs="Arial"/>
                <w:bCs/>
                <w:iCs/>
                <w:sz w:val="18"/>
                <w:szCs w:val="18"/>
              </w:rPr>
              <w:t>pre_au_extension_ias_1_</w:t>
            </w:r>
            <w:r w:rsidR="009A4824">
              <w:rPr>
                <w:rFonts w:cs="Arial"/>
                <w:bCs/>
                <w:iCs/>
                <w:sz w:val="18"/>
                <w:szCs w:val="18"/>
              </w:rPr>
              <w:t>2025-08-21</w:t>
            </w:r>
            <w:r w:rsidRPr="000F27E9">
              <w:rPr>
                <w:rFonts w:cs="Arial"/>
                <w:bCs/>
                <w:iCs/>
                <w:sz w:val="18"/>
                <w:szCs w:val="18"/>
              </w:rPr>
              <w:t>_role-210000.xml</w:t>
            </w:r>
          </w:p>
        </w:tc>
      </w:tr>
    </w:tbl>
    <w:p w14:paraId="2FB1F7DC" w14:textId="77777777" w:rsidR="00643A94" w:rsidRDefault="00643A94" w:rsidP="00C71D40">
      <w:pPr>
        <w:autoSpaceDE w:val="0"/>
        <w:autoSpaceDN w:val="0"/>
        <w:adjustRightInd w:val="0"/>
        <w:rPr>
          <w:rFonts w:cs="Arial"/>
          <w:bCs/>
          <w:iCs/>
          <w:sz w:val="20"/>
          <w:szCs w:val="20"/>
        </w:rPr>
      </w:pPr>
    </w:p>
    <w:p w14:paraId="597E7FCC" w14:textId="77777777" w:rsidR="00643A94" w:rsidRDefault="00643A94" w:rsidP="00C71D40">
      <w:pPr>
        <w:autoSpaceDE w:val="0"/>
        <w:autoSpaceDN w:val="0"/>
        <w:adjustRightInd w:val="0"/>
        <w:rPr>
          <w:rFonts w:cs="Arial"/>
          <w:bCs/>
          <w:iCs/>
          <w:sz w:val="20"/>
          <w:szCs w:val="20"/>
        </w:rPr>
      </w:pPr>
    </w:p>
    <w:p w14:paraId="64F99CE2" w14:textId="42FF6892" w:rsidR="00867885" w:rsidRPr="00B35B7B" w:rsidRDefault="00FC3CEC" w:rsidP="00C71D40">
      <w:pPr>
        <w:autoSpaceDE w:val="0"/>
        <w:autoSpaceDN w:val="0"/>
        <w:adjustRightInd w:val="0"/>
        <w:rPr>
          <w:rFonts w:cs="Arial"/>
          <w:bCs/>
          <w:iCs/>
          <w:sz w:val="20"/>
          <w:szCs w:val="20"/>
        </w:rPr>
      </w:pPr>
      <w:r>
        <w:rPr>
          <w:rFonts w:cs="Arial"/>
          <w:bCs/>
          <w:iCs/>
          <w:sz w:val="20"/>
          <w:szCs w:val="20"/>
        </w:rPr>
        <w:t xml:space="preserve">IFRS AU Taxonomy </w:t>
      </w:r>
      <w:r w:rsidR="00442B0D">
        <w:rPr>
          <w:rFonts w:cs="Arial"/>
          <w:bCs/>
          <w:iCs/>
          <w:sz w:val="20"/>
          <w:szCs w:val="20"/>
        </w:rPr>
        <w:t>2025</w:t>
      </w:r>
      <w:r w:rsidR="00753C7B" w:rsidRPr="00B35B7B">
        <w:rPr>
          <w:rFonts w:cs="Arial"/>
          <w:bCs/>
          <w:iCs/>
          <w:sz w:val="20"/>
          <w:szCs w:val="20"/>
        </w:rPr>
        <w:t xml:space="preserve"> </w:t>
      </w:r>
      <w:r w:rsidR="00C71D40" w:rsidRPr="00B35B7B">
        <w:rPr>
          <w:rFonts w:cs="Arial"/>
          <w:bCs/>
          <w:iCs/>
          <w:sz w:val="20"/>
          <w:szCs w:val="20"/>
        </w:rPr>
        <w:t xml:space="preserve">files can be referenced using both absolute and relative paths. </w:t>
      </w:r>
      <w:r w:rsidR="009D682B">
        <w:rPr>
          <w:rFonts w:cs="Arial"/>
          <w:bCs/>
          <w:iCs/>
          <w:sz w:val="20"/>
          <w:szCs w:val="20"/>
        </w:rPr>
        <w:t>Preparers</w:t>
      </w:r>
      <w:r w:rsidR="00C71D40" w:rsidRPr="00B35B7B">
        <w:rPr>
          <w:rFonts w:cs="Arial"/>
          <w:bCs/>
          <w:iCs/>
          <w:sz w:val="20"/>
          <w:szCs w:val="20"/>
        </w:rPr>
        <w:t xml:space="preserve"> should note that </w:t>
      </w:r>
      <w:r>
        <w:rPr>
          <w:rFonts w:cs="Arial"/>
          <w:bCs/>
          <w:iCs/>
          <w:sz w:val="20"/>
          <w:szCs w:val="20"/>
        </w:rPr>
        <w:t xml:space="preserve">IFRS AU Taxonomy </w:t>
      </w:r>
      <w:r w:rsidR="00442B0D">
        <w:rPr>
          <w:rFonts w:cs="Arial"/>
          <w:bCs/>
          <w:iCs/>
          <w:sz w:val="20"/>
          <w:szCs w:val="20"/>
        </w:rPr>
        <w:t>2025</w:t>
      </w:r>
      <w:r w:rsidR="00753C7B" w:rsidRPr="00B35B7B">
        <w:rPr>
          <w:rFonts w:cs="Arial"/>
          <w:bCs/>
          <w:iCs/>
          <w:sz w:val="20"/>
          <w:szCs w:val="20"/>
        </w:rPr>
        <w:t xml:space="preserve"> </w:t>
      </w:r>
      <w:r w:rsidR="00C71D40" w:rsidRPr="00B35B7B">
        <w:rPr>
          <w:rFonts w:cs="Arial"/>
          <w:bCs/>
          <w:iCs/>
          <w:sz w:val="20"/>
          <w:szCs w:val="20"/>
        </w:rPr>
        <w:t>files should not be amended and should therefore be referenced via absolute paths to avoid file changes being made by preparers.</w:t>
      </w:r>
    </w:p>
    <w:p w14:paraId="61C52054" w14:textId="77777777" w:rsidR="003A2E43" w:rsidRDefault="003A2E43" w:rsidP="005819BE">
      <w:pPr>
        <w:pStyle w:val="Head3"/>
      </w:pPr>
      <w:bookmarkStart w:id="172" w:name="_Toc205457962"/>
      <w:r w:rsidRPr="005819BE">
        <w:t>DTS discovery</w:t>
      </w:r>
      <w:bookmarkEnd w:id="172"/>
    </w:p>
    <w:p w14:paraId="6276240F" w14:textId="659BCFD9" w:rsidR="00C71D40" w:rsidRDefault="00FC3CEC" w:rsidP="00FB7EF4">
      <w:pPr>
        <w:autoSpaceDE w:val="0"/>
        <w:autoSpaceDN w:val="0"/>
        <w:adjustRightInd w:val="0"/>
        <w:rPr>
          <w:rFonts w:cs="Arial"/>
          <w:bCs/>
          <w:iCs/>
          <w:sz w:val="20"/>
          <w:szCs w:val="20"/>
        </w:rPr>
      </w:pPr>
      <w:r>
        <w:rPr>
          <w:rFonts w:cs="Arial"/>
          <w:bCs/>
          <w:iCs/>
          <w:sz w:val="20"/>
          <w:szCs w:val="20"/>
        </w:rPr>
        <w:t xml:space="preserve">IFRS AU Taxonomy </w:t>
      </w:r>
      <w:r w:rsidR="00442B0D">
        <w:rPr>
          <w:rFonts w:cs="Arial"/>
          <w:bCs/>
          <w:iCs/>
          <w:sz w:val="20"/>
          <w:szCs w:val="20"/>
        </w:rPr>
        <w:t>2025</w:t>
      </w:r>
      <w:r w:rsidR="00753C7B" w:rsidRPr="00FB7EF4">
        <w:rPr>
          <w:rFonts w:cs="Arial"/>
          <w:bCs/>
          <w:iCs/>
          <w:sz w:val="20"/>
          <w:szCs w:val="20"/>
        </w:rPr>
        <w:t xml:space="preserve"> </w:t>
      </w:r>
      <w:r w:rsidR="00177EDB" w:rsidRPr="00FB7EF4">
        <w:rPr>
          <w:rFonts w:cs="Arial"/>
          <w:bCs/>
          <w:iCs/>
          <w:sz w:val="20"/>
          <w:szCs w:val="20"/>
        </w:rPr>
        <w:t xml:space="preserve">is modularised as described in section 3.3.1 and the entry point </w:t>
      </w:r>
      <w:r w:rsidR="009E4CE1">
        <w:rPr>
          <w:rFonts w:cs="Arial"/>
          <w:bCs/>
          <w:iCs/>
          <w:sz w:val="20"/>
          <w:szCs w:val="20"/>
        </w:rPr>
        <w:t>is</w:t>
      </w:r>
      <w:r w:rsidR="00177EDB" w:rsidRPr="00FB7EF4">
        <w:rPr>
          <w:rFonts w:cs="Arial"/>
          <w:bCs/>
          <w:iCs/>
          <w:sz w:val="20"/>
          <w:szCs w:val="20"/>
        </w:rPr>
        <w:t xml:space="preserve"> the schema </w:t>
      </w:r>
    </w:p>
    <w:p w14:paraId="13D65C92" w14:textId="3014C46D" w:rsidR="0011041D" w:rsidRPr="00FB7EF4" w:rsidRDefault="0011041D" w:rsidP="00DA5337">
      <w:pPr>
        <w:autoSpaceDE w:val="0"/>
        <w:autoSpaceDN w:val="0"/>
        <w:adjustRightInd w:val="0"/>
        <w:rPr>
          <w:rFonts w:cs="Arial"/>
          <w:bCs/>
          <w:iCs/>
          <w:sz w:val="20"/>
          <w:szCs w:val="20"/>
        </w:rPr>
      </w:pPr>
      <w:r w:rsidRPr="00B67020">
        <w:rPr>
          <w:rFonts w:cs="Arial"/>
          <w:bCs/>
          <w:iCs/>
          <w:sz w:val="20"/>
          <w:szCs w:val="20"/>
        </w:rPr>
        <w:t>full_ifrs_with_AU_extensions_entry_point_1_</w:t>
      </w:r>
      <w:r w:rsidR="009A4824">
        <w:rPr>
          <w:rFonts w:cs="Arial"/>
          <w:bCs/>
          <w:iCs/>
          <w:sz w:val="20"/>
          <w:szCs w:val="20"/>
        </w:rPr>
        <w:t>2025-08-21</w:t>
      </w:r>
      <w:r w:rsidRPr="00B67020">
        <w:rPr>
          <w:rFonts w:cs="Arial"/>
          <w:bCs/>
          <w:iCs/>
          <w:sz w:val="20"/>
          <w:szCs w:val="20"/>
        </w:rPr>
        <w:t>.xsd</w:t>
      </w:r>
    </w:p>
    <w:p w14:paraId="21AA0AB5" w14:textId="77777777" w:rsidR="003A2E43" w:rsidRPr="00FB7EF4" w:rsidRDefault="00177EDB" w:rsidP="00FB7EF4">
      <w:pPr>
        <w:autoSpaceDE w:val="0"/>
        <w:autoSpaceDN w:val="0"/>
        <w:adjustRightInd w:val="0"/>
        <w:rPr>
          <w:rFonts w:cs="Arial"/>
          <w:bCs/>
          <w:iCs/>
          <w:sz w:val="20"/>
          <w:szCs w:val="20"/>
        </w:rPr>
      </w:pPr>
      <w:r w:rsidRPr="00FB7EF4">
        <w:rPr>
          <w:rFonts w:cs="Arial"/>
          <w:bCs/>
          <w:iCs/>
          <w:sz w:val="20"/>
          <w:szCs w:val="20"/>
        </w:rPr>
        <w:t>The discovery process is conducted in accordance with the XBRL 2.1 Specification discovery rules</w:t>
      </w:r>
      <w:r w:rsidR="00DC705A" w:rsidRPr="00FB7EF4">
        <w:rPr>
          <w:rFonts w:cs="Arial"/>
          <w:bCs/>
          <w:iCs/>
          <w:sz w:val="20"/>
          <w:szCs w:val="20"/>
        </w:rPr>
        <w:t>.</w:t>
      </w:r>
    </w:p>
    <w:p w14:paraId="1369880A" w14:textId="77777777" w:rsidR="009E3DC3" w:rsidRDefault="003A2E43" w:rsidP="009E3DC3">
      <w:pPr>
        <w:pStyle w:val="Head3"/>
      </w:pPr>
      <w:bookmarkStart w:id="173" w:name="_Toc205457963"/>
      <w:r w:rsidRPr="005819BE">
        <w:t>Namespaces</w:t>
      </w:r>
      <w:bookmarkEnd w:id="173"/>
    </w:p>
    <w:p w14:paraId="5294A9A5" w14:textId="2BE2FAC9" w:rsidR="0011041D" w:rsidRDefault="00601C6C" w:rsidP="00601C6C">
      <w:pPr>
        <w:autoSpaceDE w:val="0"/>
        <w:autoSpaceDN w:val="0"/>
        <w:adjustRightInd w:val="0"/>
        <w:rPr>
          <w:rFonts w:cs="Arial"/>
          <w:bCs/>
          <w:iCs/>
          <w:sz w:val="20"/>
          <w:szCs w:val="20"/>
        </w:rPr>
      </w:pPr>
      <w:r w:rsidRPr="00B35B7B">
        <w:rPr>
          <w:rFonts w:cs="Arial"/>
          <w:bCs/>
          <w:iCs/>
          <w:sz w:val="20"/>
          <w:szCs w:val="20"/>
        </w:rPr>
        <w:t>T</w:t>
      </w:r>
      <w:r w:rsidR="00FB1E0E">
        <w:rPr>
          <w:rFonts w:cs="Arial"/>
          <w:bCs/>
          <w:iCs/>
          <w:sz w:val="20"/>
          <w:szCs w:val="20"/>
        </w:rPr>
        <w:t xml:space="preserve">he namespaces used by </w:t>
      </w:r>
      <w:r w:rsidR="00FC3CEC">
        <w:rPr>
          <w:rFonts w:cs="Arial"/>
          <w:bCs/>
          <w:iCs/>
          <w:sz w:val="20"/>
          <w:szCs w:val="20"/>
        </w:rPr>
        <w:t xml:space="preserve">IFRS AU Taxonomy </w:t>
      </w:r>
      <w:r w:rsidR="00442B0D">
        <w:rPr>
          <w:rFonts w:cs="Arial"/>
          <w:bCs/>
          <w:iCs/>
          <w:sz w:val="20"/>
          <w:szCs w:val="20"/>
        </w:rPr>
        <w:t>2025</w:t>
      </w:r>
      <w:r w:rsidR="00753C7B" w:rsidRPr="00B35B7B">
        <w:rPr>
          <w:rFonts w:cs="Arial"/>
          <w:bCs/>
          <w:iCs/>
          <w:sz w:val="20"/>
          <w:szCs w:val="20"/>
        </w:rPr>
        <w:t xml:space="preserve"> </w:t>
      </w:r>
      <w:r w:rsidRPr="00B35B7B">
        <w:rPr>
          <w:rFonts w:cs="Arial"/>
          <w:bCs/>
          <w:iCs/>
          <w:sz w:val="20"/>
          <w:szCs w:val="20"/>
        </w:rPr>
        <w:t>are aligned and follow the same pattern as the one used in</w:t>
      </w:r>
      <w:r w:rsidR="00C665CA">
        <w:rPr>
          <w:rFonts w:cs="Arial"/>
          <w:bCs/>
          <w:iCs/>
          <w:sz w:val="20"/>
          <w:szCs w:val="20"/>
        </w:rPr>
        <w:t xml:space="preserve"> the</w:t>
      </w:r>
      <w:r w:rsidRPr="00B35B7B">
        <w:rPr>
          <w:rFonts w:cs="Arial"/>
          <w:bCs/>
          <w:iCs/>
          <w:sz w:val="20"/>
          <w:szCs w:val="20"/>
        </w:rPr>
        <w:t xml:space="preserve"> </w:t>
      </w:r>
      <w:r w:rsidR="00FC3CEC">
        <w:rPr>
          <w:rFonts w:cs="Arial"/>
          <w:bCs/>
          <w:iCs/>
          <w:sz w:val="20"/>
          <w:szCs w:val="20"/>
        </w:rPr>
        <w:t xml:space="preserve">IFRS Taxonomy </w:t>
      </w:r>
      <w:r w:rsidR="00442B0D">
        <w:rPr>
          <w:rFonts w:cs="Arial"/>
          <w:bCs/>
          <w:iCs/>
          <w:sz w:val="20"/>
          <w:szCs w:val="20"/>
        </w:rPr>
        <w:t>2025</w:t>
      </w:r>
      <w:r w:rsidRPr="00B35B7B">
        <w:rPr>
          <w:rFonts w:cs="Arial"/>
          <w:bCs/>
          <w:iCs/>
          <w:sz w:val="20"/>
          <w:szCs w:val="20"/>
        </w:rPr>
        <w:t xml:space="preserve">. </w:t>
      </w:r>
      <w:r w:rsidR="009E3DC3" w:rsidRPr="00B35B7B">
        <w:rPr>
          <w:rFonts w:cs="Arial"/>
          <w:bCs/>
          <w:iCs/>
          <w:sz w:val="20"/>
          <w:szCs w:val="20"/>
        </w:rPr>
        <w:t>In order to differentiate between concepts (and to modularise the schemas) in subsequent</w:t>
      </w:r>
      <w:r w:rsidRPr="00B35B7B">
        <w:rPr>
          <w:rFonts w:cs="Arial"/>
          <w:bCs/>
          <w:iCs/>
          <w:sz w:val="20"/>
          <w:szCs w:val="20"/>
        </w:rPr>
        <w:t xml:space="preserve"> </w:t>
      </w:r>
      <w:r w:rsidR="00FC3CEC">
        <w:rPr>
          <w:rFonts w:cs="Arial"/>
          <w:bCs/>
          <w:iCs/>
          <w:sz w:val="20"/>
          <w:szCs w:val="20"/>
        </w:rPr>
        <w:t xml:space="preserve">IFRS AU Taxonomy </w:t>
      </w:r>
      <w:r w:rsidR="00442B0D">
        <w:rPr>
          <w:rFonts w:cs="Arial"/>
          <w:bCs/>
          <w:iCs/>
          <w:sz w:val="20"/>
          <w:szCs w:val="20"/>
        </w:rPr>
        <w:t>2025</w:t>
      </w:r>
      <w:r w:rsidR="009E3DC3" w:rsidRPr="00B35B7B">
        <w:rPr>
          <w:rFonts w:cs="Arial"/>
          <w:bCs/>
          <w:iCs/>
          <w:sz w:val="20"/>
          <w:szCs w:val="20"/>
        </w:rPr>
        <w:t xml:space="preserve"> releases and also to support taxonomy versioning, namespace unique resource identifiers (URIs) are used for each taxonomy release date. </w:t>
      </w:r>
    </w:p>
    <w:p w14:paraId="2C3CF9C2" w14:textId="77777777" w:rsidR="0011041D" w:rsidRDefault="0011041D" w:rsidP="00601C6C">
      <w:pPr>
        <w:autoSpaceDE w:val="0"/>
        <w:autoSpaceDN w:val="0"/>
        <w:adjustRightInd w:val="0"/>
        <w:rPr>
          <w:rFonts w:cs="Arial"/>
          <w:bCs/>
          <w:iCs/>
          <w:sz w:val="20"/>
          <w:szCs w:val="20"/>
        </w:rPr>
      </w:pPr>
    </w:p>
    <w:p w14:paraId="3A4640A6" w14:textId="501D2CCB" w:rsidR="0011041D" w:rsidRDefault="0011041D" w:rsidP="00601C6C">
      <w:pPr>
        <w:autoSpaceDE w:val="0"/>
        <w:autoSpaceDN w:val="0"/>
        <w:adjustRightInd w:val="0"/>
        <w:rPr>
          <w:rFonts w:cs="Arial"/>
          <w:bCs/>
          <w:iCs/>
          <w:sz w:val="20"/>
          <w:szCs w:val="20"/>
        </w:rPr>
      </w:pPr>
      <w:r>
        <w:rPr>
          <w:rFonts w:cs="Arial"/>
          <w:bCs/>
          <w:iCs/>
          <w:sz w:val="20"/>
          <w:szCs w:val="20"/>
        </w:rPr>
        <w:t xml:space="preserve">The namespaces used for AU extension in the </w:t>
      </w:r>
      <w:r w:rsidR="00FC3CEC">
        <w:rPr>
          <w:rFonts w:cs="Arial"/>
          <w:bCs/>
          <w:iCs/>
          <w:sz w:val="20"/>
          <w:szCs w:val="20"/>
        </w:rPr>
        <w:t xml:space="preserve">IFRS AU Taxonomy </w:t>
      </w:r>
      <w:r w:rsidR="00442B0D">
        <w:rPr>
          <w:rFonts w:cs="Arial"/>
          <w:bCs/>
          <w:iCs/>
          <w:sz w:val="20"/>
          <w:szCs w:val="20"/>
        </w:rPr>
        <w:t>2025</w:t>
      </w:r>
      <w:r>
        <w:rPr>
          <w:rFonts w:cs="Arial"/>
          <w:bCs/>
          <w:iCs/>
          <w:sz w:val="20"/>
          <w:szCs w:val="20"/>
        </w:rPr>
        <w:t xml:space="preserve"> is </w:t>
      </w:r>
      <w:hyperlink r:id="rId38" w:history="1">
        <w:r w:rsidRPr="008C53B8">
          <w:rPr>
            <w:b/>
            <w:sz w:val="20"/>
            <w:szCs w:val="20"/>
          </w:rPr>
          <w:t>http://sbr.gov.au/rprt/asic/finrpt/</w:t>
        </w:r>
        <w:r w:rsidR="009A4824">
          <w:rPr>
            <w:b/>
            <w:sz w:val="20"/>
            <w:szCs w:val="20"/>
          </w:rPr>
          <w:t>2025-08-21</w:t>
        </w:r>
        <w:r w:rsidRPr="008C53B8">
          <w:rPr>
            <w:b/>
            <w:sz w:val="20"/>
            <w:szCs w:val="20"/>
          </w:rPr>
          <w:t>/</w:t>
        </w:r>
      </w:hyperlink>
      <w:r w:rsidRPr="008C53B8">
        <w:rPr>
          <w:rFonts w:cs="Arial"/>
          <w:bCs/>
          <w:iCs/>
          <w:sz w:val="20"/>
          <w:szCs w:val="20"/>
        </w:rPr>
        <w:t xml:space="preserve"> where YYYY-MM-DD</w:t>
      </w:r>
      <w:r w:rsidR="008C53B8" w:rsidRPr="008C53B8">
        <w:rPr>
          <w:rFonts w:cs="Arial"/>
          <w:bCs/>
          <w:iCs/>
          <w:sz w:val="20"/>
          <w:szCs w:val="20"/>
        </w:rPr>
        <w:t xml:space="preserve"> is the taxonomy release date.</w:t>
      </w:r>
    </w:p>
    <w:p w14:paraId="6D726A24" w14:textId="77777777" w:rsidR="003A2E43" w:rsidRPr="001E3324" w:rsidRDefault="003A2E43" w:rsidP="005819BE">
      <w:pPr>
        <w:pStyle w:val="Head3"/>
      </w:pPr>
      <w:bookmarkStart w:id="174" w:name="_Toc487431154"/>
      <w:bookmarkStart w:id="175" w:name="_Toc487431155"/>
      <w:bookmarkStart w:id="176" w:name="_Toc487431156"/>
      <w:bookmarkStart w:id="177" w:name="_Toc205457964"/>
      <w:bookmarkEnd w:id="174"/>
      <w:bookmarkEnd w:id="175"/>
      <w:bookmarkEnd w:id="176"/>
      <w:r w:rsidRPr="001E3324">
        <w:t>Core, role and entry-point schema</w:t>
      </w:r>
      <w:bookmarkEnd w:id="177"/>
    </w:p>
    <w:p w14:paraId="595ED1C6" w14:textId="36491470" w:rsidR="003E2A65" w:rsidRPr="001E3324" w:rsidRDefault="003E2A65" w:rsidP="003E2A65">
      <w:pPr>
        <w:autoSpaceDE w:val="0"/>
        <w:autoSpaceDN w:val="0"/>
        <w:adjustRightInd w:val="0"/>
        <w:rPr>
          <w:rFonts w:cs="Arial"/>
          <w:bCs/>
          <w:iCs/>
          <w:sz w:val="20"/>
          <w:szCs w:val="20"/>
        </w:rPr>
      </w:pPr>
      <w:r w:rsidRPr="001E3324">
        <w:rPr>
          <w:rFonts w:cs="Arial"/>
          <w:bCs/>
          <w:iCs/>
          <w:sz w:val="20"/>
          <w:szCs w:val="20"/>
        </w:rPr>
        <w:t xml:space="preserve">In the </w:t>
      </w:r>
      <w:r w:rsidR="00FC3CEC">
        <w:rPr>
          <w:rFonts w:cs="Arial"/>
          <w:bCs/>
          <w:iCs/>
          <w:sz w:val="20"/>
          <w:szCs w:val="20"/>
        </w:rPr>
        <w:t xml:space="preserve">IFRS AU Taxonomy </w:t>
      </w:r>
      <w:r w:rsidR="00442B0D">
        <w:rPr>
          <w:rFonts w:cs="Arial"/>
          <w:bCs/>
          <w:iCs/>
          <w:sz w:val="20"/>
          <w:szCs w:val="20"/>
        </w:rPr>
        <w:t>2025</w:t>
      </w:r>
      <w:r w:rsidRPr="001E3324">
        <w:rPr>
          <w:rFonts w:cs="Arial"/>
          <w:bCs/>
          <w:iCs/>
          <w:sz w:val="20"/>
          <w:szCs w:val="20"/>
        </w:rPr>
        <w:t>, the reportable concepts are contained in two physical files (core schemas):</w:t>
      </w:r>
    </w:p>
    <w:p w14:paraId="25A28BF2" w14:textId="60F0C709" w:rsidR="009B77C1" w:rsidRPr="001E3324" w:rsidRDefault="0075399E" w:rsidP="00F069A2">
      <w:pPr>
        <w:pStyle w:val="ListParagraph"/>
        <w:numPr>
          <w:ilvl w:val="0"/>
          <w:numId w:val="24"/>
        </w:numPr>
        <w:autoSpaceDE w:val="0"/>
        <w:autoSpaceDN w:val="0"/>
        <w:adjustRightInd w:val="0"/>
        <w:rPr>
          <w:rFonts w:cs="Arial"/>
          <w:bCs/>
          <w:iCs/>
          <w:sz w:val="20"/>
          <w:szCs w:val="20"/>
        </w:rPr>
      </w:pPr>
      <w:r w:rsidRPr="001E3324">
        <w:rPr>
          <w:rFonts w:cs="Arial"/>
          <w:bCs/>
          <w:iCs/>
          <w:sz w:val="20"/>
          <w:szCs w:val="20"/>
        </w:rPr>
        <w:t>full_</w:t>
      </w:r>
      <w:r w:rsidR="003E2A65" w:rsidRPr="001E3324">
        <w:rPr>
          <w:rFonts w:cs="Arial"/>
          <w:bCs/>
          <w:iCs/>
          <w:sz w:val="20"/>
          <w:szCs w:val="20"/>
        </w:rPr>
        <w:t>ifrs-cor_</w:t>
      </w:r>
      <w:r w:rsidR="00442B0D">
        <w:rPr>
          <w:rFonts w:cs="Arial"/>
          <w:bCs/>
          <w:iCs/>
          <w:sz w:val="20"/>
          <w:szCs w:val="20"/>
        </w:rPr>
        <w:t>2025</w:t>
      </w:r>
      <w:r w:rsidR="00881CD3">
        <w:rPr>
          <w:rFonts w:cs="Arial"/>
          <w:bCs/>
          <w:iCs/>
          <w:sz w:val="20"/>
          <w:szCs w:val="20"/>
        </w:rPr>
        <w:t>-03-27</w:t>
      </w:r>
      <w:r w:rsidR="003E2A65" w:rsidRPr="001E3324">
        <w:rPr>
          <w:rFonts w:cs="Arial"/>
          <w:bCs/>
          <w:iCs/>
          <w:sz w:val="20"/>
          <w:szCs w:val="20"/>
        </w:rPr>
        <w:t>.xsd</w:t>
      </w:r>
    </w:p>
    <w:p w14:paraId="67DF95C8" w14:textId="6E2EDF52" w:rsidR="009B77C1" w:rsidRPr="001E3324" w:rsidRDefault="003E2A65" w:rsidP="00F069A2">
      <w:pPr>
        <w:pStyle w:val="ListParagraph"/>
        <w:numPr>
          <w:ilvl w:val="0"/>
          <w:numId w:val="24"/>
        </w:numPr>
        <w:autoSpaceDE w:val="0"/>
        <w:autoSpaceDN w:val="0"/>
        <w:adjustRightInd w:val="0"/>
        <w:rPr>
          <w:rFonts w:cs="Arial"/>
          <w:bCs/>
          <w:iCs/>
          <w:sz w:val="20"/>
          <w:szCs w:val="20"/>
        </w:rPr>
      </w:pPr>
      <w:r w:rsidRPr="001E3324">
        <w:rPr>
          <w:rFonts w:cs="Arial"/>
          <w:bCs/>
          <w:iCs/>
          <w:sz w:val="20"/>
          <w:szCs w:val="20"/>
        </w:rPr>
        <w:t>ifrs_au-cor_</w:t>
      </w:r>
      <w:r w:rsidR="009A4824">
        <w:rPr>
          <w:rFonts w:cs="Arial"/>
          <w:bCs/>
          <w:iCs/>
          <w:sz w:val="20"/>
          <w:szCs w:val="20"/>
        </w:rPr>
        <w:t>2025-08-21</w:t>
      </w:r>
      <w:r w:rsidRPr="001E3324">
        <w:rPr>
          <w:rFonts w:cs="Arial"/>
          <w:bCs/>
          <w:iCs/>
          <w:sz w:val="20"/>
          <w:szCs w:val="20"/>
        </w:rPr>
        <w:t>.xsd</w:t>
      </w:r>
    </w:p>
    <w:p w14:paraId="078215D1" w14:textId="77777777" w:rsidR="003E2A65" w:rsidRDefault="003E2A65" w:rsidP="002B194B">
      <w:pPr>
        <w:autoSpaceDE w:val="0"/>
        <w:autoSpaceDN w:val="0"/>
        <w:adjustRightInd w:val="0"/>
        <w:rPr>
          <w:rFonts w:cs="Arial"/>
          <w:bCs/>
          <w:iCs/>
          <w:sz w:val="20"/>
          <w:szCs w:val="20"/>
        </w:rPr>
      </w:pPr>
    </w:p>
    <w:p w14:paraId="248BA594" w14:textId="77777777" w:rsidR="002B194B" w:rsidRPr="00B35B7B" w:rsidRDefault="00C665CA" w:rsidP="002B194B">
      <w:pPr>
        <w:autoSpaceDE w:val="0"/>
        <w:autoSpaceDN w:val="0"/>
        <w:adjustRightInd w:val="0"/>
        <w:rPr>
          <w:rFonts w:cs="Arial"/>
          <w:bCs/>
          <w:iCs/>
          <w:sz w:val="20"/>
          <w:szCs w:val="20"/>
        </w:rPr>
      </w:pPr>
      <w:r>
        <w:rPr>
          <w:rFonts w:cs="Arial"/>
          <w:bCs/>
          <w:iCs/>
          <w:sz w:val="20"/>
          <w:szCs w:val="20"/>
        </w:rPr>
        <w:t>In compliance with the</w:t>
      </w:r>
      <w:r w:rsidR="002B194B" w:rsidRPr="00B35B7B">
        <w:rPr>
          <w:rFonts w:cs="Arial"/>
          <w:bCs/>
          <w:iCs/>
          <w:sz w:val="20"/>
          <w:szCs w:val="20"/>
        </w:rPr>
        <w:t xml:space="preserve"> </w:t>
      </w:r>
      <w:r w:rsidR="000A244E">
        <w:rPr>
          <w:rFonts w:cs="Arial"/>
          <w:bCs/>
          <w:iCs/>
          <w:sz w:val="20"/>
          <w:szCs w:val="20"/>
        </w:rPr>
        <w:t>IFRS Taxonomy Architecture</w:t>
      </w:r>
      <w:r w:rsidR="00C2529F">
        <w:rPr>
          <w:rFonts w:cs="Arial"/>
          <w:bCs/>
          <w:iCs/>
          <w:sz w:val="20"/>
          <w:szCs w:val="20"/>
        </w:rPr>
        <w:t>, the AU E</w:t>
      </w:r>
      <w:r w:rsidR="002B194B" w:rsidRPr="00B35B7B">
        <w:rPr>
          <w:rFonts w:cs="Arial"/>
          <w:bCs/>
          <w:iCs/>
          <w:sz w:val="20"/>
          <w:szCs w:val="20"/>
        </w:rPr>
        <w:t>xtension does not use tuples or typed</w:t>
      </w:r>
      <w:r w:rsidR="003E2A65">
        <w:rPr>
          <w:rFonts w:cs="Arial"/>
          <w:bCs/>
          <w:iCs/>
          <w:sz w:val="20"/>
          <w:szCs w:val="20"/>
        </w:rPr>
        <w:t xml:space="preserve"> axes. </w:t>
      </w:r>
      <w:r w:rsidR="002B194B" w:rsidRPr="00B35B7B">
        <w:rPr>
          <w:rFonts w:cs="Arial"/>
          <w:bCs/>
          <w:iCs/>
          <w:sz w:val="20"/>
          <w:szCs w:val="20"/>
        </w:rPr>
        <w:t>Items and explicit axes are used instead.</w:t>
      </w:r>
      <w:r w:rsidR="00927305">
        <w:rPr>
          <w:rFonts w:cs="Arial"/>
          <w:bCs/>
          <w:iCs/>
          <w:sz w:val="20"/>
          <w:szCs w:val="20"/>
        </w:rPr>
        <w:t xml:space="preserve"> </w:t>
      </w:r>
      <w:r w:rsidR="00FB1E0E">
        <w:rPr>
          <w:rFonts w:cs="Arial"/>
          <w:bCs/>
          <w:iCs/>
          <w:sz w:val="20"/>
          <w:szCs w:val="20"/>
        </w:rPr>
        <w:t xml:space="preserve">The </w:t>
      </w:r>
      <w:r w:rsidR="006B5616">
        <w:rPr>
          <w:rFonts w:cs="Arial"/>
          <w:bCs/>
          <w:iCs/>
          <w:sz w:val="20"/>
          <w:szCs w:val="20"/>
        </w:rPr>
        <w:t xml:space="preserve">IFRS AU Taxonomy </w:t>
      </w:r>
      <w:r w:rsidR="002B194B" w:rsidRPr="00B35B7B">
        <w:rPr>
          <w:rFonts w:cs="Arial"/>
          <w:bCs/>
          <w:iCs/>
          <w:sz w:val="20"/>
          <w:szCs w:val="20"/>
        </w:rPr>
        <w:t xml:space="preserve">uses three substitution groups defined </w:t>
      </w:r>
      <w:r w:rsidR="003E2A65">
        <w:rPr>
          <w:rFonts w:cs="Arial"/>
          <w:bCs/>
          <w:iCs/>
          <w:sz w:val="20"/>
          <w:szCs w:val="20"/>
        </w:rPr>
        <w:t xml:space="preserve">by XBRL Specifications - item, </w:t>
      </w:r>
      <w:r w:rsidR="002B194B" w:rsidRPr="00B35B7B">
        <w:rPr>
          <w:rFonts w:cs="Arial"/>
          <w:bCs/>
          <w:iCs/>
          <w:sz w:val="20"/>
          <w:szCs w:val="20"/>
        </w:rPr>
        <w:t>hypercubeItem and dimensionItem.</w:t>
      </w:r>
    </w:p>
    <w:p w14:paraId="1C5BF084" w14:textId="77777777" w:rsidR="00B35B7B" w:rsidRPr="00B35B7B" w:rsidRDefault="00B35B7B" w:rsidP="000D0E7B">
      <w:pPr>
        <w:autoSpaceDE w:val="0"/>
        <w:autoSpaceDN w:val="0"/>
        <w:adjustRightInd w:val="0"/>
        <w:rPr>
          <w:rFonts w:cs="Arial"/>
          <w:bCs/>
          <w:iCs/>
          <w:sz w:val="20"/>
          <w:szCs w:val="20"/>
        </w:rPr>
      </w:pPr>
    </w:p>
    <w:p w14:paraId="0E26B1F3" w14:textId="77777777" w:rsidR="000D0E7B" w:rsidRPr="00B35B7B" w:rsidRDefault="000D0E7B" w:rsidP="000D0E7B">
      <w:pPr>
        <w:autoSpaceDE w:val="0"/>
        <w:autoSpaceDN w:val="0"/>
        <w:adjustRightInd w:val="0"/>
        <w:rPr>
          <w:rFonts w:cs="Arial"/>
          <w:bCs/>
          <w:iCs/>
          <w:sz w:val="20"/>
          <w:szCs w:val="20"/>
        </w:rPr>
      </w:pPr>
      <w:r w:rsidRPr="00B35B7B">
        <w:rPr>
          <w:rFonts w:cs="Arial"/>
          <w:bCs/>
          <w:iCs/>
          <w:sz w:val="20"/>
          <w:szCs w:val="20"/>
        </w:rPr>
        <w:t>As well as the core schema, an</w:t>
      </w:r>
      <w:r w:rsidR="00B35B7B" w:rsidRPr="00B35B7B">
        <w:rPr>
          <w:rFonts w:cs="Arial"/>
          <w:bCs/>
          <w:iCs/>
          <w:sz w:val="20"/>
          <w:szCs w:val="20"/>
        </w:rPr>
        <w:t xml:space="preserve"> </w:t>
      </w:r>
      <w:r w:rsidRPr="00B35B7B">
        <w:rPr>
          <w:rFonts w:cs="Arial"/>
          <w:bCs/>
          <w:iCs/>
          <w:sz w:val="20"/>
          <w:szCs w:val="20"/>
        </w:rPr>
        <w:t xml:space="preserve">additional role schema is placed in </w:t>
      </w:r>
      <w:r w:rsidR="00B35B7B" w:rsidRPr="00B35B7B">
        <w:rPr>
          <w:rFonts w:cs="Arial"/>
          <w:bCs/>
          <w:iCs/>
          <w:sz w:val="20"/>
          <w:szCs w:val="20"/>
        </w:rPr>
        <w:t xml:space="preserve">each standard (and axes) folder for both IFRS and </w:t>
      </w:r>
      <w:r w:rsidR="00EB1FBD">
        <w:rPr>
          <w:rFonts w:cs="Arial"/>
          <w:bCs/>
          <w:iCs/>
          <w:sz w:val="20"/>
          <w:szCs w:val="20"/>
        </w:rPr>
        <w:t xml:space="preserve">the </w:t>
      </w:r>
      <w:r w:rsidR="00B35B7B" w:rsidRPr="00B35B7B">
        <w:rPr>
          <w:rFonts w:cs="Arial"/>
          <w:bCs/>
          <w:iCs/>
          <w:sz w:val="20"/>
          <w:szCs w:val="20"/>
        </w:rPr>
        <w:t xml:space="preserve">AU </w:t>
      </w:r>
      <w:r w:rsidR="00EB1FBD">
        <w:rPr>
          <w:rFonts w:cs="Arial"/>
          <w:bCs/>
          <w:iCs/>
          <w:sz w:val="20"/>
          <w:szCs w:val="20"/>
        </w:rPr>
        <w:t>E</w:t>
      </w:r>
      <w:r w:rsidR="00B35B7B" w:rsidRPr="00B35B7B">
        <w:rPr>
          <w:rFonts w:cs="Arial"/>
          <w:bCs/>
          <w:iCs/>
          <w:sz w:val="20"/>
          <w:szCs w:val="20"/>
        </w:rPr>
        <w:t>xtension.</w:t>
      </w:r>
      <w:r w:rsidRPr="00B35B7B">
        <w:rPr>
          <w:rFonts w:cs="Arial"/>
          <w:bCs/>
          <w:iCs/>
          <w:sz w:val="20"/>
          <w:szCs w:val="20"/>
        </w:rPr>
        <w:t xml:space="preserve"> These role schemas contain definitions of the presentation,</w:t>
      </w:r>
      <w:r w:rsidR="00CE112B" w:rsidRPr="00B35B7B">
        <w:rPr>
          <w:rFonts w:cs="Arial"/>
          <w:bCs/>
          <w:iCs/>
          <w:sz w:val="20"/>
          <w:szCs w:val="20"/>
        </w:rPr>
        <w:t xml:space="preserve"> </w:t>
      </w:r>
      <w:r w:rsidRPr="00B35B7B">
        <w:rPr>
          <w:rFonts w:cs="Arial"/>
          <w:bCs/>
          <w:iCs/>
          <w:sz w:val="20"/>
          <w:szCs w:val="20"/>
        </w:rPr>
        <w:t>calculation and definition ELRs. Role schemas do not contain concepts, tables, axes or members.</w:t>
      </w:r>
    </w:p>
    <w:p w14:paraId="7D858161" w14:textId="77777777" w:rsidR="00B35B7B" w:rsidRPr="00B35B7B" w:rsidRDefault="00B35B7B" w:rsidP="00CE112B">
      <w:pPr>
        <w:autoSpaceDE w:val="0"/>
        <w:autoSpaceDN w:val="0"/>
        <w:adjustRightInd w:val="0"/>
        <w:rPr>
          <w:rFonts w:cs="Arial"/>
          <w:bCs/>
          <w:iCs/>
          <w:sz w:val="20"/>
          <w:szCs w:val="20"/>
        </w:rPr>
      </w:pPr>
    </w:p>
    <w:p w14:paraId="05C158BC" w14:textId="35F89614" w:rsidR="00CE112B" w:rsidRPr="00B35B7B" w:rsidRDefault="00CE112B" w:rsidP="00CE112B">
      <w:pPr>
        <w:autoSpaceDE w:val="0"/>
        <w:autoSpaceDN w:val="0"/>
        <w:adjustRightInd w:val="0"/>
        <w:rPr>
          <w:rFonts w:cs="Arial"/>
          <w:bCs/>
          <w:iCs/>
          <w:sz w:val="20"/>
          <w:szCs w:val="20"/>
        </w:rPr>
      </w:pPr>
      <w:r w:rsidRPr="00B35B7B">
        <w:rPr>
          <w:rFonts w:cs="Arial"/>
          <w:bCs/>
          <w:iCs/>
          <w:sz w:val="20"/>
          <w:szCs w:val="20"/>
        </w:rPr>
        <w:t>In the</w:t>
      </w:r>
      <w:r w:rsidR="00B35B7B">
        <w:rPr>
          <w:rFonts w:cs="Arial"/>
          <w:bCs/>
          <w:iCs/>
          <w:sz w:val="20"/>
          <w:szCs w:val="20"/>
        </w:rPr>
        <w:t xml:space="preserve"> </w:t>
      </w:r>
      <w:r w:rsidR="006B5616">
        <w:rPr>
          <w:rFonts w:cs="Arial"/>
          <w:bCs/>
          <w:iCs/>
          <w:sz w:val="20"/>
          <w:szCs w:val="20"/>
        </w:rPr>
        <w:t>IFRS AU Taxonomy</w:t>
      </w:r>
      <w:r w:rsidRPr="00B35B7B">
        <w:rPr>
          <w:rFonts w:cs="Arial"/>
          <w:bCs/>
          <w:iCs/>
          <w:sz w:val="20"/>
          <w:szCs w:val="20"/>
        </w:rPr>
        <w:t>, concept names and identifiers (IDs) follow</w:t>
      </w:r>
      <w:r w:rsidR="00B35B7B">
        <w:rPr>
          <w:rFonts w:cs="Arial"/>
          <w:bCs/>
          <w:iCs/>
          <w:sz w:val="20"/>
          <w:szCs w:val="20"/>
        </w:rPr>
        <w:t xml:space="preserve"> IFRS standards and </w:t>
      </w:r>
      <w:r w:rsidR="00EB1FBD">
        <w:rPr>
          <w:rFonts w:cs="Arial"/>
          <w:bCs/>
          <w:iCs/>
          <w:sz w:val="20"/>
          <w:szCs w:val="20"/>
        </w:rPr>
        <w:t xml:space="preserve">implicitly </w:t>
      </w:r>
      <w:r w:rsidR="00EB1FBD" w:rsidRPr="00B35B7B">
        <w:rPr>
          <w:rFonts w:cs="Arial"/>
          <w:bCs/>
          <w:iCs/>
          <w:sz w:val="20"/>
          <w:szCs w:val="20"/>
        </w:rPr>
        <w:t>‘Camel</w:t>
      </w:r>
      <w:r w:rsidRPr="00B35B7B">
        <w:rPr>
          <w:rFonts w:cs="Arial"/>
          <w:bCs/>
          <w:iCs/>
          <w:sz w:val="20"/>
          <w:szCs w:val="20"/>
        </w:rPr>
        <w:t xml:space="preserve"> Case’ best practice. For example, a concept that has the</w:t>
      </w:r>
      <w:r w:rsidR="00B35B7B">
        <w:rPr>
          <w:rFonts w:cs="Arial"/>
          <w:bCs/>
          <w:iCs/>
          <w:sz w:val="20"/>
          <w:szCs w:val="20"/>
        </w:rPr>
        <w:t xml:space="preserve"> </w:t>
      </w:r>
      <w:r w:rsidRPr="00B35B7B">
        <w:rPr>
          <w:rFonts w:cs="Arial"/>
          <w:bCs/>
          <w:iCs/>
          <w:sz w:val="20"/>
          <w:szCs w:val="20"/>
        </w:rPr>
        <w:t xml:space="preserve">label </w:t>
      </w:r>
      <w:r w:rsidR="00EB1FBD">
        <w:rPr>
          <w:rFonts w:cs="Arial"/>
          <w:bCs/>
          <w:iCs/>
          <w:sz w:val="20"/>
          <w:szCs w:val="20"/>
        </w:rPr>
        <w:t>“</w:t>
      </w:r>
      <w:r w:rsidRPr="00B35B7B">
        <w:rPr>
          <w:rFonts w:cs="Arial"/>
          <w:bCs/>
          <w:iCs/>
          <w:sz w:val="20"/>
          <w:szCs w:val="20"/>
        </w:rPr>
        <w:t>Accumulated impairment losses of goodwill</w:t>
      </w:r>
      <w:r w:rsidR="00EB1FBD">
        <w:rPr>
          <w:rFonts w:cs="Arial"/>
          <w:bCs/>
          <w:iCs/>
          <w:sz w:val="20"/>
          <w:szCs w:val="20"/>
        </w:rPr>
        <w:t>”</w:t>
      </w:r>
      <w:r w:rsidRPr="00B35B7B">
        <w:rPr>
          <w:rFonts w:cs="Arial"/>
          <w:bCs/>
          <w:iCs/>
          <w:sz w:val="20"/>
          <w:szCs w:val="20"/>
        </w:rPr>
        <w:t xml:space="preserve"> has the name </w:t>
      </w:r>
      <w:r w:rsidR="00EB1FBD">
        <w:rPr>
          <w:rFonts w:cs="Arial"/>
          <w:bCs/>
          <w:iCs/>
          <w:sz w:val="20"/>
          <w:szCs w:val="20"/>
        </w:rPr>
        <w:t>“</w:t>
      </w:r>
      <w:r w:rsidRPr="00B35B7B">
        <w:rPr>
          <w:rFonts w:cs="Arial"/>
          <w:bCs/>
          <w:iCs/>
          <w:sz w:val="20"/>
          <w:szCs w:val="20"/>
        </w:rPr>
        <w:t>AccumulatedImpairmentLossesOfGoodwill</w:t>
      </w:r>
      <w:r w:rsidR="00EB1FBD">
        <w:rPr>
          <w:rFonts w:cs="Arial"/>
          <w:bCs/>
          <w:iCs/>
          <w:sz w:val="20"/>
          <w:szCs w:val="20"/>
        </w:rPr>
        <w:t>”</w:t>
      </w:r>
      <w:r w:rsidRPr="00B35B7B">
        <w:rPr>
          <w:rFonts w:cs="Arial"/>
          <w:bCs/>
          <w:iCs/>
          <w:sz w:val="20"/>
          <w:szCs w:val="20"/>
        </w:rPr>
        <w:t xml:space="preserve"> and the ID</w:t>
      </w:r>
      <w:r w:rsidR="00B35B7B">
        <w:rPr>
          <w:rFonts w:cs="Arial"/>
          <w:bCs/>
          <w:iCs/>
          <w:sz w:val="20"/>
          <w:szCs w:val="20"/>
        </w:rPr>
        <w:t xml:space="preserve"> </w:t>
      </w:r>
      <w:r w:rsidR="00EB1FBD">
        <w:rPr>
          <w:rFonts w:cs="Arial"/>
          <w:bCs/>
          <w:iCs/>
          <w:sz w:val="20"/>
          <w:szCs w:val="20"/>
        </w:rPr>
        <w:t>“</w:t>
      </w:r>
      <w:r w:rsidRPr="00B35B7B">
        <w:rPr>
          <w:rFonts w:cs="Arial"/>
          <w:bCs/>
          <w:iCs/>
          <w:sz w:val="20"/>
          <w:szCs w:val="20"/>
        </w:rPr>
        <w:t>ifrs_AccumulatedImpairmentLossesOfGoodwill</w:t>
      </w:r>
      <w:r w:rsidR="00EB1FBD">
        <w:rPr>
          <w:rFonts w:cs="Arial"/>
          <w:bCs/>
          <w:iCs/>
          <w:sz w:val="20"/>
          <w:szCs w:val="20"/>
        </w:rPr>
        <w:t>”</w:t>
      </w:r>
      <w:r w:rsidRPr="00B35B7B">
        <w:rPr>
          <w:rFonts w:cs="Arial"/>
          <w:bCs/>
          <w:iCs/>
          <w:sz w:val="20"/>
          <w:szCs w:val="20"/>
        </w:rPr>
        <w:t xml:space="preserve">. </w:t>
      </w:r>
      <w:r w:rsidR="00B35B7B">
        <w:rPr>
          <w:rFonts w:cs="Arial"/>
          <w:bCs/>
          <w:iCs/>
          <w:sz w:val="20"/>
          <w:szCs w:val="20"/>
        </w:rPr>
        <w:t>Similar with</w:t>
      </w:r>
      <w:r w:rsidRPr="00B35B7B">
        <w:rPr>
          <w:rFonts w:cs="Arial"/>
          <w:bCs/>
          <w:iCs/>
          <w:sz w:val="20"/>
          <w:szCs w:val="20"/>
        </w:rPr>
        <w:t xml:space="preserve"> the IFRS Taxonomy, concept names and IDs are not updated if there are changes in</w:t>
      </w:r>
      <w:r w:rsidR="00B35B7B">
        <w:rPr>
          <w:rFonts w:cs="Arial"/>
          <w:bCs/>
          <w:iCs/>
          <w:sz w:val="20"/>
          <w:szCs w:val="20"/>
        </w:rPr>
        <w:t xml:space="preserve"> </w:t>
      </w:r>
      <w:r w:rsidRPr="00B35B7B">
        <w:rPr>
          <w:rFonts w:cs="Arial"/>
          <w:bCs/>
          <w:iCs/>
          <w:sz w:val="20"/>
          <w:szCs w:val="20"/>
        </w:rPr>
        <w:t>IFRS terminology</w:t>
      </w:r>
      <w:r w:rsidR="00EB1FBD">
        <w:rPr>
          <w:rFonts w:cs="Arial"/>
          <w:bCs/>
          <w:iCs/>
          <w:sz w:val="20"/>
          <w:szCs w:val="20"/>
        </w:rPr>
        <w:t>, IFRS</w:t>
      </w:r>
      <w:r w:rsidR="00FB1E0E">
        <w:rPr>
          <w:rFonts w:cs="Arial"/>
          <w:bCs/>
          <w:iCs/>
          <w:sz w:val="20"/>
          <w:szCs w:val="20"/>
        </w:rPr>
        <w:t xml:space="preserve"> AU</w:t>
      </w:r>
      <w:r w:rsidR="00B35B7B">
        <w:rPr>
          <w:rFonts w:cs="Arial"/>
          <w:bCs/>
          <w:iCs/>
          <w:sz w:val="20"/>
          <w:szCs w:val="20"/>
        </w:rPr>
        <w:t xml:space="preserve"> terminology</w:t>
      </w:r>
      <w:r w:rsidRPr="00B35B7B">
        <w:rPr>
          <w:rFonts w:cs="Arial"/>
          <w:bCs/>
          <w:iCs/>
          <w:sz w:val="20"/>
          <w:szCs w:val="20"/>
        </w:rPr>
        <w:t xml:space="preserve"> or labels. They remain stable for mapping purposes (although this may cause variations to the general ‘Camel</w:t>
      </w:r>
      <w:r w:rsidR="00B35B7B">
        <w:rPr>
          <w:rFonts w:cs="Arial"/>
          <w:bCs/>
          <w:iCs/>
          <w:sz w:val="20"/>
          <w:szCs w:val="20"/>
        </w:rPr>
        <w:t xml:space="preserve"> </w:t>
      </w:r>
      <w:r w:rsidRPr="00B35B7B">
        <w:rPr>
          <w:rFonts w:cs="Arial"/>
          <w:bCs/>
          <w:iCs/>
          <w:sz w:val="20"/>
          <w:szCs w:val="20"/>
        </w:rPr>
        <w:t xml:space="preserve">Case’ rule). </w:t>
      </w:r>
      <w:r w:rsidR="00E50B00" w:rsidRPr="00B35B7B">
        <w:rPr>
          <w:rFonts w:cs="Arial"/>
          <w:bCs/>
          <w:iCs/>
          <w:sz w:val="20"/>
          <w:szCs w:val="20"/>
        </w:rPr>
        <w:t>However,</w:t>
      </w:r>
      <w:r w:rsidRPr="00B35B7B">
        <w:rPr>
          <w:rFonts w:cs="Arial"/>
          <w:bCs/>
          <w:iCs/>
          <w:sz w:val="20"/>
          <w:szCs w:val="20"/>
        </w:rPr>
        <w:t xml:space="preserve"> because of this, concept names and IDs should not be used to infer the meaning or semantics of a concept.</w:t>
      </w:r>
      <w:r w:rsidR="00B35B7B">
        <w:rPr>
          <w:rFonts w:cs="Arial"/>
          <w:bCs/>
          <w:iCs/>
          <w:sz w:val="20"/>
          <w:szCs w:val="20"/>
        </w:rPr>
        <w:t xml:space="preserve"> </w:t>
      </w:r>
      <w:r w:rsidRPr="00B35B7B">
        <w:rPr>
          <w:rFonts w:cs="Arial"/>
          <w:bCs/>
          <w:iCs/>
          <w:sz w:val="20"/>
          <w:szCs w:val="20"/>
        </w:rPr>
        <w:t>Labels and information from other linkbases should be used instead. Concept names and IDs should be treated as technical</w:t>
      </w:r>
      <w:r w:rsidR="00B35B7B">
        <w:rPr>
          <w:rFonts w:cs="Arial"/>
          <w:bCs/>
          <w:iCs/>
          <w:sz w:val="20"/>
          <w:szCs w:val="20"/>
        </w:rPr>
        <w:t xml:space="preserve"> </w:t>
      </w:r>
      <w:r w:rsidRPr="00B35B7B">
        <w:rPr>
          <w:rFonts w:cs="Arial"/>
          <w:bCs/>
          <w:iCs/>
          <w:sz w:val="20"/>
          <w:szCs w:val="20"/>
        </w:rPr>
        <w:t>identifiers only.</w:t>
      </w:r>
    </w:p>
    <w:p w14:paraId="6575C663" w14:textId="77777777" w:rsidR="003A2E43" w:rsidRDefault="003A2E43" w:rsidP="00B35B7B">
      <w:pPr>
        <w:pStyle w:val="Head3"/>
      </w:pPr>
      <w:bookmarkStart w:id="178" w:name="_Toc205457965"/>
      <w:r w:rsidRPr="005819BE">
        <w:t>Deprecated schema</w:t>
      </w:r>
      <w:bookmarkEnd w:id="178"/>
    </w:p>
    <w:p w14:paraId="7248B69A" w14:textId="5EB4DA59" w:rsidR="00CE112B" w:rsidRPr="00B35B7B" w:rsidRDefault="00B35B7B" w:rsidP="00B35B7B">
      <w:pPr>
        <w:rPr>
          <w:rFonts w:cs="Arial"/>
          <w:bCs/>
          <w:iCs/>
          <w:sz w:val="20"/>
          <w:szCs w:val="20"/>
        </w:rPr>
      </w:pPr>
      <w:r w:rsidRPr="00B35B7B">
        <w:rPr>
          <w:rFonts w:cs="Arial"/>
          <w:bCs/>
          <w:iCs/>
          <w:sz w:val="20"/>
          <w:szCs w:val="20"/>
        </w:rPr>
        <w:t xml:space="preserve">In addition to the core schema, the </w:t>
      </w:r>
      <w:r w:rsidR="00FC3CEC">
        <w:rPr>
          <w:rFonts w:cs="Arial"/>
          <w:bCs/>
          <w:iCs/>
          <w:sz w:val="20"/>
          <w:szCs w:val="20"/>
        </w:rPr>
        <w:t xml:space="preserve">IFRS AU Taxonomy </w:t>
      </w:r>
      <w:r w:rsidR="00442B0D">
        <w:rPr>
          <w:rFonts w:cs="Arial"/>
          <w:bCs/>
          <w:iCs/>
          <w:sz w:val="20"/>
          <w:szCs w:val="20"/>
        </w:rPr>
        <w:t>2025</w:t>
      </w:r>
      <w:r w:rsidR="00753C7B">
        <w:rPr>
          <w:rFonts w:cs="Arial"/>
          <w:bCs/>
          <w:iCs/>
          <w:sz w:val="20"/>
          <w:szCs w:val="20"/>
        </w:rPr>
        <w:t xml:space="preserve"> </w:t>
      </w:r>
      <w:r>
        <w:rPr>
          <w:rFonts w:cs="Arial"/>
          <w:bCs/>
          <w:iCs/>
          <w:sz w:val="20"/>
          <w:szCs w:val="20"/>
        </w:rPr>
        <w:t>provides a deprecated</w:t>
      </w:r>
      <w:r w:rsidR="00081161">
        <w:rPr>
          <w:rFonts w:cs="Arial"/>
          <w:bCs/>
          <w:iCs/>
          <w:sz w:val="20"/>
          <w:szCs w:val="20"/>
        </w:rPr>
        <w:t xml:space="preserve"> schema in sim</w:t>
      </w:r>
      <w:r>
        <w:rPr>
          <w:rFonts w:cs="Arial"/>
          <w:bCs/>
          <w:iCs/>
          <w:sz w:val="20"/>
          <w:szCs w:val="20"/>
        </w:rPr>
        <w:t>ilar manner with IFRS Taxonomy.</w:t>
      </w:r>
      <w:r w:rsidRPr="00B35B7B">
        <w:rPr>
          <w:rFonts w:cs="Arial"/>
          <w:bCs/>
          <w:iCs/>
          <w:sz w:val="20"/>
          <w:szCs w:val="20"/>
        </w:rPr>
        <w:t xml:space="preserve"> The deprecated schema contains concepts from</w:t>
      </w:r>
      <w:r>
        <w:rPr>
          <w:rFonts w:cs="Arial"/>
          <w:bCs/>
          <w:iCs/>
          <w:sz w:val="20"/>
          <w:szCs w:val="20"/>
        </w:rPr>
        <w:t xml:space="preserve"> </w:t>
      </w:r>
      <w:r w:rsidRPr="00B35B7B">
        <w:rPr>
          <w:rFonts w:cs="Arial"/>
          <w:bCs/>
          <w:iCs/>
          <w:sz w:val="20"/>
          <w:szCs w:val="20"/>
        </w:rPr>
        <w:t>the previous taxonomy release</w:t>
      </w:r>
      <w:r w:rsidR="005A1A89">
        <w:rPr>
          <w:rFonts w:cs="Arial"/>
          <w:bCs/>
          <w:iCs/>
          <w:sz w:val="20"/>
          <w:szCs w:val="20"/>
        </w:rPr>
        <w:t xml:space="preserve"> which are no longer used in the current release</w:t>
      </w:r>
      <w:r w:rsidRPr="00B35B7B">
        <w:rPr>
          <w:rFonts w:cs="Arial"/>
          <w:bCs/>
          <w:iCs/>
          <w:sz w:val="20"/>
          <w:szCs w:val="20"/>
        </w:rPr>
        <w:t>. Deprecated concepts use deprecated labels and date label roles to provide information about the</w:t>
      </w:r>
      <w:r>
        <w:rPr>
          <w:rFonts w:cs="Arial"/>
          <w:bCs/>
          <w:iCs/>
          <w:sz w:val="20"/>
          <w:szCs w:val="20"/>
        </w:rPr>
        <w:t xml:space="preserve"> </w:t>
      </w:r>
      <w:r w:rsidRPr="00B35B7B">
        <w:rPr>
          <w:rFonts w:cs="Arial"/>
          <w:bCs/>
          <w:iCs/>
          <w:sz w:val="20"/>
          <w:szCs w:val="20"/>
        </w:rPr>
        <w:t>deprecation. A deprecated schema uses the namespace URI from the taxonomy that it is deprecating (</w:t>
      </w:r>
      <w:r w:rsidR="00B06E39" w:rsidRPr="00B35B7B">
        <w:rPr>
          <w:rFonts w:cs="Arial"/>
          <w:bCs/>
          <w:iCs/>
          <w:sz w:val="20"/>
          <w:szCs w:val="20"/>
        </w:rPr>
        <w:t>i.e.</w:t>
      </w:r>
      <w:r w:rsidRPr="00B35B7B">
        <w:rPr>
          <w:rFonts w:cs="Arial"/>
          <w:bCs/>
          <w:iCs/>
          <w:sz w:val="20"/>
          <w:szCs w:val="20"/>
        </w:rPr>
        <w:t xml:space="preserve"> the previous core schema</w:t>
      </w:r>
      <w:r>
        <w:rPr>
          <w:rFonts w:cs="Arial"/>
          <w:bCs/>
          <w:iCs/>
          <w:sz w:val="20"/>
          <w:szCs w:val="20"/>
        </w:rPr>
        <w:t xml:space="preserve"> </w:t>
      </w:r>
      <w:r w:rsidRPr="00B35B7B">
        <w:rPr>
          <w:rFonts w:cs="Arial"/>
          <w:bCs/>
          <w:iCs/>
          <w:sz w:val="20"/>
          <w:szCs w:val="20"/>
        </w:rPr>
        <w:t>namespace). The deprecated schema does not constitute an official IFRS Taxonomy file.</w:t>
      </w:r>
      <w:r w:rsidR="00C665CA">
        <w:rPr>
          <w:rFonts w:cs="Arial"/>
          <w:bCs/>
          <w:iCs/>
          <w:sz w:val="20"/>
          <w:szCs w:val="20"/>
        </w:rPr>
        <w:t xml:space="preserve"> </w:t>
      </w:r>
      <w:r w:rsidR="009439BE">
        <w:rPr>
          <w:rFonts w:cs="Arial"/>
          <w:bCs/>
          <w:iCs/>
          <w:sz w:val="20"/>
          <w:szCs w:val="20"/>
        </w:rPr>
        <w:t xml:space="preserve"> The IFRS AU deprecated schema is located in the [deprecated] folder within the </w:t>
      </w:r>
      <w:r w:rsidR="009439BE" w:rsidRPr="0092431D">
        <w:rPr>
          <w:rFonts w:cs="Arial"/>
          <w:bCs/>
          <w:iCs/>
          <w:sz w:val="20"/>
          <w:szCs w:val="20"/>
        </w:rPr>
        <w:t>[</w:t>
      </w:r>
      <w:r w:rsidR="00A20DE4" w:rsidRPr="0092431D">
        <w:rPr>
          <w:rFonts w:cs="Arial"/>
          <w:bCs/>
          <w:iCs/>
          <w:sz w:val="20"/>
          <w:szCs w:val="20"/>
        </w:rPr>
        <w:t>ifrs_au_</w:t>
      </w:r>
      <w:r w:rsidR="009A4824">
        <w:rPr>
          <w:rFonts w:cs="Arial"/>
          <w:bCs/>
          <w:iCs/>
          <w:sz w:val="20"/>
          <w:szCs w:val="20"/>
        </w:rPr>
        <w:t>20250821</w:t>
      </w:r>
      <w:r w:rsidR="009439BE" w:rsidRPr="0092431D">
        <w:rPr>
          <w:rFonts w:cs="Arial"/>
          <w:bCs/>
          <w:iCs/>
          <w:sz w:val="20"/>
          <w:szCs w:val="20"/>
        </w:rPr>
        <w:t>] folder in the [extl] folder.</w:t>
      </w:r>
    </w:p>
    <w:p w14:paraId="6A922EB3" w14:textId="77777777" w:rsidR="003A2E43" w:rsidRDefault="003A2E43" w:rsidP="005819BE">
      <w:pPr>
        <w:pStyle w:val="Head3"/>
      </w:pPr>
      <w:bookmarkStart w:id="179" w:name="_Toc205457966"/>
      <w:r w:rsidRPr="005819BE">
        <w:t>Linkbase</w:t>
      </w:r>
      <w:r w:rsidR="00EB1FBD">
        <w:t>s</w:t>
      </w:r>
      <w:bookmarkEnd w:id="179"/>
    </w:p>
    <w:p w14:paraId="05167381" w14:textId="56BE3FF5" w:rsidR="009D57CC" w:rsidRDefault="00D9790C">
      <w:pPr>
        <w:autoSpaceDE w:val="0"/>
        <w:autoSpaceDN w:val="0"/>
        <w:adjustRightInd w:val="0"/>
        <w:rPr>
          <w:rFonts w:cs="Arial"/>
          <w:bCs/>
          <w:iCs/>
          <w:sz w:val="20"/>
          <w:szCs w:val="20"/>
        </w:rPr>
      </w:pPr>
      <w:r w:rsidRPr="00D9790C">
        <w:rPr>
          <w:rFonts w:cs="Arial"/>
          <w:bCs/>
          <w:iCs/>
          <w:sz w:val="20"/>
          <w:szCs w:val="20"/>
        </w:rPr>
        <w:t xml:space="preserve">The Standard Approach used to develop the </w:t>
      </w:r>
      <w:r w:rsidR="006B5616">
        <w:rPr>
          <w:rFonts w:cs="Arial"/>
          <w:bCs/>
          <w:iCs/>
          <w:sz w:val="20"/>
          <w:szCs w:val="20"/>
        </w:rPr>
        <w:t xml:space="preserve">IFRS AU Taxonomy </w:t>
      </w:r>
      <w:r w:rsidRPr="00D9790C">
        <w:rPr>
          <w:rFonts w:cs="Arial"/>
          <w:bCs/>
          <w:iCs/>
          <w:sz w:val="20"/>
          <w:szCs w:val="20"/>
        </w:rPr>
        <w:t>(</w:t>
      </w:r>
      <w:r w:rsidRPr="00156AA3">
        <w:rPr>
          <w:rFonts w:cs="Arial"/>
          <w:bCs/>
          <w:iCs/>
          <w:sz w:val="20"/>
          <w:szCs w:val="20"/>
        </w:rPr>
        <w:t xml:space="preserve">please refer to section </w:t>
      </w:r>
      <w:r w:rsidR="001B4361" w:rsidRPr="00156AA3">
        <w:rPr>
          <w:rFonts w:cs="Arial"/>
          <w:bCs/>
          <w:iCs/>
          <w:sz w:val="20"/>
          <w:szCs w:val="20"/>
        </w:rPr>
        <w:t>3.1.1</w:t>
      </w:r>
      <w:r w:rsidRPr="00D9790C">
        <w:rPr>
          <w:rFonts w:cs="Arial"/>
          <w:bCs/>
          <w:iCs/>
          <w:sz w:val="20"/>
          <w:szCs w:val="20"/>
        </w:rPr>
        <w:t>) enables linkbases to be</w:t>
      </w:r>
      <w:r>
        <w:rPr>
          <w:rFonts w:cs="Arial"/>
          <w:bCs/>
          <w:iCs/>
          <w:sz w:val="20"/>
          <w:szCs w:val="20"/>
        </w:rPr>
        <w:t xml:space="preserve"> </w:t>
      </w:r>
      <w:r w:rsidRPr="00D9790C">
        <w:rPr>
          <w:rFonts w:cs="Arial"/>
          <w:bCs/>
          <w:iCs/>
          <w:sz w:val="20"/>
          <w:szCs w:val="20"/>
        </w:rPr>
        <w:t xml:space="preserve">organised and viewed </w:t>
      </w:r>
      <w:r>
        <w:rPr>
          <w:rFonts w:cs="Arial"/>
          <w:bCs/>
          <w:iCs/>
          <w:sz w:val="20"/>
          <w:szCs w:val="20"/>
        </w:rPr>
        <w:t xml:space="preserve">in </w:t>
      </w:r>
      <w:r w:rsidR="001B4361">
        <w:rPr>
          <w:rFonts w:cs="Arial"/>
          <w:bCs/>
          <w:iCs/>
          <w:sz w:val="20"/>
          <w:szCs w:val="20"/>
        </w:rPr>
        <w:t xml:space="preserve">the </w:t>
      </w:r>
      <w:r>
        <w:rPr>
          <w:rFonts w:cs="Arial"/>
          <w:bCs/>
          <w:iCs/>
          <w:sz w:val="20"/>
          <w:szCs w:val="20"/>
        </w:rPr>
        <w:t>same way as in the IFRS Taxonomy. The linkbases can be vi</w:t>
      </w:r>
      <w:r w:rsidR="001B4361">
        <w:rPr>
          <w:rFonts w:cs="Arial"/>
          <w:bCs/>
          <w:iCs/>
          <w:sz w:val="20"/>
          <w:szCs w:val="20"/>
        </w:rPr>
        <w:t>e</w:t>
      </w:r>
      <w:r>
        <w:rPr>
          <w:rFonts w:cs="Arial"/>
          <w:bCs/>
          <w:iCs/>
          <w:sz w:val="20"/>
          <w:szCs w:val="20"/>
        </w:rPr>
        <w:t xml:space="preserve">wed </w:t>
      </w:r>
      <w:r w:rsidRPr="00D9790C">
        <w:rPr>
          <w:rFonts w:cs="Arial"/>
          <w:bCs/>
          <w:iCs/>
          <w:sz w:val="20"/>
          <w:szCs w:val="20"/>
        </w:rPr>
        <w:t xml:space="preserve">by </w:t>
      </w:r>
      <w:r w:rsidR="007A577B">
        <w:rPr>
          <w:rFonts w:cs="Arial"/>
          <w:bCs/>
          <w:iCs/>
          <w:sz w:val="20"/>
          <w:szCs w:val="20"/>
        </w:rPr>
        <w:t>Standards</w:t>
      </w:r>
      <w:r w:rsidRPr="00D9790C">
        <w:rPr>
          <w:rFonts w:cs="Arial"/>
          <w:bCs/>
          <w:iCs/>
          <w:sz w:val="20"/>
          <w:szCs w:val="20"/>
        </w:rPr>
        <w:t xml:space="preserve"> (when ELRs are sorted by their URIs), or according to financial statements (when ELRs are sorted by</w:t>
      </w:r>
      <w:r>
        <w:rPr>
          <w:rFonts w:cs="Arial"/>
          <w:bCs/>
          <w:iCs/>
          <w:sz w:val="20"/>
          <w:szCs w:val="20"/>
        </w:rPr>
        <w:t xml:space="preserve"> </w:t>
      </w:r>
      <w:r w:rsidRPr="00D9790C">
        <w:rPr>
          <w:rFonts w:cs="Arial"/>
          <w:bCs/>
          <w:iCs/>
          <w:sz w:val="20"/>
          <w:szCs w:val="20"/>
        </w:rPr>
        <w:t xml:space="preserve">their definitions). </w:t>
      </w:r>
      <w:r w:rsidR="002D2772">
        <w:rPr>
          <w:rFonts w:cs="Arial"/>
          <w:bCs/>
          <w:iCs/>
          <w:sz w:val="20"/>
          <w:szCs w:val="20"/>
        </w:rPr>
        <w:t>T</w:t>
      </w:r>
      <w:r w:rsidRPr="00D9790C">
        <w:rPr>
          <w:rFonts w:cs="Arial"/>
          <w:bCs/>
          <w:iCs/>
          <w:sz w:val="20"/>
          <w:szCs w:val="20"/>
        </w:rPr>
        <w:t xml:space="preserve">he </w:t>
      </w:r>
      <w:r w:rsidR="006B5616">
        <w:rPr>
          <w:rFonts w:cs="Arial"/>
          <w:bCs/>
          <w:iCs/>
          <w:sz w:val="20"/>
          <w:szCs w:val="20"/>
        </w:rPr>
        <w:t xml:space="preserve">IFRS AU Taxonomy </w:t>
      </w:r>
      <w:r w:rsidR="002D2772">
        <w:rPr>
          <w:rFonts w:cs="Arial"/>
          <w:bCs/>
          <w:iCs/>
          <w:sz w:val="20"/>
          <w:szCs w:val="20"/>
        </w:rPr>
        <w:t>includes</w:t>
      </w:r>
      <w:r w:rsidRPr="00D9790C">
        <w:rPr>
          <w:rFonts w:cs="Arial"/>
          <w:bCs/>
          <w:iCs/>
          <w:sz w:val="20"/>
          <w:szCs w:val="20"/>
        </w:rPr>
        <w:t xml:space="preserve"> six-digit numbers in square brackets at the</w:t>
      </w:r>
      <w:r w:rsidR="00E94256">
        <w:rPr>
          <w:rFonts w:cs="Arial"/>
          <w:bCs/>
          <w:iCs/>
          <w:sz w:val="20"/>
          <w:szCs w:val="20"/>
        </w:rPr>
        <w:t xml:space="preserve"> </w:t>
      </w:r>
      <w:r w:rsidRPr="00D9790C">
        <w:rPr>
          <w:rFonts w:cs="Arial"/>
          <w:bCs/>
          <w:iCs/>
          <w:sz w:val="20"/>
          <w:szCs w:val="20"/>
        </w:rPr>
        <w:t>beginning of each ELR definition which provide viewing and sorting functionality (this number is not related to the underlying</w:t>
      </w:r>
      <w:r>
        <w:rPr>
          <w:rFonts w:cs="Arial"/>
          <w:bCs/>
          <w:iCs/>
          <w:sz w:val="20"/>
          <w:szCs w:val="20"/>
        </w:rPr>
        <w:t xml:space="preserve"> </w:t>
      </w:r>
      <w:r w:rsidR="007A577B">
        <w:rPr>
          <w:rFonts w:cs="Arial"/>
          <w:bCs/>
          <w:iCs/>
          <w:sz w:val="20"/>
          <w:szCs w:val="20"/>
        </w:rPr>
        <w:t>legislative requirement</w:t>
      </w:r>
      <w:r w:rsidRPr="00D9790C">
        <w:rPr>
          <w:rFonts w:cs="Arial"/>
          <w:bCs/>
          <w:iCs/>
          <w:sz w:val="20"/>
          <w:szCs w:val="20"/>
        </w:rPr>
        <w:t>).</w:t>
      </w:r>
      <w:r w:rsidR="00FB1E0E">
        <w:rPr>
          <w:rFonts w:cs="Arial"/>
          <w:bCs/>
          <w:iCs/>
          <w:sz w:val="20"/>
          <w:szCs w:val="20"/>
        </w:rPr>
        <w:t xml:space="preserve"> </w:t>
      </w:r>
      <w:r w:rsidR="006B5616">
        <w:rPr>
          <w:rFonts w:cs="Arial"/>
          <w:bCs/>
          <w:iCs/>
          <w:sz w:val="20"/>
          <w:szCs w:val="20"/>
        </w:rPr>
        <w:t>IFRS AU Taxonomy</w:t>
      </w:r>
      <w:r w:rsidR="00781150">
        <w:rPr>
          <w:rFonts w:cs="Arial"/>
          <w:bCs/>
          <w:iCs/>
          <w:sz w:val="20"/>
          <w:szCs w:val="20"/>
        </w:rPr>
        <w:t>’s entry point one</w:t>
      </w:r>
      <w:r w:rsidR="006B5616">
        <w:rPr>
          <w:rFonts w:cs="Arial"/>
          <w:bCs/>
          <w:iCs/>
          <w:sz w:val="20"/>
          <w:szCs w:val="20"/>
        </w:rPr>
        <w:t xml:space="preserve"> </w:t>
      </w:r>
      <w:r w:rsidR="003E2A65">
        <w:rPr>
          <w:rFonts w:cs="Arial"/>
          <w:bCs/>
          <w:iCs/>
          <w:sz w:val="20"/>
          <w:szCs w:val="20"/>
        </w:rPr>
        <w:t>contains E</w:t>
      </w:r>
      <w:r w:rsidR="007A577B">
        <w:rPr>
          <w:rFonts w:cs="Arial"/>
          <w:bCs/>
          <w:iCs/>
          <w:sz w:val="20"/>
          <w:szCs w:val="20"/>
        </w:rPr>
        <w:t>L</w:t>
      </w:r>
      <w:r w:rsidR="003E2A65">
        <w:rPr>
          <w:rFonts w:cs="Arial"/>
          <w:bCs/>
          <w:iCs/>
          <w:sz w:val="20"/>
          <w:szCs w:val="20"/>
        </w:rPr>
        <w:t>R</w:t>
      </w:r>
      <w:r w:rsidR="007A577B">
        <w:rPr>
          <w:rFonts w:cs="Arial"/>
          <w:bCs/>
          <w:iCs/>
          <w:sz w:val="20"/>
          <w:szCs w:val="20"/>
        </w:rPr>
        <w:t>s between [100000] and [899999] referring to hierarchies and applied dimensional structures</w:t>
      </w:r>
      <w:r w:rsidR="009D57CC">
        <w:rPr>
          <w:rFonts w:cs="Arial"/>
          <w:bCs/>
          <w:iCs/>
          <w:sz w:val="20"/>
          <w:szCs w:val="20"/>
        </w:rPr>
        <w:t>. The</w:t>
      </w:r>
      <w:r w:rsidR="009D57CC">
        <w:rPr>
          <w:rFonts w:ascii="SwiftLTPro-Regular" w:hAnsi="SwiftLTPro-Regular" w:cs="SwiftLTPro-Regular"/>
          <w:sz w:val="16"/>
          <w:szCs w:val="16"/>
        </w:rPr>
        <w:t xml:space="preserve"> </w:t>
      </w:r>
      <w:r w:rsidR="009D57CC" w:rsidRPr="009D57CC">
        <w:rPr>
          <w:rFonts w:cs="Arial"/>
          <w:bCs/>
          <w:iCs/>
          <w:sz w:val="20"/>
          <w:szCs w:val="20"/>
        </w:rPr>
        <w:t>ELRs between [900000] and</w:t>
      </w:r>
      <w:r w:rsidR="009D57CC">
        <w:rPr>
          <w:rFonts w:cs="Arial"/>
          <w:bCs/>
          <w:iCs/>
          <w:sz w:val="20"/>
          <w:szCs w:val="20"/>
        </w:rPr>
        <w:t xml:space="preserve"> </w:t>
      </w:r>
      <w:r w:rsidR="009D57CC" w:rsidRPr="009D57CC">
        <w:rPr>
          <w:rFonts w:cs="Arial"/>
          <w:bCs/>
          <w:iCs/>
          <w:sz w:val="20"/>
          <w:szCs w:val="20"/>
        </w:rPr>
        <w:t xml:space="preserve">[999999] represent </w:t>
      </w:r>
      <w:r w:rsidR="00EB1FBD">
        <w:rPr>
          <w:rFonts w:cs="Arial"/>
          <w:bCs/>
          <w:iCs/>
          <w:sz w:val="20"/>
          <w:szCs w:val="20"/>
        </w:rPr>
        <w:t>“</w:t>
      </w:r>
      <w:r w:rsidR="009D57CC" w:rsidRPr="009D57CC">
        <w:rPr>
          <w:rFonts w:cs="Arial"/>
          <w:bCs/>
          <w:iCs/>
          <w:sz w:val="20"/>
          <w:szCs w:val="20"/>
        </w:rPr>
        <w:t>for application</w:t>
      </w:r>
      <w:r w:rsidR="00EB1FBD">
        <w:rPr>
          <w:rFonts w:cs="Arial"/>
          <w:bCs/>
          <w:iCs/>
          <w:sz w:val="20"/>
          <w:szCs w:val="20"/>
        </w:rPr>
        <w:t>”</w:t>
      </w:r>
      <w:r w:rsidR="009D57CC" w:rsidRPr="009D57CC">
        <w:rPr>
          <w:rFonts w:cs="Arial"/>
          <w:bCs/>
          <w:iCs/>
          <w:sz w:val="20"/>
          <w:szCs w:val="20"/>
        </w:rPr>
        <w:t xml:space="preserve"> dimensional components</w:t>
      </w:r>
      <w:r w:rsidR="009D57CC">
        <w:rPr>
          <w:rFonts w:cs="Arial"/>
          <w:bCs/>
          <w:iCs/>
          <w:sz w:val="20"/>
          <w:szCs w:val="20"/>
        </w:rPr>
        <w:t xml:space="preserve"> copied from IFRS</w:t>
      </w:r>
      <w:r w:rsidR="00EB1FBD">
        <w:rPr>
          <w:rFonts w:cs="Arial"/>
          <w:bCs/>
          <w:iCs/>
          <w:sz w:val="20"/>
          <w:szCs w:val="20"/>
        </w:rPr>
        <w:t>,</w:t>
      </w:r>
      <w:r w:rsidR="009D57CC">
        <w:rPr>
          <w:rFonts w:cs="Arial"/>
          <w:bCs/>
          <w:iCs/>
          <w:sz w:val="20"/>
          <w:szCs w:val="20"/>
        </w:rPr>
        <w:t xml:space="preserve"> </w:t>
      </w:r>
      <w:r w:rsidR="007A577B">
        <w:rPr>
          <w:rFonts w:cs="Arial"/>
          <w:bCs/>
          <w:iCs/>
          <w:sz w:val="20"/>
          <w:szCs w:val="20"/>
        </w:rPr>
        <w:t>with the exception of EL</w:t>
      </w:r>
      <w:r w:rsidR="00EB1FBD">
        <w:rPr>
          <w:rFonts w:cs="Arial"/>
          <w:bCs/>
          <w:iCs/>
          <w:sz w:val="20"/>
          <w:szCs w:val="20"/>
        </w:rPr>
        <w:t>R</w:t>
      </w:r>
      <w:r w:rsidR="007A577B">
        <w:rPr>
          <w:rFonts w:cs="Arial"/>
          <w:bCs/>
          <w:iCs/>
          <w:sz w:val="20"/>
          <w:szCs w:val="20"/>
        </w:rPr>
        <w:t xml:space="preserve"> [913000] </w:t>
      </w:r>
      <w:r w:rsidR="00BE5F2E">
        <w:rPr>
          <w:rFonts w:cs="Arial"/>
          <w:bCs/>
          <w:iCs/>
          <w:sz w:val="20"/>
          <w:szCs w:val="20"/>
        </w:rPr>
        <w:t xml:space="preserve">which has been applied in </w:t>
      </w:r>
      <w:r w:rsidR="006B5616">
        <w:rPr>
          <w:rFonts w:cs="Arial"/>
          <w:bCs/>
          <w:iCs/>
          <w:sz w:val="20"/>
          <w:szCs w:val="20"/>
        </w:rPr>
        <w:t>IFRS AU Taxonomy</w:t>
      </w:r>
      <w:r w:rsidR="00BE5F2E">
        <w:rPr>
          <w:rFonts w:cs="Arial"/>
          <w:bCs/>
          <w:iCs/>
          <w:sz w:val="20"/>
          <w:szCs w:val="20"/>
        </w:rPr>
        <w:t>.</w:t>
      </w:r>
      <w:r w:rsidR="009D57CC" w:rsidRPr="009D57CC">
        <w:rPr>
          <w:rFonts w:cs="Arial"/>
          <w:bCs/>
          <w:iCs/>
          <w:sz w:val="20"/>
          <w:szCs w:val="20"/>
        </w:rPr>
        <w:t xml:space="preserve"> </w:t>
      </w:r>
      <w:r w:rsidR="009D57CC">
        <w:rPr>
          <w:rFonts w:cs="Arial"/>
          <w:bCs/>
          <w:iCs/>
          <w:sz w:val="20"/>
          <w:szCs w:val="20"/>
        </w:rPr>
        <w:t xml:space="preserve">The definition linkbase and the calculation linkbase contain a number of separate ELR that </w:t>
      </w:r>
      <w:r w:rsidR="009D57CC" w:rsidRPr="009D57CC">
        <w:rPr>
          <w:rFonts w:cs="Arial"/>
          <w:bCs/>
          <w:iCs/>
          <w:sz w:val="20"/>
          <w:szCs w:val="20"/>
        </w:rPr>
        <w:t>provide modelling in definition linkbase (for isolation</w:t>
      </w:r>
      <w:r w:rsidR="009D57CC">
        <w:rPr>
          <w:rFonts w:cs="Arial"/>
          <w:bCs/>
          <w:iCs/>
          <w:sz w:val="20"/>
          <w:szCs w:val="20"/>
        </w:rPr>
        <w:t xml:space="preserve"> </w:t>
      </w:r>
      <w:r w:rsidR="009D57CC" w:rsidRPr="009D57CC">
        <w:rPr>
          <w:rFonts w:cs="Arial"/>
          <w:bCs/>
          <w:iCs/>
          <w:sz w:val="20"/>
          <w:szCs w:val="20"/>
        </w:rPr>
        <w:t>of hypercubes).</w:t>
      </w:r>
      <w:r w:rsidR="00781150">
        <w:rPr>
          <w:rFonts w:cs="Arial"/>
          <w:bCs/>
          <w:iCs/>
          <w:sz w:val="20"/>
          <w:szCs w:val="20"/>
        </w:rPr>
        <w:t xml:space="preserve">  </w:t>
      </w:r>
    </w:p>
    <w:p w14:paraId="1617E6E9" w14:textId="77777777" w:rsidR="00BE5F2E" w:rsidRDefault="00BE5F2E" w:rsidP="00D9790C">
      <w:pPr>
        <w:rPr>
          <w:rFonts w:cs="Arial"/>
          <w:bCs/>
          <w:iCs/>
          <w:sz w:val="20"/>
          <w:szCs w:val="20"/>
        </w:rPr>
      </w:pPr>
    </w:p>
    <w:p w14:paraId="2E0226F4" w14:textId="12B265D7" w:rsidR="00D9790C" w:rsidRDefault="004B7A2A" w:rsidP="00D9790C">
      <w:pPr>
        <w:rPr>
          <w:rFonts w:cs="Arial"/>
          <w:bCs/>
          <w:iCs/>
          <w:sz w:val="20"/>
          <w:szCs w:val="20"/>
        </w:rPr>
      </w:pPr>
      <w:r w:rsidRPr="00643A94">
        <w:rPr>
          <w:rFonts w:cs="Arial"/>
          <w:bCs/>
          <w:iCs/>
          <w:sz w:val="20"/>
          <w:szCs w:val="20"/>
        </w:rPr>
        <w:t xml:space="preserve">The </w:t>
      </w:r>
      <w:r w:rsidR="00171B08">
        <w:rPr>
          <w:rFonts w:cs="Arial"/>
          <w:bCs/>
          <w:iCs/>
          <w:sz w:val="20"/>
          <w:szCs w:val="20"/>
        </w:rPr>
        <w:t xml:space="preserve">AU Extension </w:t>
      </w:r>
      <w:r w:rsidR="003E2A65">
        <w:rPr>
          <w:rFonts w:cs="Arial"/>
          <w:bCs/>
          <w:iCs/>
          <w:sz w:val="20"/>
          <w:szCs w:val="20"/>
        </w:rPr>
        <w:t xml:space="preserve">has defined </w:t>
      </w:r>
      <w:r w:rsidR="003D5116">
        <w:rPr>
          <w:rFonts w:cs="Arial"/>
          <w:bCs/>
          <w:iCs/>
          <w:sz w:val="20"/>
          <w:szCs w:val="20"/>
        </w:rPr>
        <w:t>five</w:t>
      </w:r>
      <w:r w:rsidR="00A70E54">
        <w:rPr>
          <w:rFonts w:cs="Arial"/>
          <w:bCs/>
          <w:iCs/>
          <w:sz w:val="20"/>
          <w:szCs w:val="20"/>
        </w:rPr>
        <w:t xml:space="preserve"> </w:t>
      </w:r>
      <w:r w:rsidRPr="00643A94">
        <w:rPr>
          <w:rFonts w:cs="Arial"/>
          <w:bCs/>
          <w:iCs/>
          <w:sz w:val="20"/>
          <w:szCs w:val="20"/>
        </w:rPr>
        <w:t xml:space="preserve">new ELRs </w:t>
      </w:r>
      <w:r w:rsidR="00643A94" w:rsidRPr="00643A94">
        <w:rPr>
          <w:rFonts w:cs="Arial"/>
          <w:bCs/>
          <w:iCs/>
          <w:sz w:val="20"/>
          <w:szCs w:val="20"/>
        </w:rPr>
        <w:t xml:space="preserve">that are </w:t>
      </w:r>
      <w:r w:rsidRPr="00643A94">
        <w:rPr>
          <w:rFonts w:cs="Arial"/>
          <w:bCs/>
          <w:iCs/>
          <w:sz w:val="20"/>
          <w:szCs w:val="20"/>
        </w:rPr>
        <w:t>specific to the jurisdictional requirements</w:t>
      </w:r>
      <w:r w:rsidR="003D5116">
        <w:rPr>
          <w:rFonts w:cs="Arial"/>
          <w:bCs/>
          <w:iCs/>
          <w:sz w:val="20"/>
          <w:szCs w:val="20"/>
        </w:rPr>
        <w:t xml:space="preserve"> as per table </w:t>
      </w:r>
      <w:r w:rsidR="0093318D">
        <w:rPr>
          <w:rFonts w:cs="Arial"/>
          <w:bCs/>
          <w:iCs/>
          <w:sz w:val="20"/>
          <w:szCs w:val="20"/>
        </w:rPr>
        <w:t>2</w:t>
      </w:r>
      <w:r w:rsidR="003D5116">
        <w:rPr>
          <w:rFonts w:cs="Arial"/>
          <w:bCs/>
          <w:iCs/>
          <w:sz w:val="20"/>
          <w:szCs w:val="20"/>
        </w:rPr>
        <w:t>. In the same time</w:t>
      </w:r>
      <w:r w:rsidR="00B06E39">
        <w:rPr>
          <w:rFonts w:cs="Arial"/>
          <w:bCs/>
          <w:iCs/>
          <w:sz w:val="20"/>
          <w:szCs w:val="20"/>
        </w:rPr>
        <w:t>,</w:t>
      </w:r>
      <w:r w:rsidR="003D5116">
        <w:rPr>
          <w:rFonts w:cs="Arial"/>
          <w:bCs/>
          <w:iCs/>
          <w:sz w:val="20"/>
          <w:szCs w:val="20"/>
        </w:rPr>
        <w:t xml:space="preserve"> </w:t>
      </w:r>
      <w:r w:rsidRPr="00643A94">
        <w:rPr>
          <w:rFonts w:cs="Arial"/>
          <w:bCs/>
          <w:iCs/>
          <w:sz w:val="20"/>
          <w:szCs w:val="20"/>
        </w:rPr>
        <w:t xml:space="preserve">it is not making use of </w:t>
      </w:r>
      <w:r w:rsidR="006A67E2">
        <w:rPr>
          <w:rFonts w:cs="Arial"/>
          <w:bCs/>
          <w:iCs/>
          <w:sz w:val="20"/>
          <w:szCs w:val="20"/>
        </w:rPr>
        <w:t xml:space="preserve">six </w:t>
      </w:r>
      <w:r w:rsidRPr="00643A94">
        <w:rPr>
          <w:rFonts w:cs="Arial"/>
          <w:bCs/>
          <w:iCs/>
          <w:sz w:val="20"/>
          <w:szCs w:val="20"/>
        </w:rPr>
        <w:t xml:space="preserve">of the IFRS ELRs as per </w:t>
      </w:r>
      <w:r w:rsidR="0093318D">
        <w:rPr>
          <w:rFonts w:cs="Arial"/>
          <w:bCs/>
          <w:iCs/>
          <w:sz w:val="20"/>
          <w:szCs w:val="20"/>
        </w:rPr>
        <w:t>table 3</w:t>
      </w:r>
      <w:r w:rsidR="0093318D" w:rsidRPr="00643A94">
        <w:rPr>
          <w:rFonts w:cs="Arial"/>
          <w:bCs/>
          <w:iCs/>
          <w:sz w:val="20"/>
          <w:szCs w:val="20"/>
        </w:rPr>
        <w:t xml:space="preserve"> </w:t>
      </w:r>
      <w:r w:rsidRPr="00643A94">
        <w:rPr>
          <w:rFonts w:cs="Arial"/>
          <w:bCs/>
          <w:iCs/>
          <w:sz w:val="20"/>
          <w:szCs w:val="20"/>
        </w:rPr>
        <w:t>below.</w:t>
      </w:r>
    </w:p>
    <w:p w14:paraId="239D1BDC" w14:textId="77777777" w:rsidR="00120D59" w:rsidRDefault="00120D59" w:rsidP="00D9790C">
      <w:pPr>
        <w:rPr>
          <w:rFonts w:cs="Arial"/>
          <w:bCs/>
          <w:iCs/>
          <w:sz w:val="20"/>
          <w:szCs w:val="20"/>
        </w:rPr>
      </w:pPr>
    </w:p>
    <w:p w14:paraId="5D4289C2" w14:textId="2F041B8E" w:rsidR="009B77C1" w:rsidRDefault="00120D59" w:rsidP="00F069A2">
      <w:pPr>
        <w:pStyle w:val="ListParagraph"/>
        <w:numPr>
          <w:ilvl w:val="0"/>
          <w:numId w:val="28"/>
        </w:numPr>
        <w:ind w:left="851" w:hanging="851"/>
        <w:rPr>
          <w:rFonts w:cs="Arial"/>
          <w:bCs/>
          <w:iCs/>
          <w:szCs w:val="22"/>
        </w:rPr>
      </w:pPr>
      <w:r>
        <w:rPr>
          <w:rStyle w:val="Emphasis"/>
          <w:sz w:val="18"/>
          <w:szCs w:val="18"/>
        </w:rPr>
        <w:t xml:space="preserve">Additional ELRs in </w:t>
      </w:r>
      <w:r w:rsidR="00FC3CEC">
        <w:rPr>
          <w:rStyle w:val="Emphasis"/>
          <w:sz w:val="18"/>
          <w:szCs w:val="18"/>
        </w:rPr>
        <w:t xml:space="preserve">IFRS AU Taxonomy </w:t>
      </w:r>
      <w:r w:rsidR="00442B0D">
        <w:rPr>
          <w:rStyle w:val="Emphasis"/>
          <w:sz w:val="18"/>
          <w:szCs w:val="18"/>
        </w:rPr>
        <w:t>2025</w:t>
      </w:r>
      <w:r>
        <w:rPr>
          <w:rStyle w:val="Emphasis"/>
          <w:sz w:val="18"/>
          <w:szCs w:val="18"/>
        </w:rPr>
        <w:t xml:space="preserve"> </w:t>
      </w:r>
      <w:r w:rsidR="00FC081F">
        <w:rPr>
          <w:rStyle w:val="Emphasis"/>
          <w:sz w:val="18"/>
          <w:szCs w:val="18"/>
        </w:rPr>
        <w:t>for entry point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4536"/>
      </w:tblGrid>
      <w:tr w:rsidR="00A867CF" w:rsidRPr="00F06D0D" w14:paraId="66478928" w14:textId="77777777" w:rsidTr="00F06D0D">
        <w:trPr>
          <w:trHeight w:val="340"/>
        </w:trPr>
        <w:tc>
          <w:tcPr>
            <w:tcW w:w="4706" w:type="dxa"/>
            <w:shd w:val="clear" w:color="auto" w:fill="DBE5F1" w:themeFill="accent1" w:themeFillTint="33"/>
            <w:vAlign w:val="center"/>
          </w:tcPr>
          <w:p w14:paraId="5CABB237" w14:textId="4ACAF416" w:rsidR="00A867CF" w:rsidRPr="00F06D0D" w:rsidRDefault="00FC3CEC" w:rsidP="008E0D42">
            <w:pPr>
              <w:rPr>
                <w:rFonts w:cs="Arial"/>
                <w:b/>
                <w:sz w:val="18"/>
                <w:szCs w:val="18"/>
              </w:rPr>
            </w:pPr>
            <w:r>
              <w:rPr>
                <w:rFonts w:cs="Arial"/>
                <w:b/>
                <w:sz w:val="18"/>
                <w:szCs w:val="18"/>
              </w:rPr>
              <w:t xml:space="preserve">IFRS AU Taxonomy </w:t>
            </w:r>
            <w:r w:rsidR="00442B0D">
              <w:rPr>
                <w:rFonts w:cs="Arial"/>
                <w:b/>
                <w:sz w:val="18"/>
                <w:szCs w:val="18"/>
              </w:rPr>
              <w:t>2025</w:t>
            </w:r>
            <w:r w:rsidR="00A867CF" w:rsidRPr="00F06D0D">
              <w:rPr>
                <w:rFonts w:cs="Arial"/>
                <w:b/>
                <w:sz w:val="18"/>
                <w:szCs w:val="18"/>
              </w:rPr>
              <w:t xml:space="preserve"> Additional ELR</w:t>
            </w:r>
          </w:p>
        </w:tc>
        <w:tc>
          <w:tcPr>
            <w:tcW w:w="4536" w:type="dxa"/>
            <w:shd w:val="clear" w:color="auto" w:fill="DBE5F1" w:themeFill="accent1" w:themeFillTint="33"/>
            <w:vAlign w:val="center"/>
          </w:tcPr>
          <w:p w14:paraId="41E0C08C" w14:textId="77777777" w:rsidR="00A867CF" w:rsidRPr="00F06D0D" w:rsidRDefault="00A867CF" w:rsidP="00F06D0D">
            <w:pPr>
              <w:rPr>
                <w:rFonts w:cs="Arial"/>
                <w:b/>
                <w:sz w:val="18"/>
                <w:szCs w:val="18"/>
              </w:rPr>
            </w:pPr>
            <w:r w:rsidRPr="00F06D0D">
              <w:rPr>
                <w:rFonts w:cs="Arial"/>
                <w:b/>
                <w:sz w:val="18"/>
                <w:szCs w:val="18"/>
              </w:rPr>
              <w:t>Explanations</w:t>
            </w:r>
          </w:p>
        </w:tc>
      </w:tr>
      <w:tr w:rsidR="00A867CF" w:rsidRPr="00F06D0D" w14:paraId="28B72B03" w14:textId="77777777" w:rsidTr="00A867CF">
        <w:trPr>
          <w:trHeight w:val="340"/>
        </w:trPr>
        <w:tc>
          <w:tcPr>
            <w:tcW w:w="4706" w:type="dxa"/>
            <w:vAlign w:val="center"/>
          </w:tcPr>
          <w:p w14:paraId="6165BC9D" w14:textId="77777777" w:rsidR="00A867CF" w:rsidRPr="00F06D0D" w:rsidRDefault="00A867CF" w:rsidP="00A867CF">
            <w:pPr>
              <w:rPr>
                <w:rFonts w:cs="Arial"/>
                <w:sz w:val="18"/>
                <w:szCs w:val="18"/>
              </w:rPr>
            </w:pPr>
            <w:r w:rsidRPr="00F06D0D">
              <w:rPr>
                <w:rFonts w:cs="Arial"/>
                <w:sz w:val="18"/>
                <w:szCs w:val="18"/>
              </w:rPr>
              <w:t>Extended link [105005] Australian Extension - other jurisdictional disclosures</w:t>
            </w:r>
          </w:p>
          <w:p w14:paraId="1701C142" w14:textId="77777777" w:rsidR="00A867CF" w:rsidRPr="00F06D0D" w:rsidRDefault="00A867CF" w:rsidP="00A867CF">
            <w:pPr>
              <w:rPr>
                <w:rFonts w:cs="Arial"/>
                <w:sz w:val="18"/>
                <w:szCs w:val="18"/>
              </w:rPr>
            </w:pPr>
          </w:p>
        </w:tc>
        <w:tc>
          <w:tcPr>
            <w:tcW w:w="4536" w:type="dxa"/>
          </w:tcPr>
          <w:p w14:paraId="395FBBDF" w14:textId="77777777" w:rsidR="00A867CF" w:rsidRPr="00F06D0D" w:rsidRDefault="00A867CF" w:rsidP="00A867CF">
            <w:pPr>
              <w:rPr>
                <w:rFonts w:cs="Arial"/>
                <w:sz w:val="18"/>
                <w:szCs w:val="18"/>
              </w:rPr>
            </w:pPr>
            <w:r w:rsidRPr="00F06D0D">
              <w:rPr>
                <w:rFonts w:cs="Arial"/>
                <w:sz w:val="18"/>
                <w:szCs w:val="18"/>
              </w:rPr>
              <w:t>Reportable concepts representing financial reporting requirements provided in Corporations Act, Corporations Regulations, Auditing Standards, ASX Listing Rules and ASX Corporate Governance  Principles</w:t>
            </w:r>
          </w:p>
        </w:tc>
      </w:tr>
      <w:tr w:rsidR="003A5B86" w:rsidRPr="00F06D0D" w14:paraId="5DDF1422" w14:textId="77777777" w:rsidTr="00A867CF">
        <w:trPr>
          <w:trHeight w:val="340"/>
        </w:trPr>
        <w:tc>
          <w:tcPr>
            <w:tcW w:w="4706" w:type="dxa"/>
            <w:vAlign w:val="center"/>
          </w:tcPr>
          <w:p w14:paraId="15F9D321" w14:textId="77777777" w:rsidR="003A5B86" w:rsidRPr="003A5B86" w:rsidRDefault="003A5B86" w:rsidP="003A5B86">
            <w:pPr>
              <w:rPr>
                <w:rFonts w:cs="Arial"/>
                <w:sz w:val="18"/>
                <w:szCs w:val="18"/>
              </w:rPr>
            </w:pPr>
            <w:r w:rsidRPr="00F06D0D">
              <w:rPr>
                <w:rFonts w:cs="Arial"/>
                <w:sz w:val="18"/>
                <w:szCs w:val="18"/>
              </w:rPr>
              <w:t xml:space="preserve">Extended link </w:t>
            </w:r>
            <w:r w:rsidRPr="003A5B86">
              <w:rPr>
                <w:rFonts w:cs="Arial"/>
                <w:sz w:val="18"/>
                <w:szCs w:val="18"/>
              </w:rPr>
              <w:t>[831800] Notes – Income of not for profit entities</w:t>
            </w:r>
          </w:p>
          <w:p w14:paraId="2C2565F1" w14:textId="77777777" w:rsidR="003A5B86" w:rsidRPr="00F06D0D" w:rsidRDefault="003A5B86" w:rsidP="003A5B86">
            <w:pPr>
              <w:rPr>
                <w:rFonts w:cs="Arial"/>
                <w:sz w:val="18"/>
                <w:szCs w:val="18"/>
              </w:rPr>
            </w:pPr>
            <w:r w:rsidRPr="00F06D0D">
              <w:rPr>
                <w:rFonts w:cs="Arial"/>
                <w:sz w:val="18"/>
                <w:szCs w:val="18"/>
              </w:rPr>
              <w:t xml:space="preserve"> </w:t>
            </w:r>
          </w:p>
        </w:tc>
        <w:tc>
          <w:tcPr>
            <w:tcW w:w="4536" w:type="dxa"/>
          </w:tcPr>
          <w:p w14:paraId="31C496EF" w14:textId="77777777" w:rsidR="003A5B86" w:rsidRPr="00F06D0D" w:rsidRDefault="003A5B86" w:rsidP="003A5B86">
            <w:pPr>
              <w:rPr>
                <w:rFonts w:cs="Arial"/>
                <w:sz w:val="18"/>
                <w:szCs w:val="18"/>
              </w:rPr>
            </w:pPr>
            <w:r w:rsidRPr="00F06D0D">
              <w:rPr>
                <w:rFonts w:cs="Arial"/>
                <w:sz w:val="18"/>
                <w:szCs w:val="18"/>
              </w:rPr>
              <w:t>Reportable concepts for disclosures required under AASB 10</w:t>
            </w:r>
            <w:r>
              <w:rPr>
                <w:rFonts w:cs="Arial"/>
                <w:sz w:val="18"/>
                <w:szCs w:val="18"/>
              </w:rPr>
              <w:t>58</w:t>
            </w:r>
            <w:r w:rsidRPr="00F06D0D">
              <w:rPr>
                <w:rFonts w:cs="Arial"/>
                <w:sz w:val="18"/>
                <w:szCs w:val="18"/>
              </w:rPr>
              <w:t xml:space="preserve"> </w:t>
            </w:r>
            <w:r>
              <w:rPr>
                <w:rFonts w:cs="Arial"/>
                <w:sz w:val="18"/>
                <w:szCs w:val="18"/>
              </w:rPr>
              <w:t>Income of not for profit entities</w:t>
            </w:r>
            <w:r w:rsidRPr="00F06D0D">
              <w:rPr>
                <w:rFonts w:cs="Arial"/>
                <w:sz w:val="18"/>
                <w:szCs w:val="18"/>
              </w:rPr>
              <w:t xml:space="preserve"> which do</w:t>
            </w:r>
            <w:r>
              <w:rPr>
                <w:rFonts w:cs="Arial"/>
                <w:sz w:val="18"/>
                <w:szCs w:val="18"/>
              </w:rPr>
              <w:t xml:space="preserve"> </w:t>
            </w:r>
            <w:r w:rsidRPr="00F06D0D">
              <w:rPr>
                <w:rFonts w:cs="Arial"/>
                <w:sz w:val="18"/>
                <w:szCs w:val="18"/>
              </w:rPr>
              <w:t>not have a corresponding IFRS standard</w:t>
            </w:r>
          </w:p>
        </w:tc>
      </w:tr>
      <w:tr w:rsidR="00A867CF" w:rsidRPr="00F06D0D" w14:paraId="2FC17663" w14:textId="77777777" w:rsidTr="00A867CF">
        <w:trPr>
          <w:trHeight w:val="340"/>
        </w:trPr>
        <w:tc>
          <w:tcPr>
            <w:tcW w:w="4706" w:type="dxa"/>
            <w:vAlign w:val="center"/>
          </w:tcPr>
          <w:p w14:paraId="17E2EEDF" w14:textId="77777777" w:rsidR="00A867CF" w:rsidRPr="00F06D0D" w:rsidRDefault="00A970A9" w:rsidP="00A970A9">
            <w:pPr>
              <w:rPr>
                <w:rFonts w:cs="Arial"/>
                <w:sz w:val="18"/>
                <w:szCs w:val="18"/>
              </w:rPr>
            </w:pPr>
            <w:r w:rsidRPr="00F06D0D">
              <w:rPr>
                <w:rFonts w:cs="Arial"/>
                <w:sz w:val="18"/>
                <w:szCs w:val="18"/>
              </w:rPr>
              <w:t>Extended link [833000</w:t>
            </w:r>
            <w:r w:rsidR="00A867CF" w:rsidRPr="00F06D0D">
              <w:rPr>
                <w:rFonts w:cs="Arial"/>
                <w:sz w:val="18"/>
                <w:szCs w:val="18"/>
              </w:rPr>
              <w:t>] Notes - Parent entity disclosure</w:t>
            </w:r>
          </w:p>
        </w:tc>
        <w:tc>
          <w:tcPr>
            <w:tcW w:w="4536" w:type="dxa"/>
          </w:tcPr>
          <w:p w14:paraId="77F2916A" w14:textId="77777777" w:rsidR="00A867CF" w:rsidRPr="00F06D0D" w:rsidRDefault="00A867CF" w:rsidP="00870088">
            <w:pPr>
              <w:rPr>
                <w:rFonts w:cs="Arial"/>
                <w:sz w:val="18"/>
                <w:szCs w:val="18"/>
              </w:rPr>
            </w:pPr>
            <w:r w:rsidRPr="00F06D0D">
              <w:rPr>
                <w:rFonts w:cs="Arial"/>
                <w:sz w:val="18"/>
                <w:szCs w:val="18"/>
              </w:rPr>
              <w:t xml:space="preserve">Reportable concepts required only </w:t>
            </w:r>
            <w:r w:rsidR="00870088">
              <w:rPr>
                <w:rFonts w:cs="Arial"/>
                <w:sz w:val="18"/>
                <w:szCs w:val="18"/>
              </w:rPr>
              <w:t>when</w:t>
            </w:r>
            <w:r w:rsidRPr="00F06D0D">
              <w:rPr>
                <w:rFonts w:cs="Arial"/>
                <w:sz w:val="18"/>
                <w:szCs w:val="18"/>
              </w:rPr>
              <w:t xml:space="preserve"> consolidated financial statements are prepared as required in Corporations Regulations.</w:t>
            </w:r>
            <w:r w:rsidR="00927305">
              <w:rPr>
                <w:rFonts w:cs="Arial"/>
                <w:sz w:val="18"/>
                <w:szCs w:val="18"/>
              </w:rPr>
              <w:t xml:space="preserve"> Therefore, this ELR appears in the entry point one only.</w:t>
            </w:r>
          </w:p>
        </w:tc>
      </w:tr>
    </w:tbl>
    <w:p w14:paraId="0BC1BF84" w14:textId="77777777" w:rsidR="003257CE" w:rsidRDefault="003257CE" w:rsidP="00D9790C"/>
    <w:p w14:paraId="22DCD1C5" w14:textId="704324F1" w:rsidR="009B77C1" w:rsidRDefault="00120D59" w:rsidP="00F069A2">
      <w:pPr>
        <w:pStyle w:val="ListParagraph"/>
        <w:numPr>
          <w:ilvl w:val="0"/>
          <w:numId w:val="28"/>
        </w:numPr>
        <w:ind w:left="851" w:hanging="851"/>
      </w:pPr>
      <w:r w:rsidRPr="00120D59">
        <w:rPr>
          <w:rStyle w:val="Emphasis"/>
          <w:sz w:val="18"/>
          <w:szCs w:val="18"/>
        </w:rPr>
        <w:t xml:space="preserve">Redundant ELRs in </w:t>
      </w:r>
      <w:r w:rsidR="00FC3CEC">
        <w:rPr>
          <w:rStyle w:val="Emphasis"/>
          <w:sz w:val="18"/>
          <w:szCs w:val="18"/>
        </w:rPr>
        <w:t xml:space="preserve">IFRS AU Taxonomy </w:t>
      </w:r>
      <w:r w:rsidR="00442B0D">
        <w:rPr>
          <w:rStyle w:val="Emphasis"/>
          <w:sz w:val="18"/>
          <w:szCs w:val="18"/>
        </w:rPr>
        <w:t>2025</w:t>
      </w:r>
      <w:r w:rsidRPr="00120D59">
        <w:rPr>
          <w:rStyle w:val="Emphasis"/>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574"/>
      </w:tblGrid>
      <w:tr w:rsidR="00A867CF" w:rsidRPr="00032BFE" w14:paraId="618C917B" w14:textId="77777777" w:rsidTr="00F06D0D">
        <w:trPr>
          <w:trHeight w:val="340"/>
        </w:trPr>
        <w:tc>
          <w:tcPr>
            <w:tcW w:w="4668" w:type="dxa"/>
            <w:shd w:val="clear" w:color="auto" w:fill="DBE5F1" w:themeFill="accent1" w:themeFillTint="33"/>
            <w:vAlign w:val="center"/>
          </w:tcPr>
          <w:p w14:paraId="0C68297E" w14:textId="77777777" w:rsidR="00A867CF" w:rsidRPr="00F06D0D" w:rsidRDefault="00A867CF" w:rsidP="00F06D0D">
            <w:pPr>
              <w:rPr>
                <w:rFonts w:cs="Arial"/>
                <w:b/>
                <w:sz w:val="18"/>
                <w:szCs w:val="18"/>
              </w:rPr>
            </w:pPr>
            <w:r w:rsidRPr="00F06D0D">
              <w:rPr>
                <w:rFonts w:cs="Arial"/>
                <w:b/>
                <w:sz w:val="18"/>
                <w:szCs w:val="18"/>
              </w:rPr>
              <w:t xml:space="preserve">IFRS Taxonomy ELR not used </w:t>
            </w:r>
          </w:p>
        </w:tc>
        <w:tc>
          <w:tcPr>
            <w:tcW w:w="4574" w:type="dxa"/>
            <w:shd w:val="clear" w:color="auto" w:fill="DBE5F1" w:themeFill="accent1" w:themeFillTint="33"/>
            <w:vAlign w:val="center"/>
          </w:tcPr>
          <w:p w14:paraId="130C7FB9" w14:textId="77777777" w:rsidR="00A867CF" w:rsidRPr="00F06D0D" w:rsidRDefault="00A867CF" w:rsidP="00F06D0D">
            <w:pPr>
              <w:rPr>
                <w:rFonts w:cs="Arial"/>
                <w:b/>
                <w:sz w:val="18"/>
                <w:szCs w:val="18"/>
              </w:rPr>
            </w:pPr>
            <w:r w:rsidRPr="00F06D0D">
              <w:rPr>
                <w:rFonts w:cs="Arial"/>
                <w:b/>
                <w:sz w:val="18"/>
                <w:szCs w:val="18"/>
              </w:rPr>
              <w:t>Explanations</w:t>
            </w:r>
          </w:p>
        </w:tc>
      </w:tr>
      <w:tr w:rsidR="00A867CF" w:rsidRPr="00032BFE" w14:paraId="7E9146E2" w14:textId="77777777" w:rsidTr="00A867CF">
        <w:trPr>
          <w:trHeight w:val="340"/>
        </w:trPr>
        <w:tc>
          <w:tcPr>
            <w:tcW w:w="4668" w:type="dxa"/>
          </w:tcPr>
          <w:p w14:paraId="68B5FB24" w14:textId="77777777" w:rsidR="00A867CF" w:rsidRPr="00F06D0D" w:rsidRDefault="00A867CF" w:rsidP="00A867CF">
            <w:pPr>
              <w:rPr>
                <w:rFonts w:cs="Arial"/>
                <w:bCs/>
                <w:iCs/>
                <w:sz w:val="18"/>
                <w:szCs w:val="18"/>
              </w:rPr>
            </w:pPr>
            <w:r w:rsidRPr="00F06D0D">
              <w:rPr>
                <w:rFonts w:cs="Arial"/>
                <w:bCs/>
                <w:iCs/>
                <w:sz w:val="18"/>
                <w:szCs w:val="18"/>
              </w:rPr>
              <w:t xml:space="preserve"> Extended link [710000] - Statement of changes in net assets available for benefits</w:t>
            </w:r>
          </w:p>
        </w:tc>
        <w:tc>
          <w:tcPr>
            <w:tcW w:w="4574" w:type="dxa"/>
          </w:tcPr>
          <w:p w14:paraId="28707DA7" w14:textId="77777777" w:rsidR="00A867CF" w:rsidRPr="00F06D0D" w:rsidRDefault="00A867CF" w:rsidP="00A867CF">
            <w:pPr>
              <w:rPr>
                <w:rFonts w:cs="Arial"/>
                <w:bCs/>
                <w:iCs/>
                <w:sz w:val="18"/>
                <w:szCs w:val="18"/>
              </w:rPr>
            </w:pPr>
            <w:r w:rsidRPr="00F06D0D">
              <w:rPr>
                <w:rFonts w:cs="Arial"/>
                <w:bCs/>
                <w:iCs/>
                <w:sz w:val="18"/>
                <w:szCs w:val="18"/>
              </w:rPr>
              <w:t xml:space="preserve">IAS 26 </w:t>
            </w:r>
            <w:r w:rsidR="00EA45F7" w:rsidRPr="00EA45F7">
              <w:rPr>
                <w:rFonts w:cs="Arial"/>
                <w:bCs/>
                <w:i/>
                <w:iCs/>
                <w:sz w:val="18"/>
                <w:szCs w:val="18"/>
              </w:rPr>
              <w:t>Accounting and Reporting by Retirement benefit Plans</w:t>
            </w:r>
            <w:r w:rsidRPr="00F06D0D">
              <w:rPr>
                <w:rFonts w:cs="Arial"/>
                <w:bCs/>
                <w:iCs/>
                <w:sz w:val="18"/>
                <w:szCs w:val="18"/>
              </w:rPr>
              <w:t xml:space="preserve"> is not adopted in Australia.</w:t>
            </w:r>
          </w:p>
        </w:tc>
      </w:tr>
      <w:tr w:rsidR="002E20DE" w:rsidRPr="00032BFE" w14:paraId="110D97CF" w14:textId="77777777" w:rsidTr="00A867CF">
        <w:trPr>
          <w:trHeight w:val="340"/>
        </w:trPr>
        <w:tc>
          <w:tcPr>
            <w:tcW w:w="4668" w:type="dxa"/>
          </w:tcPr>
          <w:p w14:paraId="2659366D" w14:textId="77777777" w:rsidR="002E20DE" w:rsidRPr="00F06D0D" w:rsidRDefault="002E20DE" w:rsidP="00A867CF">
            <w:pPr>
              <w:rPr>
                <w:rFonts w:cs="Arial"/>
                <w:sz w:val="18"/>
                <w:szCs w:val="18"/>
              </w:rPr>
            </w:pPr>
            <w:r w:rsidRPr="00F06D0D">
              <w:rPr>
                <w:rFonts w:cs="Arial"/>
                <w:sz w:val="18"/>
                <w:szCs w:val="18"/>
              </w:rPr>
              <w:t>[901000] Axis - Retrospective application and retrospective restatement</w:t>
            </w:r>
          </w:p>
        </w:tc>
        <w:tc>
          <w:tcPr>
            <w:tcW w:w="4574" w:type="dxa"/>
            <w:vMerge w:val="restart"/>
          </w:tcPr>
          <w:p w14:paraId="4789C3D9" w14:textId="14C6DC8F" w:rsidR="002E20DE" w:rsidRPr="00F06D0D" w:rsidRDefault="002E20DE" w:rsidP="00A867CF">
            <w:pPr>
              <w:rPr>
                <w:rFonts w:cs="Arial"/>
                <w:sz w:val="18"/>
                <w:szCs w:val="18"/>
              </w:rPr>
            </w:pPr>
            <w:r w:rsidRPr="00F06D0D">
              <w:rPr>
                <w:rFonts w:cs="Arial"/>
                <w:sz w:val="18"/>
                <w:szCs w:val="18"/>
              </w:rPr>
              <w:t xml:space="preserve">This </w:t>
            </w:r>
            <w:r>
              <w:rPr>
                <w:rFonts w:cs="Arial"/>
                <w:sz w:val="18"/>
                <w:szCs w:val="18"/>
              </w:rPr>
              <w:t>are</w:t>
            </w:r>
            <w:r w:rsidRPr="00F06D0D">
              <w:rPr>
                <w:rFonts w:cs="Arial"/>
                <w:sz w:val="18"/>
                <w:szCs w:val="18"/>
              </w:rPr>
              <w:t xml:space="preserve"> 'for application' dimension</w:t>
            </w:r>
            <w:r>
              <w:rPr>
                <w:rFonts w:cs="Arial"/>
                <w:sz w:val="18"/>
                <w:szCs w:val="18"/>
              </w:rPr>
              <w:t>s</w:t>
            </w:r>
            <w:r w:rsidRPr="00F06D0D">
              <w:rPr>
                <w:rFonts w:cs="Arial"/>
                <w:sz w:val="18"/>
                <w:szCs w:val="18"/>
              </w:rPr>
              <w:t xml:space="preserve"> which cannot be applied in Australia </w:t>
            </w:r>
            <w:r w:rsidR="00E200D9">
              <w:rPr>
                <w:rFonts w:cs="Arial"/>
                <w:sz w:val="18"/>
                <w:szCs w:val="18"/>
              </w:rPr>
              <w:t>because</w:t>
            </w:r>
            <w:r w:rsidRPr="00F06D0D">
              <w:rPr>
                <w:rFonts w:cs="Arial"/>
                <w:sz w:val="18"/>
                <w:szCs w:val="18"/>
              </w:rPr>
              <w:t xml:space="preserve"> </w:t>
            </w:r>
            <w:r>
              <w:rPr>
                <w:rFonts w:cs="Arial"/>
                <w:sz w:val="18"/>
                <w:szCs w:val="18"/>
              </w:rPr>
              <w:t>preparer</w:t>
            </w:r>
            <w:r w:rsidRPr="00F06D0D">
              <w:rPr>
                <w:rFonts w:cs="Arial"/>
                <w:sz w:val="18"/>
                <w:szCs w:val="18"/>
              </w:rPr>
              <w:t xml:space="preserve"> extensions</w:t>
            </w:r>
            <w:r>
              <w:rPr>
                <w:rFonts w:cs="Arial"/>
                <w:sz w:val="18"/>
                <w:szCs w:val="18"/>
              </w:rPr>
              <w:t>/customisation of the taxonomy</w:t>
            </w:r>
            <w:r w:rsidRPr="00F06D0D">
              <w:rPr>
                <w:rFonts w:cs="Arial"/>
                <w:sz w:val="18"/>
                <w:szCs w:val="18"/>
              </w:rPr>
              <w:t xml:space="preserve"> </w:t>
            </w:r>
            <w:r w:rsidR="00E200D9">
              <w:rPr>
                <w:rFonts w:cs="Arial"/>
                <w:sz w:val="18"/>
                <w:szCs w:val="18"/>
              </w:rPr>
              <w:t>is not supported</w:t>
            </w:r>
            <w:r w:rsidRPr="00F06D0D">
              <w:rPr>
                <w:rFonts w:cs="Arial"/>
                <w:sz w:val="18"/>
                <w:szCs w:val="18"/>
              </w:rPr>
              <w:t>.</w:t>
            </w:r>
          </w:p>
          <w:p w14:paraId="0B2B23EB" w14:textId="77777777" w:rsidR="002E20DE" w:rsidRPr="00F06D0D" w:rsidRDefault="002E20DE" w:rsidP="00A867CF">
            <w:pPr>
              <w:rPr>
                <w:rFonts w:cs="Arial"/>
                <w:sz w:val="18"/>
                <w:szCs w:val="18"/>
              </w:rPr>
            </w:pPr>
          </w:p>
        </w:tc>
      </w:tr>
      <w:tr w:rsidR="002E20DE" w:rsidRPr="00032BFE" w14:paraId="29CBF1AB" w14:textId="77777777" w:rsidTr="00A867CF">
        <w:trPr>
          <w:trHeight w:val="340"/>
        </w:trPr>
        <w:tc>
          <w:tcPr>
            <w:tcW w:w="4668" w:type="dxa"/>
          </w:tcPr>
          <w:p w14:paraId="5185A4D5" w14:textId="77777777" w:rsidR="002E20DE" w:rsidRPr="00F06D0D" w:rsidRDefault="002E20DE" w:rsidP="00A867CF">
            <w:pPr>
              <w:rPr>
                <w:rFonts w:cs="Arial"/>
                <w:sz w:val="18"/>
                <w:szCs w:val="18"/>
              </w:rPr>
            </w:pPr>
            <w:r w:rsidRPr="00F06D0D">
              <w:rPr>
                <w:rFonts w:cs="Arial"/>
                <w:sz w:val="18"/>
                <w:szCs w:val="18"/>
              </w:rPr>
              <w:t>[901100] Axis - Departure from requirement of IFRS</w:t>
            </w:r>
          </w:p>
        </w:tc>
        <w:tc>
          <w:tcPr>
            <w:tcW w:w="4574" w:type="dxa"/>
            <w:vMerge/>
          </w:tcPr>
          <w:p w14:paraId="0F1167E8" w14:textId="77777777" w:rsidR="002E20DE" w:rsidRPr="00F06D0D" w:rsidRDefault="002E20DE" w:rsidP="00A867CF">
            <w:pPr>
              <w:rPr>
                <w:rFonts w:cs="Arial"/>
                <w:sz w:val="18"/>
                <w:szCs w:val="18"/>
              </w:rPr>
            </w:pPr>
          </w:p>
        </w:tc>
      </w:tr>
      <w:tr w:rsidR="002E20DE" w:rsidRPr="00032BFE" w14:paraId="7E8891BC" w14:textId="77777777" w:rsidTr="00A867CF">
        <w:trPr>
          <w:trHeight w:val="340"/>
        </w:trPr>
        <w:tc>
          <w:tcPr>
            <w:tcW w:w="4668" w:type="dxa"/>
          </w:tcPr>
          <w:p w14:paraId="1003046A" w14:textId="77777777" w:rsidR="002E20DE" w:rsidRPr="00F06D0D" w:rsidRDefault="002E20DE" w:rsidP="00A867CF">
            <w:pPr>
              <w:rPr>
                <w:rFonts w:cs="Arial"/>
                <w:sz w:val="18"/>
                <w:szCs w:val="18"/>
              </w:rPr>
            </w:pPr>
            <w:r w:rsidRPr="00F06D0D">
              <w:rPr>
                <w:rFonts w:cs="Arial"/>
                <w:sz w:val="18"/>
                <w:szCs w:val="18"/>
              </w:rPr>
              <w:t>[901500] Axis - Creation date</w:t>
            </w:r>
          </w:p>
        </w:tc>
        <w:tc>
          <w:tcPr>
            <w:tcW w:w="4574" w:type="dxa"/>
            <w:vMerge/>
          </w:tcPr>
          <w:p w14:paraId="5ECD216F" w14:textId="77777777" w:rsidR="002E20DE" w:rsidRPr="00F06D0D" w:rsidRDefault="002E20DE" w:rsidP="00A867CF">
            <w:pPr>
              <w:rPr>
                <w:rFonts w:cs="Arial"/>
                <w:sz w:val="18"/>
                <w:szCs w:val="18"/>
              </w:rPr>
            </w:pPr>
          </w:p>
        </w:tc>
      </w:tr>
      <w:tr w:rsidR="002E20DE" w:rsidRPr="00032BFE" w14:paraId="7CEAEBAA" w14:textId="77777777" w:rsidTr="00A867CF">
        <w:trPr>
          <w:trHeight w:val="340"/>
        </w:trPr>
        <w:tc>
          <w:tcPr>
            <w:tcW w:w="4668" w:type="dxa"/>
          </w:tcPr>
          <w:p w14:paraId="584BE782" w14:textId="77777777" w:rsidR="002E20DE" w:rsidRPr="00F06D0D" w:rsidRDefault="002E20DE" w:rsidP="00A867CF">
            <w:pPr>
              <w:rPr>
                <w:rFonts w:cs="Arial"/>
                <w:sz w:val="18"/>
                <w:szCs w:val="18"/>
              </w:rPr>
            </w:pPr>
            <w:r w:rsidRPr="00F06D0D">
              <w:rPr>
                <w:rFonts w:cs="Arial"/>
                <w:sz w:val="18"/>
                <w:szCs w:val="18"/>
              </w:rPr>
              <w:t>[903000] Axis - Continuing and discontinued operations</w:t>
            </w:r>
          </w:p>
        </w:tc>
        <w:tc>
          <w:tcPr>
            <w:tcW w:w="4574" w:type="dxa"/>
            <w:vMerge/>
          </w:tcPr>
          <w:p w14:paraId="72FD5D23" w14:textId="77777777" w:rsidR="002E20DE" w:rsidRPr="00F06D0D" w:rsidRDefault="002E20DE" w:rsidP="00A867CF">
            <w:pPr>
              <w:rPr>
                <w:rFonts w:cs="Arial"/>
                <w:sz w:val="18"/>
                <w:szCs w:val="18"/>
              </w:rPr>
            </w:pPr>
          </w:p>
        </w:tc>
      </w:tr>
      <w:tr w:rsidR="002E20DE" w:rsidRPr="00032BFE" w14:paraId="70D29265" w14:textId="77777777" w:rsidTr="00A867CF">
        <w:trPr>
          <w:trHeight w:val="340"/>
        </w:trPr>
        <w:tc>
          <w:tcPr>
            <w:tcW w:w="4668" w:type="dxa"/>
          </w:tcPr>
          <w:p w14:paraId="5B5FE4F3" w14:textId="77777777" w:rsidR="002E20DE" w:rsidRPr="00F06D0D" w:rsidRDefault="002E20DE" w:rsidP="002E20DE">
            <w:pPr>
              <w:rPr>
                <w:rFonts w:cs="Arial"/>
                <w:sz w:val="18"/>
                <w:szCs w:val="18"/>
              </w:rPr>
            </w:pPr>
            <w:r w:rsidRPr="00F06D0D">
              <w:rPr>
                <w:rFonts w:cs="Arial"/>
                <w:sz w:val="18"/>
                <w:szCs w:val="18"/>
              </w:rPr>
              <w:t>[90</w:t>
            </w:r>
            <w:r>
              <w:rPr>
                <w:rFonts w:cs="Arial"/>
                <w:sz w:val="18"/>
                <w:szCs w:val="18"/>
              </w:rPr>
              <w:t>4</w:t>
            </w:r>
            <w:r w:rsidRPr="00F06D0D">
              <w:rPr>
                <w:rFonts w:cs="Arial"/>
                <w:sz w:val="18"/>
                <w:szCs w:val="18"/>
              </w:rPr>
              <w:t xml:space="preserve">000] Axis </w:t>
            </w:r>
            <w:r>
              <w:rPr>
                <w:rFonts w:cs="Arial"/>
                <w:sz w:val="18"/>
                <w:szCs w:val="18"/>
              </w:rPr>
              <w:t>–</w:t>
            </w:r>
            <w:r w:rsidRPr="00F06D0D">
              <w:rPr>
                <w:rFonts w:cs="Arial"/>
                <w:sz w:val="18"/>
                <w:szCs w:val="18"/>
              </w:rPr>
              <w:t xml:space="preserve"> </w:t>
            </w:r>
            <w:r>
              <w:rPr>
                <w:rFonts w:cs="Arial"/>
                <w:sz w:val="18"/>
                <w:szCs w:val="18"/>
              </w:rPr>
              <w:t>Assets and liabilities classified as held for sale</w:t>
            </w:r>
          </w:p>
        </w:tc>
        <w:tc>
          <w:tcPr>
            <w:tcW w:w="4574" w:type="dxa"/>
            <w:vMerge/>
          </w:tcPr>
          <w:p w14:paraId="08DF126D" w14:textId="77777777" w:rsidR="002E20DE" w:rsidRPr="00F06D0D" w:rsidRDefault="002E20DE" w:rsidP="00A867CF">
            <w:pPr>
              <w:rPr>
                <w:rFonts w:cs="Arial"/>
                <w:sz w:val="18"/>
                <w:szCs w:val="18"/>
              </w:rPr>
            </w:pPr>
          </w:p>
        </w:tc>
      </w:tr>
    </w:tbl>
    <w:p w14:paraId="594732BD" w14:textId="77777777" w:rsidR="003257CE" w:rsidRDefault="003257CE" w:rsidP="00D9790C"/>
    <w:p w14:paraId="1B7254DA" w14:textId="77777777" w:rsidR="00A638AD" w:rsidRDefault="00A638AD" w:rsidP="00A638AD">
      <w:pPr>
        <w:autoSpaceDE w:val="0"/>
        <w:autoSpaceDN w:val="0"/>
        <w:adjustRightInd w:val="0"/>
        <w:rPr>
          <w:rFonts w:cs="Arial"/>
          <w:b/>
          <w:sz w:val="18"/>
          <w:szCs w:val="18"/>
        </w:rPr>
      </w:pPr>
      <w:r w:rsidRPr="00A638AD">
        <w:rPr>
          <w:rFonts w:cs="Arial"/>
          <w:b/>
          <w:sz w:val="18"/>
          <w:szCs w:val="18"/>
        </w:rPr>
        <w:t>Linkbase modularisation</w:t>
      </w:r>
    </w:p>
    <w:p w14:paraId="0C2E0105" w14:textId="77777777" w:rsidR="00B015AF" w:rsidRPr="00A638AD" w:rsidRDefault="00B015AF" w:rsidP="00A638AD">
      <w:pPr>
        <w:autoSpaceDE w:val="0"/>
        <w:autoSpaceDN w:val="0"/>
        <w:adjustRightInd w:val="0"/>
        <w:rPr>
          <w:rFonts w:cs="Arial"/>
          <w:b/>
          <w:sz w:val="18"/>
          <w:szCs w:val="18"/>
        </w:rPr>
      </w:pPr>
    </w:p>
    <w:p w14:paraId="5BE9DDC7" w14:textId="77777777" w:rsidR="00006B5C" w:rsidRDefault="00A638AD" w:rsidP="00A638AD">
      <w:pPr>
        <w:autoSpaceDE w:val="0"/>
        <w:autoSpaceDN w:val="0"/>
        <w:adjustRightInd w:val="0"/>
        <w:rPr>
          <w:rFonts w:cs="Arial"/>
          <w:bCs/>
          <w:iCs/>
          <w:sz w:val="20"/>
          <w:szCs w:val="20"/>
        </w:rPr>
      </w:pPr>
      <w:r w:rsidRPr="00A638AD">
        <w:rPr>
          <w:rFonts w:cs="Arial"/>
          <w:bCs/>
          <w:iCs/>
          <w:sz w:val="20"/>
          <w:szCs w:val="20"/>
        </w:rPr>
        <w:t xml:space="preserve">The </w:t>
      </w:r>
      <w:r w:rsidR="006B5616">
        <w:rPr>
          <w:rFonts w:cs="Arial"/>
          <w:bCs/>
          <w:iCs/>
          <w:sz w:val="20"/>
          <w:szCs w:val="20"/>
        </w:rPr>
        <w:t xml:space="preserve">IFRS AU Taxonomy </w:t>
      </w:r>
      <w:r w:rsidRPr="00A638AD">
        <w:rPr>
          <w:rFonts w:cs="Arial"/>
          <w:bCs/>
          <w:iCs/>
          <w:sz w:val="20"/>
          <w:szCs w:val="20"/>
        </w:rPr>
        <w:t>uses five types of standard XBRL 2.1 linkbases, as well as generic label and reference linkbases. The linkbase</w:t>
      </w:r>
      <w:r>
        <w:rPr>
          <w:rFonts w:cs="Arial"/>
          <w:bCs/>
          <w:iCs/>
          <w:sz w:val="20"/>
          <w:szCs w:val="20"/>
        </w:rPr>
        <w:t xml:space="preserve"> </w:t>
      </w:r>
      <w:r w:rsidRPr="00A638AD">
        <w:rPr>
          <w:rFonts w:cs="Arial"/>
          <w:bCs/>
          <w:iCs/>
          <w:sz w:val="20"/>
          <w:szCs w:val="20"/>
        </w:rPr>
        <w:t>files are referenced via a lin</w:t>
      </w:r>
      <w:r w:rsidR="00006B5C">
        <w:rPr>
          <w:rFonts w:cs="Arial"/>
          <w:bCs/>
          <w:iCs/>
          <w:sz w:val="20"/>
          <w:szCs w:val="20"/>
        </w:rPr>
        <w:t>kbaseRef from the entry point.</w:t>
      </w:r>
    </w:p>
    <w:p w14:paraId="35EE07A4" w14:textId="77777777" w:rsidR="00A638AD" w:rsidRPr="00A638AD" w:rsidRDefault="00A638AD" w:rsidP="00A638AD">
      <w:pPr>
        <w:autoSpaceDE w:val="0"/>
        <w:autoSpaceDN w:val="0"/>
        <w:adjustRightInd w:val="0"/>
        <w:rPr>
          <w:rFonts w:cs="Arial"/>
          <w:bCs/>
          <w:iCs/>
          <w:sz w:val="20"/>
          <w:szCs w:val="20"/>
        </w:rPr>
      </w:pPr>
      <w:r w:rsidRPr="00A638AD">
        <w:rPr>
          <w:rFonts w:cs="Arial"/>
          <w:bCs/>
          <w:iCs/>
          <w:sz w:val="20"/>
          <w:szCs w:val="20"/>
        </w:rPr>
        <w:t xml:space="preserve">Label linkbases </w:t>
      </w:r>
      <w:r w:rsidR="00B015AF">
        <w:rPr>
          <w:rFonts w:cs="Arial"/>
          <w:bCs/>
          <w:iCs/>
          <w:sz w:val="20"/>
          <w:szCs w:val="20"/>
        </w:rPr>
        <w:t>contain only the English labels</w:t>
      </w:r>
      <w:r w:rsidRPr="00A638AD">
        <w:rPr>
          <w:rFonts w:cs="Arial"/>
          <w:bCs/>
          <w:iCs/>
          <w:sz w:val="20"/>
          <w:szCs w:val="20"/>
        </w:rPr>
        <w:t xml:space="preserve"> and </w:t>
      </w:r>
      <w:r w:rsidR="002D5256">
        <w:rPr>
          <w:rFonts w:cs="Arial"/>
          <w:bCs/>
          <w:iCs/>
          <w:sz w:val="20"/>
          <w:szCs w:val="20"/>
        </w:rPr>
        <w:t>are</w:t>
      </w:r>
      <w:r w:rsidRPr="00A638AD">
        <w:rPr>
          <w:rFonts w:cs="Arial"/>
          <w:bCs/>
          <w:iCs/>
          <w:sz w:val="20"/>
          <w:szCs w:val="20"/>
        </w:rPr>
        <w:t xml:space="preserve"> referenced</w:t>
      </w:r>
      <w:r w:rsidR="00006B5C">
        <w:rPr>
          <w:rFonts w:cs="Arial"/>
          <w:bCs/>
          <w:iCs/>
          <w:sz w:val="20"/>
          <w:szCs w:val="20"/>
        </w:rPr>
        <w:t xml:space="preserve"> </w:t>
      </w:r>
      <w:r w:rsidR="002D5256">
        <w:rPr>
          <w:rFonts w:cs="Arial"/>
          <w:bCs/>
          <w:iCs/>
          <w:sz w:val="20"/>
          <w:szCs w:val="20"/>
        </w:rPr>
        <w:t xml:space="preserve">from the entry point </w:t>
      </w:r>
      <w:r w:rsidRPr="00A638AD">
        <w:rPr>
          <w:rFonts w:cs="Arial"/>
          <w:bCs/>
          <w:iCs/>
          <w:sz w:val="20"/>
          <w:szCs w:val="20"/>
        </w:rPr>
        <w:t>via a linkbaseRef</w:t>
      </w:r>
      <w:r w:rsidR="002D5256">
        <w:rPr>
          <w:rFonts w:cs="Arial"/>
          <w:bCs/>
          <w:iCs/>
          <w:sz w:val="20"/>
          <w:szCs w:val="20"/>
        </w:rPr>
        <w:t>.</w:t>
      </w:r>
      <w:r w:rsidR="002D5256" w:rsidRPr="00A638AD" w:rsidDel="002D5256">
        <w:rPr>
          <w:rFonts w:cs="Arial"/>
          <w:bCs/>
          <w:iCs/>
          <w:sz w:val="20"/>
          <w:szCs w:val="20"/>
        </w:rPr>
        <w:t xml:space="preserve"> </w:t>
      </w:r>
    </w:p>
    <w:p w14:paraId="07A7EB15" w14:textId="77777777" w:rsidR="00A867CF" w:rsidRDefault="00A867CF" w:rsidP="00006B5C">
      <w:pPr>
        <w:autoSpaceDE w:val="0"/>
        <w:autoSpaceDN w:val="0"/>
        <w:adjustRightInd w:val="0"/>
        <w:rPr>
          <w:rFonts w:cs="Arial"/>
          <w:bCs/>
          <w:iCs/>
          <w:sz w:val="20"/>
          <w:szCs w:val="20"/>
        </w:rPr>
      </w:pPr>
    </w:p>
    <w:p w14:paraId="4FF24990" w14:textId="77777777" w:rsidR="003257CE" w:rsidRPr="00A638AD" w:rsidRDefault="00A638AD" w:rsidP="00006B5C">
      <w:pPr>
        <w:autoSpaceDE w:val="0"/>
        <w:autoSpaceDN w:val="0"/>
        <w:adjustRightInd w:val="0"/>
        <w:rPr>
          <w:rFonts w:cs="Arial"/>
          <w:bCs/>
          <w:iCs/>
          <w:sz w:val="20"/>
          <w:szCs w:val="20"/>
        </w:rPr>
      </w:pPr>
      <w:r w:rsidRPr="00A638AD">
        <w:rPr>
          <w:rFonts w:cs="Arial"/>
          <w:bCs/>
          <w:iCs/>
          <w:sz w:val="20"/>
          <w:szCs w:val="20"/>
        </w:rPr>
        <w:t>Presentation, calculation and definition linkbases are</w:t>
      </w:r>
      <w:r w:rsidR="00A867CF">
        <w:rPr>
          <w:rFonts w:cs="Arial"/>
          <w:bCs/>
          <w:iCs/>
          <w:sz w:val="20"/>
          <w:szCs w:val="20"/>
        </w:rPr>
        <w:t xml:space="preserve"> modularised according to IFRSs and the additional Australian requirements. </w:t>
      </w:r>
      <w:r w:rsidRPr="00A638AD">
        <w:rPr>
          <w:rFonts w:cs="Arial"/>
          <w:bCs/>
          <w:iCs/>
          <w:sz w:val="20"/>
          <w:szCs w:val="20"/>
        </w:rPr>
        <w:t xml:space="preserve"> They are then modularised again in single</w:t>
      </w:r>
      <w:r w:rsidR="00006B5C">
        <w:rPr>
          <w:rFonts w:cs="Arial"/>
          <w:bCs/>
          <w:iCs/>
          <w:sz w:val="20"/>
          <w:szCs w:val="20"/>
        </w:rPr>
        <w:t xml:space="preserve"> </w:t>
      </w:r>
      <w:r w:rsidRPr="00A638AD">
        <w:rPr>
          <w:rFonts w:cs="Arial"/>
          <w:bCs/>
          <w:iCs/>
          <w:sz w:val="20"/>
          <w:szCs w:val="20"/>
        </w:rPr>
        <w:t>files for sets of disclosures (statements and notes). Consequently, single statements including note disclosures are the smallest</w:t>
      </w:r>
      <w:r w:rsidR="00006B5C">
        <w:rPr>
          <w:rFonts w:cs="Arial"/>
          <w:bCs/>
          <w:iCs/>
          <w:sz w:val="20"/>
          <w:szCs w:val="20"/>
        </w:rPr>
        <w:t xml:space="preserve"> </w:t>
      </w:r>
      <w:r w:rsidRPr="00A638AD">
        <w:rPr>
          <w:rFonts w:cs="Arial"/>
          <w:bCs/>
          <w:iCs/>
          <w:sz w:val="20"/>
          <w:szCs w:val="20"/>
        </w:rPr>
        <w:t>files that can be referenced from the entry point.</w:t>
      </w:r>
    </w:p>
    <w:p w14:paraId="1CFCF75A" w14:textId="77777777" w:rsidR="003A2E43" w:rsidRDefault="003A2E43" w:rsidP="005819BE">
      <w:pPr>
        <w:pStyle w:val="Head3"/>
      </w:pPr>
      <w:bookmarkStart w:id="180" w:name="_Toc205457967"/>
      <w:r w:rsidRPr="005819BE">
        <w:t>Reference linkbase</w:t>
      </w:r>
      <w:bookmarkEnd w:id="180"/>
    </w:p>
    <w:p w14:paraId="2FA9E999" w14:textId="77777777" w:rsidR="00D9790C" w:rsidRDefault="00006B5C" w:rsidP="00D9790C">
      <w:pPr>
        <w:rPr>
          <w:rFonts w:cs="Arial"/>
          <w:bCs/>
          <w:iCs/>
          <w:sz w:val="20"/>
          <w:szCs w:val="20"/>
        </w:rPr>
      </w:pPr>
      <w:r w:rsidRPr="00E01A8D">
        <w:rPr>
          <w:rFonts w:cs="Arial"/>
          <w:bCs/>
          <w:iCs/>
          <w:sz w:val="20"/>
          <w:szCs w:val="20"/>
        </w:rPr>
        <w:t>The</w:t>
      </w:r>
      <w:r w:rsidR="00120D59">
        <w:rPr>
          <w:rFonts w:cs="Arial"/>
          <w:bCs/>
          <w:iCs/>
          <w:sz w:val="20"/>
          <w:szCs w:val="20"/>
        </w:rPr>
        <w:t xml:space="preserve"> </w:t>
      </w:r>
      <w:r w:rsidR="006B5616">
        <w:rPr>
          <w:rFonts w:cs="Arial"/>
          <w:bCs/>
          <w:iCs/>
          <w:sz w:val="20"/>
          <w:szCs w:val="20"/>
        </w:rPr>
        <w:t>IFRS AU Taxonomy</w:t>
      </w:r>
      <w:r w:rsidR="001421F8">
        <w:rPr>
          <w:rFonts w:cs="Arial"/>
          <w:bCs/>
          <w:iCs/>
          <w:sz w:val="20"/>
          <w:szCs w:val="20"/>
        </w:rPr>
        <w:t xml:space="preserve"> </w:t>
      </w:r>
      <w:r w:rsidRPr="00E01A8D">
        <w:rPr>
          <w:rFonts w:cs="Arial"/>
          <w:bCs/>
          <w:iCs/>
          <w:sz w:val="20"/>
          <w:szCs w:val="20"/>
        </w:rPr>
        <w:t xml:space="preserve">uses </w:t>
      </w:r>
      <w:r w:rsidR="00E01A8D">
        <w:rPr>
          <w:rFonts w:cs="Arial"/>
          <w:bCs/>
          <w:iCs/>
          <w:sz w:val="20"/>
          <w:szCs w:val="20"/>
        </w:rPr>
        <w:t xml:space="preserve">the </w:t>
      </w:r>
      <w:r w:rsidRPr="00E01A8D">
        <w:rPr>
          <w:rFonts w:cs="Arial"/>
          <w:bCs/>
          <w:iCs/>
          <w:sz w:val="20"/>
          <w:szCs w:val="20"/>
        </w:rPr>
        <w:t>refe</w:t>
      </w:r>
      <w:r w:rsidR="00120D59">
        <w:rPr>
          <w:rFonts w:cs="Arial"/>
          <w:bCs/>
          <w:iCs/>
          <w:sz w:val="20"/>
          <w:szCs w:val="20"/>
        </w:rPr>
        <w:t xml:space="preserve">rence roles as listed in Table </w:t>
      </w:r>
      <w:r w:rsidR="0093318D">
        <w:rPr>
          <w:rFonts w:cs="Arial"/>
          <w:bCs/>
          <w:iCs/>
          <w:sz w:val="20"/>
          <w:szCs w:val="20"/>
        </w:rPr>
        <w:t>4</w:t>
      </w:r>
      <w:r w:rsidR="0093318D" w:rsidRPr="00E01A8D">
        <w:rPr>
          <w:rFonts w:cs="Arial"/>
          <w:bCs/>
          <w:iCs/>
          <w:sz w:val="20"/>
          <w:szCs w:val="20"/>
        </w:rPr>
        <w:t xml:space="preserve"> </w:t>
      </w:r>
      <w:r w:rsidRPr="00E01A8D">
        <w:rPr>
          <w:rFonts w:cs="Arial"/>
          <w:bCs/>
          <w:iCs/>
          <w:sz w:val="20"/>
          <w:szCs w:val="20"/>
        </w:rPr>
        <w:t>(below).</w:t>
      </w:r>
    </w:p>
    <w:p w14:paraId="24736B60" w14:textId="77777777" w:rsidR="0032117F" w:rsidRDefault="001421F8" w:rsidP="0032117F">
      <w:pPr>
        <w:tabs>
          <w:tab w:val="left" w:pos="2214"/>
        </w:tabs>
        <w:rPr>
          <w:rFonts w:cs="Arial"/>
          <w:bCs/>
          <w:iCs/>
          <w:sz w:val="20"/>
          <w:szCs w:val="20"/>
        </w:rPr>
      </w:pPr>
      <w:r>
        <w:rPr>
          <w:rFonts w:cs="Arial"/>
          <w:bCs/>
          <w:iCs/>
          <w:sz w:val="20"/>
          <w:szCs w:val="20"/>
        </w:rPr>
        <w:tab/>
      </w:r>
    </w:p>
    <w:p w14:paraId="7AEAFEB7" w14:textId="77777777" w:rsidR="009B77C1" w:rsidRDefault="00120D59" w:rsidP="00F069A2">
      <w:pPr>
        <w:pStyle w:val="ListParagraph"/>
        <w:numPr>
          <w:ilvl w:val="0"/>
          <w:numId w:val="28"/>
        </w:numPr>
        <w:ind w:left="851" w:hanging="851"/>
        <w:rPr>
          <w:rStyle w:val="Emphasis"/>
          <w:sz w:val="18"/>
          <w:szCs w:val="18"/>
        </w:rPr>
      </w:pPr>
      <w:r>
        <w:rPr>
          <w:rStyle w:val="Emphasis"/>
          <w:sz w:val="18"/>
          <w:szCs w:val="18"/>
        </w:rPr>
        <w:t>Reference roles</w:t>
      </w:r>
    </w:p>
    <w:tbl>
      <w:tblPr>
        <w:tblStyle w:val="TableGrid"/>
        <w:tblW w:w="0" w:type="auto"/>
        <w:tblLayout w:type="fixed"/>
        <w:tblLook w:val="04A0" w:firstRow="1" w:lastRow="0" w:firstColumn="1" w:lastColumn="0" w:noHBand="0" w:noVBand="1"/>
      </w:tblPr>
      <w:tblGrid>
        <w:gridCol w:w="3794"/>
        <w:gridCol w:w="5748"/>
      </w:tblGrid>
      <w:tr w:rsidR="00006B5C" w:rsidRPr="00006B5C" w14:paraId="59E65F93" w14:textId="77777777" w:rsidTr="00F06D0D">
        <w:trPr>
          <w:trHeight w:val="416"/>
        </w:trPr>
        <w:tc>
          <w:tcPr>
            <w:tcW w:w="3794" w:type="dxa"/>
            <w:shd w:val="clear" w:color="auto" w:fill="DBE5F1" w:themeFill="accent1" w:themeFillTint="33"/>
            <w:vAlign w:val="center"/>
          </w:tcPr>
          <w:p w14:paraId="243A9F34" w14:textId="77777777" w:rsidR="00006B5C" w:rsidRPr="00F06D0D" w:rsidRDefault="00006B5C" w:rsidP="00F06D0D">
            <w:pPr>
              <w:rPr>
                <w:b/>
                <w:sz w:val="18"/>
                <w:szCs w:val="18"/>
              </w:rPr>
            </w:pPr>
            <w:r w:rsidRPr="00F06D0D">
              <w:rPr>
                <w:b/>
                <w:sz w:val="18"/>
                <w:szCs w:val="18"/>
              </w:rPr>
              <w:t>Reference Role</w:t>
            </w:r>
          </w:p>
        </w:tc>
        <w:tc>
          <w:tcPr>
            <w:tcW w:w="5748" w:type="dxa"/>
            <w:shd w:val="clear" w:color="auto" w:fill="DBE5F1" w:themeFill="accent1" w:themeFillTint="33"/>
            <w:vAlign w:val="center"/>
          </w:tcPr>
          <w:p w14:paraId="77FA56F1" w14:textId="77777777" w:rsidR="00006B5C" w:rsidRPr="00F06D0D" w:rsidRDefault="00006B5C" w:rsidP="00F06D0D">
            <w:pPr>
              <w:rPr>
                <w:b/>
                <w:sz w:val="18"/>
                <w:szCs w:val="18"/>
              </w:rPr>
            </w:pPr>
            <w:r w:rsidRPr="00F06D0D">
              <w:rPr>
                <w:b/>
                <w:sz w:val="18"/>
                <w:szCs w:val="18"/>
              </w:rPr>
              <w:t>Use</w:t>
            </w:r>
          </w:p>
        </w:tc>
      </w:tr>
      <w:tr w:rsidR="00006B5C" w14:paraId="402F9CA4" w14:textId="77777777" w:rsidTr="00E01A8D">
        <w:tc>
          <w:tcPr>
            <w:tcW w:w="3794" w:type="dxa"/>
          </w:tcPr>
          <w:p w14:paraId="75ED6656" w14:textId="77777777" w:rsidR="00006B5C" w:rsidRPr="00F06D0D" w:rsidRDefault="00006B5C" w:rsidP="00F01022">
            <w:pPr>
              <w:autoSpaceDE w:val="0"/>
              <w:autoSpaceDN w:val="0"/>
              <w:adjustRightInd w:val="0"/>
              <w:rPr>
                <w:sz w:val="18"/>
                <w:szCs w:val="18"/>
              </w:rPr>
            </w:pPr>
            <w:r w:rsidRPr="00F06D0D">
              <w:rPr>
                <w:rFonts w:cs="Arial"/>
                <w:sz w:val="18"/>
                <w:szCs w:val="18"/>
              </w:rPr>
              <w:t>http://www.xbrl.org/2003/role/disclosureRef</w:t>
            </w:r>
          </w:p>
        </w:tc>
        <w:tc>
          <w:tcPr>
            <w:tcW w:w="5748" w:type="dxa"/>
          </w:tcPr>
          <w:p w14:paraId="2F7BEC93" w14:textId="77777777" w:rsidR="00006B5C" w:rsidRPr="00F06D0D" w:rsidRDefault="00E01A8D" w:rsidP="00E01A8D">
            <w:pPr>
              <w:autoSpaceDE w:val="0"/>
              <w:autoSpaceDN w:val="0"/>
              <w:adjustRightInd w:val="0"/>
              <w:rPr>
                <w:sz w:val="18"/>
                <w:szCs w:val="18"/>
              </w:rPr>
            </w:pPr>
            <w:r w:rsidRPr="00F06D0D">
              <w:rPr>
                <w:rFonts w:cs="Arial"/>
                <w:sz w:val="18"/>
                <w:szCs w:val="18"/>
              </w:rPr>
              <w:t>Reference to documentation that details an explanation of the disclosure requirements relating to the concept.</w:t>
            </w:r>
          </w:p>
        </w:tc>
      </w:tr>
      <w:tr w:rsidR="00006B5C" w14:paraId="31AB3C44" w14:textId="77777777" w:rsidTr="00E01A8D">
        <w:tc>
          <w:tcPr>
            <w:tcW w:w="3794" w:type="dxa"/>
          </w:tcPr>
          <w:p w14:paraId="7D99263A" w14:textId="77777777" w:rsidR="00006B5C" w:rsidRPr="00F06D0D" w:rsidRDefault="00006B5C" w:rsidP="00F01022">
            <w:pPr>
              <w:autoSpaceDE w:val="0"/>
              <w:autoSpaceDN w:val="0"/>
              <w:adjustRightInd w:val="0"/>
              <w:rPr>
                <w:sz w:val="18"/>
                <w:szCs w:val="18"/>
              </w:rPr>
            </w:pPr>
            <w:r w:rsidRPr="00F06D0D">
              <w:rPr>
                <w:rFonts w:cs="Arial"/>
                <w:sz w:val="18"/>
                <w:szCs w:val="18"/>
              </w:rPr>
              <w:t>http://www.xbrl.org/2003/role/exampleRef</w:t>
            </w:r>
          </w:p>
        </w:tc>
        <w:tc>
          <w:tcPr>
            <w:tcW w:w="5748" w:type="dxa"/>
          </w:tcPr>
          <w:p w14:paraId="775C796D" w14:textId="77777777" w:rsidR="00006B5C" w:rsidRPr="00F06D0D" w:rsidRDefault="00E01A8D" w:rsidP="00E01A8D">
            <w:pPr>
              <w:autoSpaceDE w:val="0"/>
              <w:autoSpaceDN w:val="0"/>
              <w:adjustRightInd w:val="0"/>
              <w:rPr>
                <w:sz w:val="18"/>
                <w:szCs w:val="18"/>
              </w:rPr>
            </w:pPr>
            <w:r w:rsidRPr="00F06D0D">
              <w:rPr>
                <w:rFonts w:cs="Arial"/>
                <w:sz w:val="18"/>
                <w:szCs w:val="18"/>
              </w:rPr>
              <w:t>Reference to documentation that illustrates by example the application of the concept that assists in determining appropriate usage.</w:t>
            </w:r>
          </w:p>
        </w:tc>
      </w:tr>
      <w:tr w:rsidR="00006B5C" w14:paraId="525E7C28" w14:textId="77777777" w:rsidTr="00E01A8D">
        <w:tc>
          <w:tcPr>
            <w:tcW w:w="3794" w:type="dxa"/>
          </w:tcPr>
          <w:p w14:paraId="1133C550" w14:textId="77777777" w:rsidR="00006B5C" w:rsidRPr="00F06D0D" w:rsidRDefault="00006B5C" w:rsidP="00F01022">
            <w:pPr>
              <w:autoSpaceDE w:val="0"/>
              <w:autoSpaceDN w:val="0"/>
              <w:adjustRightInd w:val="0"/>
              <w:rPr>
                <w:sz w:val="18"/>
                <w:szCs w:val="18"/>
              </w:rPr>
            </w:pPr>
            <w:r w:rsidRPr="00F06D0D">
              <w:rPr>
                <w:rFonts w:cs="Arial"/>
                <w:sz w:val="18"/>
                <w:szCs w:val="18"/>
              </w:rPr>
              <w:t>http://www.xbrl.org/2009/role/commonPracticeRef</w:t>
            </w:r>
          </w:p>
        </w:tc>
        <w:tc>
          <w:tcPr>
            <w:tcW w:w="5748" w:type="dxa"/>
          </w:tcPr>
          <w:p w14:paraId="0A2541EB" w14:textId="77777777" w:rsidR="00006B5C" w:rsidRPr="00F06D0D" w:rsidRDefault="00E01A8D" w:rsidP="00E01A8D">
            <w:pPr>
              <w:autoSpaceDE w:val="0"/>
              <w:autoSpaceDN w:val="0"/>
              <w:adjustRightInd w:val="0"/>
              <w:rPr>
                <w:sz w:val="18"/>
                <w:szCs w:val="18"/>
              </w:rPr>
            </w:pPr>
            <w:r w:rsidRPr="00F06D0D">
              <w:rPr>
                <w:rFonts w:cs="Arial"/>
                <w:sz w:val="18"/>
                <w:szCs w:val="18"/>
              </w:rPr>
              <w:t>Reference for common practice disclosure relating to the concept. Enables common practice reference to a given point in a literature (for example commonPracticeRef to Name:IAS, Number:16, Paragraph:24). The content of the common practice disclosure is the same as other references (so for example contains parts Name, Number, IssueDate, Paragraph).</w:t>
            </w:r>
          </w:p>
        </w:tc>
      </w:tr>
    </w:tbl>
    <w:p w14:paraId="0DCDF5AF" w14:textId="77777777" w:rsidR="00E01A8D" w:rsidRDefault="00E01A8D" w:rsidP="00D9790C"/>
    <w:p w14:paraId="3156E44F" w14:textId="77777777" w:rsidR="00915BD9" w:rsidRDefault="00915BD9" w:rsidP="00915BD9">
      <w:pPr>
        <w:autoSpaceDE w:val="0"/>
        <w:autoSpaceDN w:val="0"/>
        <w:adjustRightInd w:val="0"/>
        <w:rPr>
          <w:rFonts w:cs="Arial"/>
          <w:bCs/>
          <w:iCs/>
          <w:sz w:val="20"/>
          <w:szCs w:val="20"/>
        </w:rPr>
      </w:pPr>
      <w:r w:rsidRPr="00915BD9">
        <w:rPr>
          <w:rFonts w:cs="Arial"/>
          <w:bCs/>
          <w:iCs/>
          <w:sz w:val="20"/>
          <w:szCs w:val="20"/>
        </w:rPr>
        <w:t xml:space="preserve">The </w:t>
      </w:r>
      <w:r w:rsidR="006B5616">
        <w:rPr>
          <w:rFonts w:cs="Arial"/>
          <w:bCs/>
          <w:iCs/>
          <w:sz w:val="20"/>
          <w:szCs w:val="20"/>
        </w:rPr>
        <w:t>IFRS AU Taxonomy</w:t>
      </w:r>
      <w:r w:rsidR="001421F8">
        <w:rPr>
          <w:rFonts w:cs="Arial"/>
          <w:bCs/>
          <w:iCs/>
          <w:sz w:val="20"/>
          <w:szCs w:val="20"/>
        </w:rPr>
        <w:t xml:space="preserve"> </w:t>
      </w:r>
      <w:r w:rsidRPr="00915BD9">
        <w:rPr>
          <w:rFonts w:cs="Arial"/>
          <w:bCs/>
          <w:iCs/>
          <w:sz w:val="20"/>
          <w:szCs w:val="20"/>
        </w:rPr>
        <w:t xml:space="preserve">uses the reference parts listed in Table </w:t>
      </w:r>
      <w:r w:rsidR="0093318D">
        <w:rPr>
          <w:rFonts w:cs="Arial"/>
          <w:bCs/>
          <w:iCs/>
          <w:sz w:val="20"/>
          <w:szCs w:val="20"/>
        </w:rPr>
        <w:t>5</w:t>
      </w:r>
      <w:r w:rsidR="0093318D" w:rsidRPr="00915BD9">
        <w:rPr>
          <w:rFonts w:cs="Arial"/>
          <w:bCs/>
          <w:iCs/>
          <w:sz w:val="20"/>
          <w:szCs w:val="20"/>
        </w:rPr>
        <w:t xml:space="preserve"> </w:t>
      </w:r>
      <w:r w:rsidRPr="00915BD9">
        <w:rPr>
          <w:rFonts w:cs="Arial"/>
          <w:bCs/>
          <w:iCs/>
          <w:sz w:val="20"/>
          <w:szCs w:val="20"/>
        </w:rPr>
        <w:t>as defined by XBRL Interna</w:t>
      </w:r>
      <w:r w:rsidR="00780509">
        <w:rPr>
          <w:rFonts w:cs="Arial"/>
          <w:bCs/>
          <w:iCs/>
          <w:sz w:val="20"/>
          <w:szCs w:val="20"/>
        </w:rPr>
        <w:t>tional in the reference schema.</w:t>
      </w:r>
    </w:p>
    <w:p w14:paraId="6D818B34" w14:textId="77777777" w:rsidR="002D5256" w:rsidRPr="00915BD9" w:rsidRDefault="002D5256" w:rsidP="00915BD9">
      <w:pPr>
        <w:autoSpaceDE w:val="0"/>
        <w:autoSpaceDN w:val="0"/>
        <w:adjustRightInd w:val="0"/>
        <w:rPr>
          <w:rFonts w:cs="Arial"/>
          <w:bCs/>
          <w:iCs/>
          <w:sz w:val="20"/>
          <w:szCs w:val="20"/>
        </w:rPr>
      </w:pPr>
    </w:p>
    <w:p w14:paraId="1DC6484C" w14:textId="77777777" w:rsidR="00915BD9" w:rsidRDefault="00915BD9" w:rsidP="00780509">
      <w:pPr>
        <w:autoSpaceDE w:val="0"/>
        <w:autoSpaceDN w:val="0"/>
        <w:adjustRightInd w:val="0"/>
        <w:rPr>
          <w:rFonts w:cs="Arial"/>
          <w:bCs/>
          <w:iCs/>
          <w:sz w:val="20"/>
          <w:szCs w:val="20"/>
        </w:rPr>
      </w:pPr>
      <w:r w:rsidRPr="00915BD9">
        <w:rPr>
          <w:rFonts w:cs="Arial"/>
          <w:bCs/>
          <w:iCs/>
          <w:sz w:val="20"/>
          <w:szCs w:val="20"/>
        </w:rPr>
        <w:t xml:space="preserve">For each IFRS </w:t>
      </w:r>
      <w:r w:rsidR="00780509">
        <w:rPr>
          <w:rFonts w:cs="Arial"/>
          <w:bCs/>
          <w:iCs/>
          <w:sz w:val="20"/>
          <w:szCs w:val="20"/>
        </w:rPr>
        <w:t xml:space="preserve">AU </w:t>
      </w:r>
      <w:r w:rsidRPr="00915BD9">
        <w:rPr>
          <w:rFonts w:cs="Arial"/>
          <w:bCs/>
          <w:iCs/>
          <w:sz w:val="20"/>
          <w:szCs w:val="20"/>
        </w:rPr>
        <w:t xml:space="preserve">reference resource, the </w:t>
      </w:r>
      <w:r w:rsidR="006B5616">
        <w:rPr>
          <w:rFonts w:cs="Arial"/>
          <w:bCs/>
          <w:iCs/>
          <w:sz w:val="20"/>
          <w:szCs w:val="20"/>
        </w:rPr>
        <w:t xml:space="preserve">IFRS AU Taxonomy </w:t>
      </w:r>
      <w:r w:rsidRPr="00915BD9">
        <w:rPr>
          <w:rFonts w:cs="Arial"/>
          <w:bCs/>
          <w:iCs/>
          <w:sz w:val="20"/>
          <w:szCs w:val="20"/>
        </w:rPr>
        <w:t xml:space="preserve">provides, </w:t>
      </w:r>
      <w:r w:rsidR="00985E98">
        <w:rPr>
          <w:rFonts w:cs="Arial"/>
          <w:bCs/>
          <w:iCs/>
          <w:sz w:val="20"/>
          <w:szCs w:val="20"/>
        </w:rPr>
        <w:t>in general</w:t>
      </w:r>
      <w:r w:rsidRPr="00915BD9">
        <w:rPr>
          <w:rFonts w:cs="Arial"/>
          <w:bCs/>
          <w:iCs/>
          <w:sz w:val="20"/>
          <w:szCs w:val="20"/>
        </w:rPr>
        <w:t>, the Name, Number, IssueDate, and Paragraph or</w:t>
      </w:r>
      <w:r>
        <w:rPr>
          <w:rFonts w:cs="Arial"/>
          <w:bCs/>
          <w:iCs/>
          <w:sz w:val="20"/>
          <w:szCs w:val="20"/>
        </w:rPr>
        <w:t xml:space="preserve"> </w:t>
      </w:r>
      <w:r w:rsidRPr="00915BD9">
        <w:rPr>
          <w:rFonts w:cs="Arial"/>
          <w:bCs/>
          <w:iCs/>
          <w:sz w:val="20"/>
          <w:szCs w:val="20"/>
        </w:rPr>
        <w:t xml:space="preserve">Section. </w:t>
      </w:r>
      <w:r w:rsidR="002D5256">
        <w:rPr>
          <w:rFonts w:cs="Arial"/>
          <w:bCs/>
          <w:iCs/>
          <w:sz w:val="20"/>
          <w:szCs w:val="20"/>
        </w:rPr>
        <w:t>Generic references provide only the Name, Number and IssueDate.</w:t>
      </w:r>
    </w:p>
    <w:p w14:paraId="2A3E93A4" w14:textId="77777777" w:rsidR="007C592B" w:rsidRDefault="007C592B" w:rsidP="00915BD9">
      <w:pPr>
        <w:rPr>
          <w:rFonts w:cs="Arial"/>
          <w:bCs/>
          <w:iCs/>
          <w:sz w:val="20"/>
          <w:szCs w:val="20"/>
        </w:rPr>
      </w:pPr>
    </w:p>
    <w:p w14:paraId="3DB2BED7" w14:textId="77777777" w:rsidR="00632C7A" w:rsidRDefault="00632C7A" w:rsidP="00915BD9">
      <w:pPr>
        <w:rPr>
          <w:rFonts w:cs="Arial"/>
          <w:bCs/>
          <w:iCs/>
          <w:sz w:val="20"/>
          <w:szCs w:val="20"/>
        </w:rPr>
      </w:pPr>
    </w:p>
    <w:p w14:paraId="0D5003CB" w14:textId="77777777" w:rsidR="009B77C1" w:rsidRDefault="00120D59" w:rsidP="00F069A2">
      <w:pPr>
        <w:pStyle w:val="ListParagraph"/>
        <w:numPr>
          <w:ilvl w:val="0"/>
          <w:numId w:val="28"/>
        </w:numPr>
        <w:ind w:left="851" w:hanging="851"/>
      </w:pPr>
      <w:r w:rsidRPr="00120D59">
        <w:rPr>
          <w:rStyle w:val="Emphasis"/>
          <w:sz w:val="18"/>
          <w:szCs w:val="18"/>
        </w:rPr>
        <w:t>Reference parts</w:t>
      </w:r>
    </w:p>
    <w:tbl>
      <w:tblPr>
        <w:tblStyle w:val="TableGrid"/>
        <w:tblW w:w="9180" w:type="dxa"/>
        <w:tblLayout w:type="fixed"/>
        <w:tblLook w:val="04A0" w:firstRow="1" w:lastRow="0" w:firstColumn="1" w:lastColumn="0" w:noHBand="0" w:noVBand="1"/>
      </w:tblPr>
      <w:tblGrid>
        <w:gridCol w:w="1526"/>
        <w:gridCol w:w="3544"/>
        <w:gridCol w:w="4110"/>
      </w:tblGrid>
      <w:tr w:rsidR="005E2DED" w:rsidRPr="00006B5C" w14:paraId="00061555" w14:textId="77777777" w:rsidTr="007C592B">
        <w:trPr>
          <w:cantSplit/>
          <w:trHeight w:val="284"/>
        </w:trPr>
        <w:tc>
          <w:tcPr>
            <w:tcW w:w="1526" w:type="dxa"/>
            <w:shd w:val="clear" w:color="auto" w:fill="DBE5F1" w:themeFill="accent1" w:themeFillTint="33"/>
            <w:vAlign w:val="center"/>
          </w:tcPr>
          <w:p w14:paraId="51AE3360" w14:textId="77777777" w:rsidR="005E2DED" w:rsidRPr="00764F8E" w:rsidRDefault="005E2DED" w:rsidP="00F06D0D">
            <w:pPr>
              <w:rPr>
                <w:b/>
                <w:sz w:val="18"/>
                <w:szCs w:val="18"/>
              </w:rPr>
            </w:pPr>
            <w:r w:rsidRPr="00764F8E">
              <w:rPr>
                <w:b/>
                <w:sz w:val="18"/>
                <w:szCs w:val="18"/>
              </w:rPr>
              <w:t>Reference part</w:t>
            </w:r>
          </w:p>
        </w:tc>
        <w:tc>
          <w:tcPr>
            <w:tcW w:w="3544" w:type="dxa"/>
            <w:shd w:val="clear" w:color="auto" w:fill="DBE5F1" w:themeFill="accent1" w:themeFillTint="33"/>
            <w:vAlign w:val="center"/>
          </w:tcPr>
          <w:p w14:paraId="22F5BF4C" w14:textId="77777777" w:rsidR="001B4361" w:rsidRPr="00764F8E" w:rsidRDefault="005E2DED" w:rsidP="00F06D0D">
            <w:pPr>
              <w:rPr>
                <w:b/>
                <w:sz w:val="18"/>
                <w:szCs w:val="18"/>
              </w:rPr>
            </w:pPr>
            <w:r w:rsidRPr="00764F8E">
              <w:rPr>
                <w:b/>
                <w:sz w:val="18"/>
                <w:szCs w:val="18"/>
              </w:rPr>
              <w:t>IFRS Use</w:t>
            </w:r>
            <w:r w:rsidR="001B4361" w:rsidRPr="00764F8E">
              <w:rPr>
                <w:b/>
                <w:sz w:val="18"/>
                <w:szCs w:val="18"/>
              </w:rPr>
              <w:t xml:space="preserve"> </w:t>
            </w:r>
          </w:p>
          <w:p w14:paraId="48B87CC8" w14:textId="77777777" w:rsidR="005E2DED" w:rsidRPr="00764F8E" w:rsidRDefault="001B4361" w:rsidP="00F06D0D">
            <w:pPr>
              <w:rPr>
                <w:b/>
                <w:sz w:val="18"/>
                <w:szCs w:val="18"/>
              </w:rPr>
            </w:pPr>
            <w:r w:rsidRPr="00764F8E">
              <w:rPr>
                <w:b/>
                <w:sz w:val="18"/>
                <w:szCs w:val="18"/>
              </w:rPr>
              <w:t>(adopted by SBR unchanged)</w:t>
            </w:r>
          </w:p>
        </w:tc>
        <w:tc>
          <w:tcPr>
            <w:tcW w:w="4110" w:type="dxa"/>
            <w:shd w:val="clear" w:color="auto" w:fill="DBE5F1" w:themeFill="accent1" w:themeFillTint="33"/>
            <w:vAlign w:val="center"/>
          </w:tcPr>
          <w:p w14:paraId="6897EB02" w14:textId="77777777" w:rsidR="001B4361" w:rsidRPr="00764F8E" w:rsidRDefault="00120D59" w:rsidP="00F06D0D">
            <w:pPr>
              <w:rPr>
                <w:b/>
                <w:sz w:val="18"/>
                <w:szCs w:val="18"/>
              </w:rPr>
            </w:pPr>
            <w:r w:rsidRPr="00764F8E">
              <w:rPr>
                <w:b/>
                <w:sz w:val="18"/>
                <w:szCs w:val="18"/>
              </w:rPr>
              <w:t>IFRS AU</w:t>
            </w:r>
            <w:r w:rsidR="005E2DED" w:rsidRPr="00764F8E">
              <w:rPr>
                <w:b/>
                <w:sz w:val="18"/>
                <w:szCs w:val="18"/>
              </w:rPr>
              <w:t xml:space="preserve"> Use</w:t>
            </w:r>
            <w:r w:rsidR="00D0036F" w:rsidRPr="00764F8E">
              <w:rPr>
                <w:b/>
                <w:sz w:val="18"/>
                <w:szCs w:val="18"/>
              </w:rPr>
              <w:t xml:space="preserve"> </w:t>
            </w:r>
          </w:p>
          <w:p w14:paraId="271F8A37" w14:textId="77777777" w:rsidR="005E2DED" w:rsidRPr="00764F8E" w:rsidRDefault="00D0036F" w:rsidP="00F06D0D">
            <w:pPr>
              <w:rPr>
                <w:sz w:val="18"/>
                <w:szCs w:val="18"/>
              </w:rPr>
            </w:pPr>
            <w:r w:rsidRPr="00764F8E">
              <w:rPr>
                <w:b/>
                <w:sz w:val="18"/>
                <w:szCs w:val="18"/>
              </w:rPr>
              <w:t>(</w:t>
            </w:r>
            <w:r w:rsidR="00A12F21" w:rsidRPr="00764F8E">
              <w:rPr>
                <w:b/>
                <w:sz w:val="18"/>
                <w:szCs w:val="18"/>
              </w:rPr>
              <w:t xml:space="preserve">for AU </w:t>
            </w:r>
            <w:r w:rsidR="001B4361" w:rsidRPr="00764F8E">
              <w:rPr>
                <w:b/>
                <w:sz w:val="18"/>
                <w:szCs w:val="18"/>
              </w:rPr>
              <w:t>Extension only</w:t>
            </w:r>
            <w:r w:rsidRPr="00764F8E">
              <w:rPr>
                <w:b/>
                <w:sz w:val="18"/>
                <w:szCs w:val="18"/>
              </w:rPr>
              <w:t>)</w:t>
            </w:r>
          </w:p>
        </w:tc>
      </w:tr>
      <w:tr w:rsidR="005E2DED" w:rsidRPr="00140375" w14:paraId="5FFF2CDA" w14:textId="77777777" w:rsidTr="00764F8E">
        <w:trPr>
          <w:trHeight w:val="284"/>
        </w:trPr>
        <w:tc>
          <w:tcPr>
            <w:tcW w:w="1526" w:type="dxa"/>
          </w:tcPr>
          <w:p w14:paraId="046D1DF2" w14:textId="77777777" w:rsidR="005E2DED" w:rsidRPr="00764F8E" w:rsidRDefault="005E2DED" w:rsidP="00915BD9">
            <w:pPr>
              <w:autoSpaceDE w:val="0"/>
              <w:autoSpaceDN w:val="0"/>
              <w:adjustRightInd w:val="0"/>
              <w:rPr>
                <w:sz w:val="18"/>
                <w:szCs w:val="18"/>
              </w:rPr>
            </w:pPr>
            <w:r w:rsidRPr="00764F8E">
              <w:rPr>
                <w:rFonts w:cs="Arial"/>
                <w:sz w:val="18"/>
                <w:szCs w:val="18"/>
              </w:rPr>
              <w:t>Note</w:t>
            </w:r>
          </w:p>
        </w:tc>
        <w:tc>
          <w:tcPr>
            <w:tcW w:w="3544" w:type="dxa"/>
          </w:tcPr>
          <w:p w14:paraId="69228C01" w14:textId="77777777" w:rsidR="005E2DED" w:rsidRPr="00764F8E" w:rsidRDefault="005E2DED" w:rsidP="00915BD9">
            <w:pPr>
              <w:autoSpaceDE w:val="0"/>
              <w:autoSpaceDN w:val="0"/>
              <w:adjustRightInd w:val="0"/>
              <w:rPr>
                <w:sz w:val="18"/>
                <w:szCs w:val="18"/>
              </w:rPr>
            </w:pPr>
            <w:r w:rsidRPr="00764F8E">
              <w:rPr>
                <w:rFonts w:cs="Arial"/>
                <w:sz w:val="18"/>
                <w:szCs w:val="18"/>
              </w:rPr>
              <w:t>Empty or “Effective YYYY-MM-DD” or “Expiry date YYYY-MM-DD”</w:t>
            </w:r>
          </w:p>
        </w:tc>
        <w:tc>
          <w:tcPr>
            <w:tcW w:w="4110" w:type="dxa"/>
          </w:tcPr>
          <w:p w14:paraId="6D61E79C" w14:textId="77777777" w:rsidR="005E2DED" w:rsidRPr="00764F8E" w:rsidRDefault="00356BF7" w:rsidP="00356BF7">
            <w:pPr>
              <w:autoSpaceDE w:val="0"/>
              <w:autoSpaceDN w:val="0"/>
              <w:adjustRightInd w:val="0"/>
              <w:rPr>
                <w:rFonts w:cs="Arial"/>
                <w:sz w:val="18"/>
                <w:szCs w:val="18"/>
              </w:rPr>
            </w:pPr>
            <w:r w:rsidRPr="00764F8E">
              <w:rPr>
                <w:rFonts w:cs="Arial"/>
                <w:sz w:val="18"/>
                <w:szCs w:val="18"/>
              </w:rPr>
              <w:t>Available to be use</w:t>
            </w:r>
            <w:r w:rsidR="00D0036F" w:rsidRPr="00764F8E">
              <w:rPr>
                <w:rFonts w:cs="Arial"/>
                <w:sz w:val="18"/>
                <w:szCs w:val="18"/>
              </w:rPr>
              <w:t>d</w:t>
            </w:r>
            <w:r w:rsidRPr="00764F8E">
              <w:rPr>
                <w:rFonts w:cs="Arial"/>
                <w:sz w:val="18"/>
                <w:szCs w:val="18"/>
              </w:rPr>
              <w:t xml:space="preserve"> but currently empty</w:t>
            </w:r>
          </w:p>
        </w:tc>
      </w:tr>
      <w:tr w:rsidR="005E2DED" w:rsidRPr="00140375" w14:paraId="6E786602" w14:textId="77777777" w:rsidTr="00764F8E">
        <w:trPr>
          <w:trHeight w:val="284"/>
        </w:trPr>
        <w:tc>
          <w:tcPr>
            <w:tcW w:w="1526" w:type="dxa"/>
          </w:tcPr>
          <w:p w14:paraId="5B6897A9" w14:textId="77777777" w:rsidR="005E2DED" w:rsidRPr="00764F8E" w:rsidRDefault="005E2DED" w:rsidP="00915BD9">
            <w:pPr>
              <w:autoSpaceDE w:val="0"/>
              <w:autoSpaceDN w:val="0"/>
              <w:adjustRightInd w:val="0"/>
              <w:rPr>
                <w:sz w:val="18"/>
                <w:szCs w:val="18"/>
              </w:rPr>
            </w:pPr>
            <w:r w:rsidRPr="00764F8E">
              <w:rPr>
                <w:rFonts w:cs="Arial"/>
                <w:sz w:val="18"/>
                <w:szCs w:val="18"/>
              </w:rPr>
              <w:t>Name</w:t>
            </w:r>
          </w:p>
        </w:tc>
        <w:tc>
          <w:tcPr>
            <w:tcW w:w="3544" w:type="dxa"/>
          </w:tcPr>
          <w:p w14:paraId="568F20E2" w14:textId="77777777" w:rsidR="005E2DED" w:rsidRPr="00764F8E" w:rsidRDefault="005E2DED" w:rsidP="00915BD9">
            <w:pPr>
              <w:autoSpaceDE w:val="0"/>
              <w:autoSpaceDN w:val="0"/>
              <w:adjustRightInd w:val="0"/>
              <w:rPr>
                <w:sz w:val="18"/>
                <w:szCs w:val="18"/>
              </w:rPr>
            </w:pPr>
            <w:r w:rsidRPr="00764F8E">
              <w:rPr>
                <w:rFonts w:cs="Arial"/>
                <w:sz w:val="18"/>
                <w:szCs w:val="18"/>
              </w:rPr>
              <w:t>{IFRS|IAS|IFRIC|SIC|IFRS for SMEs|MC}</w:t>
            </w:r>
          </w:p>
        </w:tc>
        <w:tc>
          <w:tcPr>
            <w:tcW w:w="4110" w:type="dxa"/>
          </w:tcPr>
          <w:p w14:paraId="4BED6CEC" w14:textId="77777777" w:rsidR="005E2DED" w:rsidRPr="00764F8E" w:rsidRDefault="00356BF7" w:rsidP="00356BF7">
            <w:pPr>
              <w:autoSpaceDE w:val="0"/>
              <w:autoSpaceDN w:val="0"/>
              <w:adjustRightInd w:val="0"/>
              <w:rPr>
                <w:rFonts w:cs="Arial"/>
                <w:sz w:val="18"/>
                <w:szCs w:val="18"/>
              </w:rPr>
            </w:pPr>
            <w:r w:rsidRPr="00764F8E">
              <w:rPr>
                <w:rFonts w:cs="Arial"/>
                <w:sz w:val="18"/>
                <w:szCs w:val="18"/>
              </w:rPr>
              <w:t>{AASB</w:t>
            </w:r>
            <w:r w:rsidR="00D0036F" w:rsidRPr="00764F8E">
              <w:rPr>
                <w:rFonts w:cs="Arial"/>
                <w:sz w:val="18"/>
                <w:szCs w:val="18"/>
              </w:rPr>
              <w:t>|ASA|ASRE|ASIC Cl</w:t>
            </w:r>
            <w:r w:rsidR="0075683D" w:rsidRPr="00764F8E">
              <w:rPr>
                <w:rFonts w:cs="Arial"/>
                <w:sz w:val="18"/>
                <w:szCs w:val="18"/>
              </w:rPr>
              <w:t>a</w:t>
            </w:r>
            <w:r w:rsidR="00D0036F" w:rsidRPr="00764F8E">
              <w:rPr>
                <w:rFonts w:cs="Arial"/>
                <w:sz w:val="18"/>
                <w:szCs w:val="18"/>
              </w:rPr>
              <w:t>ss Order|Corporations Act</w:t>
            </w:r>
            <w:r w:rsidRPr="00764F8E">
              <w:rPr>
                <w:rFonts w:cs="Arial"/>
                <w:sz w:val="18"/>
                <w:szCs w:val="18"/>
              </w:rPr>
              <w:t>|</w:t>
            </w:r>
            <w:r w:rsidR="00A12F21" w:rsidRPr="00764F8E">
              <w:rPr>
                <w:rFonts w:cs="Arial"/>
                <w:sz w:val="18"/>
                <w:szCs w:val="18"/>
              </w:rPr>
              <w:t xml:space="preserve"> </w:t>
            </w:r>
            <w:r w:rsidR="00D0036F" w:rsidRPr="00764F8E">
              <w:rPr>
                <w:rFonts w:cs="Arial"/>
                <w:sz w:val="18"/>
                <w:szCs w:val="18"/>
              </w:rPr>
              <w:t>Corporations Legislations</w:t>
            </w:r>
            <w:r w:rsidRPr="00764F8E">
              <w:rPr>
                <w:rFonts w:cs="Arial"/>
                <w:sz w:val="18"/>
                <w:szCs w:val="18"/>
              </w:rPr>
              <w:t>I</w:t>
            </w:r>
            <w:r w:rsidR="00D0036F" w:rsidRPr="00764F8E">
              <w:rPr>
                <w:rFonts w:cs="Arial"/>
                <w:sz w:val="18"/>
                <w:szCs w:val="18"/>
              </w:rPr>
              <w:t>ASX</w:t>
            </w:r>
            <w:r w:rsidR="0075683D" w:rsidRPr="00764F8E">
              <w:rPr>
                <w:rFonts w:cs="Arial"/>
                <w:sz w:val="18"/>
                <w:szCs w:val="18"/>
              </w:rPr>
              <w:t xml:space="preserve"> CGC PrinciplesIASX Listing Rules}</w:t>
            </w:r>
          </w:p>
        </w:tc>
      </w:tr>
      <w:tr w:rsidR="005E2DED" w:rsidRPr="00140375" w14:paraId="0998F2D1" w14:textId="77777777" w:rsidTr="00764F8E">
        <w:trPr>
          <w:trHeight w:val="284"/>
        </w:trPr>
        <w:tc>
          <w:tcPr>
            <w:tcW w:w="1526" w:type="dxa"/>
          </w:tcPr>
          <w:p w14:paraId="1BEE577C" w14:textId="77777777" w:rsidR="005E2DED" w:rsidRPr="00764F8E" w:rsidRDefault="005E2DED" w:rsidP="00915BD9">
            <w:pPr>
              <w:autoSpaceDE w:val="0"/>
              <w:autoSpaceDN w:val="0"/>
              <w:adjustRightInd w:val="0"/>
              <w:rPr>
                <w:sz w:val="18"/>
                <w:szCs w:val="18"/>
              </w:rPr>
            </w:pPr>
            <w:r w:rsidRPr="00764F8E">
              <w:rPr>
                <w:rFonts w:cs="Arial"/>
                <w:sz w:val="18"/>
                <w:szCs w:val="18"/>
              </w:rPr>
              <w:t>Number</w:t>
            </w:r>
          </w:p>
        </w:tc>
        <w:tc>
          <w:tcPr>
            <w:tcW w:w="3544" w:type="dxa"/>
          </w:tcPr>
          <w:p w14:paraId="219EF429" w14:textId="77777777" w:rsidR="005E2DED" w:rsidRPr="00764F8E" w:rsidRDefault="005E2DED" w:rsidP="00915BD9">
            <w:pPr>
              <w:autoSpaceDE w:val="0"/>
              <w:autoSpaceDN w:val="0"/>
              <w:adjustRightInd w:val="0"/>
              <w:rPr>
                <w:sz w:val="18"/>
                <w:szCs w:val="18"/>
              </w:rPr>
            </w:pPr>
            <w:r w:rsidRPr="00764F8E">
              <w:rPr>
                <w:rFonts w:cs="Arial"/>
                <w:sz w:val="18"/>
                <w:szCs w:val="18"/>
              </w:rPr>
              <w:t>Number of the standard or interpretation</w:t>
            </w:r>
          </w:p>
        </w:tc>
        <w:tc>
          <w:tcPr>
            <w:tcW w:w="4110" w:type="dxa"/>
          </w:tcPr>
          <w:p w14:paraId="6A0980A4" w14:textId="77777777" w:rsidR="005E2DED" w:rsidRPr="00764F8E" w:rsidRDefault="00D0036F" w:rsidP="001B4361">
            <w:pPr>
              <w:autoSpaceDE w:val="0"/>
              <w:autoSpaceDN w:val="0"/>
              <w:adjustRightInd w:val="0"/>
              <w:rPr>
                <w:rFonts w:cs="Arial"/>
                <w:sz w:val="18"/>
                <w:szCs w:val="18"/>
              </w:rPr>
            </w:pPr>
            <w:r w:rsidRPr="00764F8E">
              <w:rPr>
                <w:rFonts w:cs="Arial"/>
                <w:sz w:val="18"/>
                <w:szCs w:val="18"/>
              </w:rPr>
              <w:t>Number</w:t>
            </w:r>
            <w:r w:rsidR="0075683D" w:rsidRPr="00764F8E">
              <w:rPr>
                <w:rFonts w:cs="Arial"/>
                <w:sz w:val="18"/>
                <w:szCs w:val="18"/>
              </w:rPr>
              <w:t xml:space="preserve"> o</w:t>
            </w:r>
            <w:r w:rsidR="00356BF7" w:rsidRPr="00764F8E">
              <w:rPr>
                <w:rFonts w:cs="Arial"/>
                <w:sz w:val="18"/>
                <w:szCs w:val="18"/>
              </w:rPr>
              <w:t>f the standard</w:t>
            </w:r>
            <w:r w:rsidR="0075683D" w:rsidRPr="00764F8E">
              <w:rPr>
                <w:rFonts w:cs="Arial"/>
                <w:sz w:val="18"/>
                <w:szCs w:val="18"/>
              </w:rPr>
              <w:t xml:space="preserve"> or</w:t>
            </w:r>
            <w:r w:rsidR="00356BF7" w:rsidRPr="00764F8E">
              <w:rPr>
                <w:rFonts w:cs="Arial"/>
                <w:sz w:val="18"/>
                <w:szCs w:val="18"/>
              </w:rPr>
              <w:t xml:space="preserve"> interpretation,</w:t>
            </w:r>
            <w:r w:rsidR="00922BD0" w:rsidRPr="00764F8E">
              <w:rPr>
                <w:rFonts w:cs="Arial"/>
                <w:sz w:val="18"/>
                <w:szCs w:val="18"/>
              </w:rPr>
              <w:t xml:space="preserve"> ASX CGC </w:t>
            </w:r>
            <w:r w:rsidR="001B4361" w:rsidRPr="00764F8E">
              <w:rPr>
                <w:rFonts w:cs="Arial"/>
                <w:sz w:val="18"/>
                <w:szCs w:val="18"/>
              </w:rPr>
              <w:t>p</w:t>
            </w:r>
            <w:r w:rsidR="00922BD0" w:rsidRPr="00764F8E">
              <w:rPr>
                <w:rFonts w:cs="Arial"/>
                <w:sz w:val="18"/>
                <w:szCs w:val="18"/>
              </w:rPr>
              <w:t>rinciple or Listing rule</w:t>
            </w:r>
            <w:r w:rsidR="00356BF7" w:rsidRPr="00764F8E">
              <w:rPr>
                <w:rFonts w:cs="Arial"/>
                <w:sz w:val="18"/>
                <w:szCs w:val="18"/>
              </w:rPr>
              <w:t xml:space="preserve"> </w:t>
            </w:r>
          </w:p>
        </w:tc>
      </w:tr>
      <w:tr w:rsidR="005E2DED" w:rsidRPr="00140375" w14:paraId="45D0C29F" w14:textId="77777777" w:rsidTr="00764F8E">
        <w:trPr>
          <w:trHeight w:val="284"/>
        </w:trPr>
        <w:tc>
          <w:tcPr>
            <w:tcW w:w="1526" w:type="dxa"/>
          </w:tcPr>
          <w:p w14:paraId="4BA7EA3B" w14:textId="77777777" w:rsidR="005E2DED" w:rsidRPr="00764F8E" w:rsidRDefault="005E2DED" w:rsidP="00915BD9">
            <w:pPr>
              <w:autoSpaceDE w:val="0"/>
              <w:autoSpaceDN w:val="0"/>
              <w:adjustRightInd w:val="0"/>
              <w:rPr>
                <w:sz w:val="18"/>
                <w:szCs w:val="18"/>
              </w:rPr>
            </w:pPr>
            <w:r w:rsidRPr="00764F8E">
              <w:rPr>
                <w:rFonts w:cs="Arial"/>
                <w:sz w:val="18"/>
                <w:szCs w:val="18"/>
              </w:rPr>
              <w:t>IssueDate</w:t>
            </w:r>
          </w:p>
        </w:tc>
        <w:tc>
          <w:tcPr>
            <w:tcW w:w="3544" w:type="dxa"/>
          </w:tcPr>
          <w:p w14:paraId="03D1BD04" w14:textId="77777777" w:rsidR="005E2DED" w:rsidRPr="00764F8E" w:rsidRDefault="005E2DED" w:rsidP="00915BD9">
            <w:pPr>
              <w:autoSpaceDE w:val="0"/>
              <w:autoSpaceDN w:val="0"/>
              <w:adjustRightInd w:val="0"/>
              <w:rPr>
                <w:sz w:val="18"/>
                <w:szCs w:val="18"/>
              </w:rPr>
            </w:pPr>
            <w:r w:rsidRPr="00764F8E">
              <w:rPr>
                <w:rFonts w:cs="Arial"/>
                <w:sz w:val="18"/>
                <w:szCs w:val="18"/>
              </w:rPr>
              <w:t>Issue date of the standard or interpretation</w:t>
            </w:r>
          </w:p>
        </w:tc>
        <w:tc>
          <w:tcPr>
            <w:tcW w:w="4110" w:type="dxa"/>
          </w:tcPr>
          <w:p w14:paraId="204D054B" w14:textId="347C3846" w:rsidR="005E2DED" w:rsidRPr="00764F8E" w:rsidRDefault="00A12F21" w:rsidP="00851C87">
            <w:pPr>
              <w:autoSpaceDE w:val="0"/>
              <w:autoSpaceDN w:val="0"/>
              <w:adjustRightInd w:val="0"/>
              <w:rPr>
                <w:rFonts w:cs="Arial"/>
                <w:sz w:val="18"/>
                <w:szCs w:val="18"/>
              </w:rPr>
            </w:pPr>
            <w:r w:rsidRPr="00764F8E">
              <w:rPr>
                <w:rFonts w:cs="Arial"/>
                <w:sz w:val="18"/>
                <w:szCs w:val="18"/>
              </w:rPr>
              <w:t>A</w:t>
            </w:r>
            <w:r w:rsidR="00356BF7" w:rsidRPr="00764F8E">
              <w:rPr>
                <w:rFonts w:cs="Arial"/>
                <w:sz w:val="18"/>
                <w:szCs w:val="18"/>
              </w:rPr>
              <w:t xml:space="preserve">pplicable date of </w:t>
            </w:r>
            <w:r w:rsidRPr="00764F8E">
              <w:rPr>
                <w:rFonts w:cs="Arial"/>
                <w:sz w:val="18"/>
                <w:szCs w:val="18"/>
              </w:rPr>
              <w:t>AASBs</w:t>
            </w:r>
            <w:r w:rsidR="00273D67">
              <w:rPr>
                <w:rFonts w:cs="Arial"/>
                <w:sz w:val="18"/>
                <w:szCs w:val="18"/>
              </w:rPr>
              <w:t xml:space="preserve"> included in the taxonomy</w:t>
            </w:r>
            <w:r w:rsidRPr="00764F8E">
              <w:rPr>
                <w:rFonts w:cs="Arial"/>
                <w:sz w:val="18"/>
                <w:szCs w:val="18"/>
              </w:rPr>
              <w:t>,</w:t>
            </w:r>
            <w:r w:rsidR="00D0036F" w:rsidRPr="00764F8E">
              <w:rPr>
                <w:rFonts w:cs="Arial"/>
                <w:sz w:val="18"/>
                <w:szCs w:val="18"/>
              </w:rPr>
              <w:t xml:space="preserve"> </w:t>
            </w:r>
            <w:r w:rsidR="00D0036F" w:rsidRPr="00B80E5D">
              <w:rPr>
                <w:rFonts w:cs="Arial"/>
                <w:sz w:val="18"/>
                <w:szCs w:val="18"/>
              </w:rPr>
              <w:t xml:space="preserve">being 1 January </w:t>
            </w:r>
            <w:r w:rsidR="005F4699">
              <w:rPr>
                <w:rFonts w:cs="Arial"/>
                <w:sz w:val="18"/>
                <w:szCs w:val="18"/>
              </w:rPr>
              <w:t>202</w:t>
            </w:r>
            <w:r w:rsidR="000A57E7">
              <w:rPr>
                <w:rFonts w:cs="Arial"/>
                <w:sz w:val="18"/>
                <w:szCs w:val="18"/>
              </w:rPr>
              <w:t>2</w:t>
            </w:r>
            <w:r w:rsidR="00D0036F" w:rsidRPr="00B80E5D">
              <w:rPr>
                <w:rFonts w:cs="Arial"/>
                <w:sz w:val="18"/>
                <w:szCs w:val="18"/>
              </w:rPr>
              <w:t>.</w:t>
            </w:r>
            <w:r w:rsidR="00356BF7" w:rsidRPr="00764F8E">
              <w:rPr>
                <w:rFonts w:cs="Arial"/>
                <w:sz w:val="18"/>
                <w:szCs w:val="18"/>
              </w:rPr>
              <w:t xml:space="preserve"> </w:t>
            </w:r>
          </w:p>
        </w:tc>
      </w:tr>
      <w:tr w:rsidR="005E2DED" w:rsidRPr="00140375" w14:paraId="45B2B60B" w14:textId="77777777" w:rsidTr="00764F8E">
        <w:trPr>
          <w:trHeight w:val="284"/>
        </w:trPr>
        <w:tc>
          <w:tcPr>
            <w:tcW w:w="1526" w:type="dxa"/>
          </w:tcPr>
          <w:p w14:paraId="74C72653" w14:textId="77777777" w:rsidR="005E2DED" w:rsidRPr="00764F8E" w:rsidRDefault="005E2DED" w:rsidP="00915BD9">
            <w:pPr>
              <w:autoSpaceDE w:val="0"/>
              <w:autoSpaceDN w:val="0"/>
              <w:adjustRightInd w:val="0"/>
              <w:rPr>
                <w:sz w:val="18"/>
                <w:szCs w:val="18"/>
              </w:rPr>
            </w:pPr>
            <w:r w:rsidRPr="00764F8E">
              <w:rPr>
                <w:rFonts w:cs="Arial"/>
                <w:sz w:val="18"/>
                <w:szCs w:val="18"/>
              </w:rPr>
              <w:t>Section</w:t>
            </w:r>
          </w:p>
        </w:tc>
        <w:tc>
          <w:tcPr>
            <w:tcW w:w="3544" w:type="dxa"/>
          </w:tcPr>
          <w:p w14:paraId="171632D2" w14:textId="77777777" w:rsidR="005E2DED" w:rsidRPr="00764F8E" w:rsidRDefault="001B4361" w:rsidP="00915BD9">
            <w:pPr>
              <w:autoSpaceDE w:val="0"/>
              <w:autoSpaceDN w:val="0"/>
              <w:adjustRightInd w:val="0"/>
              <w:rPr>
                <w:rFonts w:cs="Arial"/>
                <w:sz w:val="18"/>
                <w:szCs w:val="18"/>
              </w:rPr>
            </w:pPr>
            <w:r w:rsidRPr="00764F8E">
              <w:rPr>
                <w:rFonts w:cs="Arial"/>
                <w:sz w:val="18"/>
                <w:szCs w:val="18"/>
              </w:rPr>
              <w:t>Not used</w:t>
            </w:r>
          </w:p>
          <w:p w14:paraId="49A84EB9" w14:textId="77777777" w:rsidR="001B4361" w:rsidRPr="00764F8E" w:rsidRDefault="001B4361" w:rsidP="00915BD9">
            <w:pPr>
              <w:autoSpaceDE w:val="0"/>
              <w:autoSpaceDN w:val="0"/>
              <w:adjustRightInd w:val="0"/>
              <w:rPr>
                <w:sz w:val="18"/>
                <w:szCs w:val="18"/>
              </w:rPr>
            </w:pPr>
          </w:p>
        </w:tc>
        <w:tc>
          <w:tcPr>
            <w:tcW w:w="4110" w:type="dxa"/>
          </w:tcPr>
          <w:p w14:paraId="58E0DE08" w14:textId="77777777" w:rsidR="005E2DED" w:rsidRPr="00764F8E" w:rsidRDefault="00922BD0" w:rsidP="00915BD9">
            <w:pPr>
              <w:autoSpaceDE w:val="0"/>
              <w:autoSpaceDN w:val="0"/>
              <w:adjustRightInd w:val="0"/>
              <w:rPr>
                <w:rFonts w:cs="Arial"/>
                <w:sz w:val="18"/>
                <w:szCs w:val="18"/>
              </w:rPr>
            </w:pPr>
            <w:r w:rsidRPr="00764F8E">
              <w:rPr>
                <w:rFonts w:cs="Arial"/>
                <w:sz w:val="18"/>
                <w:szCs w:val="18"/>
              </w:rPr>
              <w:t>Section of the Corporations Act or Corporations Regulations</w:t>
            </w:r>
          </w:p>
        </w:tc>
      </w:tr>
      <w:tr w:rsidR="005E2DED" w:rsidRPr="00140375" w14:paraId="7BBB9D99" w14:textId="77777777" w:rsidTr="00764F8E">
        <w:trPr>
          <w:trHeight w:val="284"/>
        </w:trPr>
        <w:tc>
          <w:tcPr>
            <w:tcW w:w="1526" w:type="dxa"/>
          </w:tcPr>
          <w:p w14:paraId="73FE955E" w14:textId="77777777" w:rsidR="005E2DED" w:rsidRPr="00764F8E" w:rsidRDefault="005E2DED" w:rsidP="00915BD9">
            <w:pPr>
              <w:autoSpaceDE w:val="0"/>
              <w:autoSpaceDN w:val="0"/>
              <w:adjustRightInd w:val="0"/>
              <w:rPr>
                <w:sz w:val="18"/>
                <w:szCs w:val="18"/>
              </w:rPr>
            </w:pPr>
            <w:r w:rsidRPr="00764F8E">
              <w:rPr>
                <w:rFonts w:cs="Arial"/>
                <w:sz w:val="18"/>
                <w:szCs w:val="18"/>
              </w:rPr>
              <w:t>Subsection</w:t>
            </w:r>
          </w:p>
        </w:tc>
        <w:tc>
          <w:tcPr>
            <w:tcW w:w="3544" w:type="dxa"/>
          </w:tcPr>
          <w:p w14:paraId="08B51B08" w14:textId="77777777" w:rsidR="005E2DED" w:rsidRPr="00764F8E" w:rsidRDefault="001B4361" w:rsidP="00915BD9">
            <w:pPr>
              <w:autoSpaceDE w:val="0"/>
              <w:autoSpaceDN w:val="0"/>
              <w:adjustRightInd w:val="0"/>
              <w:rPr>
                <w:rFonts w:cs="Arial"/>
                <w:sz w:val="18"/>
                <w:szCs w:val="18"/>
              </w:rPr>
            </w:pPr>
            <w:r w:rsidRPr="00764F8E">
              <w:rPr>
                <w:rFonts w:cs="Arial"/>
                <w:sz w:val="18"/>
                <w:szCs w:val="18"/>
              </w:rPr>
              <w:t>Not used</w:t>
            </w:r>
          </w:p>
          <w:p w14:paraId="26DABA54" w14:textId="77777777" w:rsidR="001B4361" w:rsidRPr="00764F8E" w:rsidRDefault="001B4361" w:rsidP="00915BD9">
            <w:pPr>
              <w:autoSpaceDE w:val="0"/>
              <w:autoSpaceDN w:val="0"/>
              <w:adjustRightInd w:val="0"/>
              <w:rPr>
                <w:sz w:val="18"/>
                <w:szCs w:val="18"/>
              </w:rPr>
            </w:pPr>
          </w:p>
        </w:tc>
        <w:tc>
          <w:tcPr>
            <w:tcW w:w="4110" w:type="dxa"/>
          </w:tcPr>
          <w:p w14:paraId="302AF9BD" w14:textId="77777777" w:rsidR="005E2DED" w:rsidRPr="00764F8E" w:rsidRDefault="00922BD0" w:rsidP="001B4361">
            <w:pPr>
              <w:autoSpaceDE w:val="0"/>
              <w:autoSpaceDN w:val="0"/>
              <w:adjustRightInd w:val="0"/>
              <w:rPr>
                <w:rFonts w:cs="Arial"/>
                <w:sz w:val="18"/>
                <w:szCs w:val="18"/>
              </w:rPr>
            </w:pPr>
            <w:r w:rsidRPr="00764F8E">
              <w:rPr>
                <w:rFonts w:cs="Arial"/>
                <w:sz w:val="18"/>
                <w:szCs w:val="18"/>
              </w:rPr>
              <w:t>Sub-section of the Corporations Act or Corporations Regulations</w:t>
            </w:r>
          </w:p>
        </w:tc>
      </w:tr>
      <w:tr w:rsidR="005E2DED" w:rsidRPr="00140375" w14:paraId="165EBCCB" w14:textId="77777777" w:rsidTr="00764F8E">
        <w:trPr>
          <w:trHeight w:val="284"/>
        </w:trPr>
        <w:tc>
          <w:tcPr>
            <w:tcW w:w="1526" w:type="dxa"/>
          </w:tcPr>
          <w:p w14:paraId="679A03E5" w14:textId="77777777" w:rsidR="005E2DED" w:rsidRPr="00764F8E" w:rsidRDefault="005E2DED" w:rsidP="00915BD9">
            <w:pPr>
              <w:autoSpaceDE w:val="0"/>
              <w:autoSpaceDN w:val="0"/>
              <w:adjustRightInd w:val="0"/>
              <w:rPr>
                <w:sz w:val="18"/>
                <w:szCs w:val="18"/>
              </w:rPr>
            </w:pPr>
            <w:r w:rsidRPr="00764F8E">
              <w:rPr>
                <w:rFonts w:cs="Arial"/>
                <w:sz w:val="18"/>
                <w:szCs w:val="18"/>
              </w:rPr>
              <w:t>Paragraph</w:t>
            </w:r>
          </w:p>
        </w:tc>
        <w:tc>
          <w:tcPr>
            <w:tcW w:w="3544" w:type="dxa"/>
          </w:tcPr>
          <w:p w14:paraId="1A945836" w14:textId="77777777" w:rsidR="005E2DED" w:rsidRPr="00764F8E" w:rsidRDefault="005E2DED" w:rsidP="00915BD9">
            <w:pPr>
              <w:autoSpaceDE w:val="0"/>
              <w:autoSpaceDN w:val="0"/>
              <w:adjustRightInd w:val="0"/>
              <w:rPr>
                <w:sz w:val="18"/>
                <w:szCs w:val="18"/>
              </w:rPr>
            </w:pPr>
            <w:r w:rsidRPr="00764F8E">
              <w:rPr>
                <w:rFonts w:cs="Arial"/>
                <w:sz w:val="18"/>
                <w:szCs w:val="18"/>
              </w:rPr>
              <w:t>Paragraph (number) in the standard</w:t>
            </w:r>
          </w:p>
        </w:tc>
        <w:tc>
          <w:tcPr>
            <w:tcW w:w="4110" w:type="dxa"/>
          </w:tcPr>
          <w:p w14:paraId="4808D84C" w14:textId="77777777" w:rsidR="005E2DED" w:rsidRPr="00764F8E" w:rsidRDefault="00D0036F" w:rsidP="00915BD9">
            <w:pPr>
              <w:autoSpaceDE w:val="0"/>
              <w:autoSpaceDN w:val="0"/>
              <w:adjustRightInd w:val="0"/>
              <w:rPr>
                <w:rFonts w:cs="Arial"/>
                <w:sz w:val="18"/>
                <w:szCs w:val="18"/>
              </w:rPr>
            </w:pPr>
            <w:r w:rsidRPr="00764F8E">
              <w:rPr>
                <w:rFonts w:cs="Arial"/>
                <w:sz w:val="18"/>
                <w:szCs w:val="18"/>
              </w:rPr>
              <w:t>Paragraph (number) in the standard</w:t>
            </w:r>
          </w:p>
        </w:tc>
      </w:tr>
      <w:tr w:rsidR="005E2DED" w:rsidRPr="00140375" w14:paraId="381A28BF" w14:textId="77777777" w:rsidTr="00764F8E">
        <w:trPr>
          <w:trHeight w:val="284"/>
        </w:trPr>
        <w:tc>
          <w:tcPr>
            <w:tcW w:w="1526" w:type="dxa"/>
          </w:tcPr>
          <w:p w14:paraId="4B7D81C6" w14:textId="77777777" w:rsidR="005E2DED" w:rsidRPr="00764F8E" w:rsidRDefault="005E2DED" w:rsidP="00915BD9">
            <w:pPr>
              <w:autoSpaceDE w:val="0"/>
              <w:autoSpaceDN w:val="0"/>
              <w:adjustRightInd w:val="0"/>
              <w:rPr>
                <w:sz w:val="18"/>
                <w:szCs w:val="18"/>
              </w:rPr>
            </w:pPr>
            <w:r w:rsidRPr="00764F8E">
              <w:rPr>
                <w:rFonts w:cs="Arial"/>
                <w:sz w:val="18"/>
                <w:szCs w:val="18"/>
              </w:rPr>
              <w:t>Subparagraph</w:t>
            </w:r>
          </w:p>
        </w:tc>
        <w:tc>
          <w:tcPr>
            <w:tcW w:w="3544" w:type="dxa"/>
          </w:tcPr>
          <w:p w14:paraId="28E87474" w14:textId="77777777" w:rsidR="005E2DED" w:rsidRPr="00764F8E" w:rsidRDefault="005E2DED" w:rsidP="00915BD9">
            <w:pPr>
              <w:autoSpaceDE w:val="0"/>
              <w:autoSpaceDN w:val="0"/>
              <w:adjustRightInd w:val="0"/>
              <w:rPr>
                <w:sz w:val="18"/>
                <w:szCs w:val="18"/>
              </w:rPr>
            </w:pPr>
            <w:r w:rsidRPr="00764F8E">
              <w:rPr>
                <w:rFonts w:cs="Arial"/>
                <w:sz w:val="18"/>
                <w:szCs w:val="18"/>
              </w:rPr>
              <w:t>Subparagraph (number) of a paragraph</w:t>
            </w:r>
          </w:p>
        </w:tc>
        <w:tc>
          <w:tcPr>
            <w:tcW w:w="4110" w:type="dxa"/>
          </w:tcPr>
          <w:p w14:paraId="78C852B7" w14:textId="77777777" w:rsidR="005E2DED" w:rsidRPr="00764F8E" w:rsidRDefault="00D0036F" w:rsidP="00915BD9">
            <w:pPr>
              <w:autoSpaceDE w:val="0"/>
              <w:autoSpaceDN w:val="0"/>
              <w:adjustRightInd w:val="0"/>
              <w:rPr>
                <w:rFonts w:cs="Arial"/>
                <w:sz w:val="18"/>
                <w:szCs w:val="18"/>
              </w:rPr>
            </w:pPr>
            <w:r w:rsidRPr="00764F8E">
              <w:rPr>
                <w:rFonts w:cs="Arial"/>
                <w:sz w:val="18"/>
                <w:szCs w:val="18"/>
              </w:rPr>
              <w:t>Subparagraph (number) of a paragraph</w:t>
            </w:r>
          </w:p>
        </w:tc>
      </w:tr>
      <w:tr w:rsidR="005E2DED" w:rsidRPr="00140375" w14:paraId="418B3224" w14:textId="77777777" w:rsidTr="00764F8E">
        <w:trPr>
          <w:trHeight w:val="284"/>
        </w:trPr>
        <w:tc>
          <w:tcPr>
            <w:tcW w:w="1526" w:type="dxa"/>
          </w:tcPr>
          <w:p w14:paraId="5E9A0160" w14:textId="77777777" w:rsidR="005E2DED" w:rsidRPr="00764F8E" w:rsidRDefault="005E2DED" w:rsidP="00915BD9">
            <w:pPr>
              <w:autoSpaceDE w:val="0"/>
              <w:autoSpaceDN w:val="0"/>
              <w:adjustRightInd w:val="0"/>
              <w:rPr>
                <w:sz w:val="18"/>
                <w:szCs w:val="18"/>
              </w:rPr>
            </w:pPr>
            <w:r w:rsidRPr="00764F8E">
              <w:rPr>
                <w:rFonts w:cs="Arial"/>
                <w:sz w:val="18"/>
                <w:szCs w:val="18"/>
              </w:rPr>
              <w:t>Clause</w:t>
            </w:r>
          </w:p>
        </w:tc>
        <w:tc>
          <w:tcPr>
            <w:tcW w:w="3544" w:type="dxa"/>
          </w:tcPr>
          <w:p w14:paraId="55339F7C" w14:textId="77777777" w:rsidR="005E2DED" w:rsidRPr="00764F8E" w:rsidRDefault="005E2DED" w:rsidP="00915BD9">
            <w:pPr>
              <w:autoSpaceDE w:val="0"/>
              <w:autoSpaceDN w:val="0"/>
              <w:adjustRightInd w:val="0"/>
              <w:rPr>
                <w:sz w:val="18"/>
                <w:szCs w:val="18"/>
              </w:rPr>
            </w:pPr>
            <w:r w:rsidRPr="00764F8E">
              <w:rPr>
                <w:rFonts w:cs="Arial"/>
                <w:sz w:val="18"/>
                <w:szCs w:val="18"/>
              </w:rPr>
              <w:t>Subcomponent of a subparagraph</w:t>
            </w:r>
          </w:p>
        </w:tc>
        <w:tc>
          <w:tcPr>
            <w:tcW w:w="4110" w:type="dxa"/>
          </w:tcPr>
          <w:p w14:paraId="387A2932" w14:textId="77777777" w:rsidR="005E2DED" w:rsidRPr="00764F8E" w:rsidRDefault="00D0036F" w:rsidP="00915BD9">
            <w:pPr>
              <w:autoSpaceDE w:val="0"/>
              <w:autoSpaceDN w:val="0"/>
              <w:adjustRightInd w:val="0"/>
              <w:rPr>
                <w:rFonts w:cs="Arial"/>
                <w:sz w:val="18"/>
                <w:szCs w:val="18"/>
              </w:rPr>
            </w:pPr>
            <w:r w:rsidRPr="00764F8E">
              <w:rPr>
                <w:rFonts w:cs="Arial"/>
                <w:sz w:val="18"/>
                <w:szCs w:val="18"/>
              </w:rPr>
              <w:t>Subcomponent of a subparagraph</w:t>
            </w:r>
          </w:p>
        </w:tc>
      </w:tr>
      <w:tr w:rsidR="005E2DED" w:rsidRPr="00140375" w14:paraId="20128703" w14:textId="77777777" w:rsidTr="00764F8E">
        <w:trPr>
          <w:trHeight w:val="284"/>
        </w:trPr>
        <w:tc>
          <w:tcPr>
            <w:tcW w:w="1526" w:type="dxa"/>
          </w:tcPr>
          <w:p w14:paraId="140F53CA" w14:textId="77777777" w:rsidR="005E2DED" w:rsidRPr="00764F8E" w:rsidRDefault="005E2DED" w:rsidP="00915BD9">
            <w:pPr>
              <w:autoSpaceDE w:val="0"/>
              <w:autoSpaceDN w:val="0"/>
              <w:adjustRightInd w:val="0"/>
              <w:rPr>
                <w:rFonts w:cs="Arial"/>
                <w:sz w:val="18"/>
                <w:szCs w:val="18"/>
              </w:rPr>
            </w:pPr>
            <w:r w:rsidRPr="00764F8E">
              <w:rPr>
                <w:rFonts w:cs="Arial"/>
                <w:sz w:val="18"/>
                <w:szCs w:val="18"/>
              </w:rPr>
              <w:t>URI</w:t>
            </w:r>
          </w:p>
        </w:tc>
        <w:tc>
          <w:tcPr>
            <w:tcW w:w="3544" w:type="dxa"/>
          </w:tcPr>
          <w:p w14:paraId="2B0E3584" w14:textId="77777777" w:rsidR="005E2DED" w:rsidRPr="00764F8E" w:rsidRDefault="005E2DED" w:rsidP="00915BD9">
            <w:pPr>
              <w:autoSpaceDE w:val="0"/>
              <w:autoSpaceDN w:val="0"/>
              <w:adjustRightInd w:val="0"/>
              <w:rPr>
                <w:sz w:val="18"/>
                <w:szCs w:val="18"/>
              </w:rPr>
            </w:pPr>
            <w:r w:rsidRPr="00764F8E">
              <w:rPr>
                <w:rFonts w:cs="Arial"/>
                <w:sz w:val="18"/>
                <w:szCs w:val="18"/>
              </w:rPr>
              <w:t>Link to text of the standard in xIFRS</w:t>
            </w:r>
          </w:p>
        </w:tc>
        <w:tc>
          <w:tcPr>
            <w:tcW w:w="4110" w:type="dxa"/>
          </w:tcPr>
          <w:p w14:paraId="5B27C738" w14:textId="77777777" w:rsidR="005E2DED" w:rsidRPr="00764F8E" w:rsidRDefault="005E2DED" w:rsidP="00915BD9">
            <w:pPr>
              <w:autoSpaceDE w:val="0"/>
              <w:autoSpaceDN w:val="0"/>
              <w:adjustRightInd w:val="0"/>
              <w:rPr>
                <w:rFonts w:cs="Arial"/>
                <w:sz w:val="18"/>
                <w:szCs w:val="18"/>
              </w:rPr>
            </w:pPr>
            <w:r w:rsidRPr="00764F8E">
              <w:rPr>
                <w:rFonts w:cs="Arial"/>
                <w:sz w:val="18"/>
                <w:szCs w:val="18"/>
              </w:rPr>
              <w:t>Not used</w:t>
            </w:r>
            <w:r w:rsidR="00BB7F49" w:rsidRPr="00764F8E">
              <w:rPr>
                <w:rFonts w:cs="Arial"/>
                <w:sz w:val="18"/>
                <w:szCs w:val="18"/>
              </w:rPr>
              <w:t xml:space="preserve"> for AU concepts</w:t>
            </w:r>
          </w:p>
        </w:tc>
      </w:tr>
      <w:tr w:rsidR="005E2DED" w:rsidRPr="00140375" w14:paraId="29CFE85F" w14:textId="77777777" w:rsidTr="00764F8E">
        <w:trPr>
          <w:trHeight w:val="284"/>
        </w:trPr>
        <w:tc>
          <w:tcPr>
            <w:tcW w:w="1526" w:type="dxa"/>
          </w:tcPr>
          <w:p w14:paraId="01D24580" w14:textId="77777777" w:rsidR="005E2DED" w:rsidRPr="00764F8E" w:rsidRDefault="005E2DED" w:rsidP="00915BD9">
            <w:pPr>
              <w:autoSpaceDE w:val="0"/>
              <w:autoSpaceDN w:val="0"/>
              <w:adjustRightInd w:val="0"/>
              <w:rPr>
                <w:rFonts w:cs="Arial"/>
                <w:sz w:val="18"/>
                <w:szCs w:val="18"/>
              </w:rPr>
            </w:pPr>
            <w:r w:rsidRPr="00764F8E">
              <w:rPr>
                <w:rFonts w:cs="Arial"/>
                <w:sz w:val="18"/>
                <w:szCs w:val="18"/>
              </w:rPr>
              <w:t>URIDate</w:t>
            </w:r>
          </w:p>
        </w:tc>
        <w:tc>
          <w:tcPr>
            <w:tcW w:w="3544" w:type="dxa"/>
          </w:tcPr>
          <w:p w14:paraId="7AC0F6F2" w14:textId="77777777" w:rsidR="005E2DED" w:rsidRPr="00764F8E" w:rsidRDefault="005E2DED" w:rsidP="00915BD9">
            <w:pPr>
              <w:autoSpaceDE w:val="0"/>
              <w:autoSpaceDN w:val="0"/>
              <w:adjustRightInd w:val="0"/>
              <w:rPr>
                <w:sz w:val="18"/>
                <w:szCs w:val="18"/>
              </w:rPr>
            </w:pPr>
            <w:r w:rsidRPr="00764F8E">
              <w:rPr>
                <w:rFonts w:cs="Arial"/>
                <w:sz w:val="18"/>
                <w:szCs w:val="18"/>
              </w:rPr>
              <w:t>Validity date of the link in xIFRS</w:t>
            </w:r>
          </w:p>
        </w:tc>
        <w:tc>
          <w:tcPr>
            <w:tcW w:w="4110" w:type="dxa"/>
          </w:tcPr>
          <w:p w14:paraId="57CE8BA4" w14:textId="77777777" w:rsidR="005E2DED" w:rsidRPr="00764F8E" w:rsidRDefault="005E2DED" w:rsidP="00915BD9">
            <w:pPr>
              <w:autoSpaceDE w:val="0"/>
              <w:autoSpaceDN w:val="0"/>
              <w:adjustRightInd w:val="0"/>
              <w:rPr>
                <w:rFonts w:cs="Arial"/>
                <w:sz w:val="18"/>
                <w:szCs w:val="18"/>
              </w:rPr>
            </w:pPr>
            <w:r w:rsidRPr="00764F8E">
              <w:rPr>
                <w:rFonts w:cs="Arial"/>
                <w:sz w:val="18"/>
                <w:szCs w:val="18"/>
              </w:rPr>
              <w:t>Not used</w:t>
            </w:r>
            <w:r w:rsidR="00BB7F49" w:rsidRPr="00764F8E">
              <w:rPr>
                <w:rFonts w:cs="Arial"/>
                <w:sz w:val="18"/>
                <w:szCs w:val="18"/>
              </w:rPr>
              <w:t xml:space="preserve"> for AU concepts</w:t>
            </w:r>
          </w:p>
        </w:tc>
      </w:tr>
    </w:tbl>
    <w:p w14:paraId="28125D87" w14:textId="77777777" w:rsidR="00523446" w:rsidRDefault="00523446" w:rsidP="00140375">
      <w:pPr>
        <w:autoSpaceDE w:val="0"/>
        <w:autoSpaceDN w:val="0"/>
        <w:adjustRightInd w:val="0"/>
        <w:rPr>
          <w:rFonts w:cs="Arial"/>
          <w:bCs/>
          <w:iCs/>
          <w:sz w:val="20"/>
          <w:szCs w:val="20"/>
        </w:rPr>
      </w:pPr>
    </w:p>
    <w:p w14:paraId="639AD5CA" w14:textId="3C1653F4" w:rsidR="00523446" w:rsidRPr="00E14FDE" w:rsidRDefault="00BB7F49" w:rsidP="00523446">
      <w:pPr>
        <w:autoSpaceDE w:val="0"/>
        <w:autoSpaceDN w:val="0"/>
        <w:adjustRightInd w:val="0"/>
        <w:rPr>
          <w:rFonts w:cs="Arial"/>
          <w:bCs/>
          <w:iCs/>
          <w:sz w:val="20"/>
          <w:szCs w:val="20"/>
        </w:rPr>
      </w:pPr>
      <w:r>
        <w:rPr>
          <w:rFonts w:cs="Arial"/>
          <w:bCs/>
          <w:iCs/>
          <w:sz w:val="20"/>
          <w:szCs w:val="20"/>
        </w:rPr>
        <w:t xml:space="preserve">Generally the IFRS reference linkbases have been used in the </w:t>
      </w:r>
      <w:r w:rsidR="006B5616">
        <w:rPr>
          <w:rFonts w:cs="Arial"/>
          <w:bCs/>
          <w:iCs/>
          <w:sz w:val="20"/>
          <w:szCs w:val="20"/>
        </w:rPr>
        <w:t xml:space="preserve">IFRS AU Taxonomy </w:t>
      </w:r>
      <w:r>
        <w:rPr>
          <w:rFonts w:cs="Arial"/>
          <w:bCs/>
          <w:iCs/>
          <w:sz w:val="20"/>
          <w:szCs w:val="20"/>
        </w:rPr>
        <w:t xml:space="preserve">“as is” unless additional Australian specific references had been added. The </w:t>
      </w:r>
      <w:r w:rsidR="00FC3CEC">
        <w:rPr>
          <w:rFonts w:cs="Arial"/>
          <w:bCs/>
          <w:iCs/>
          <w:sz w:val="20"/>
          <w:szCs w:val="20"/>
        </w:rPr>
        <w:t xml:space="preserve">IFRS AU Taxonomy </w:t>
      </w:r>
      <w:r w:rsidR="00442B0D">
        <w:rPr>
          <w:rFonts w:cs="Arial"/>
          <w:bCs/>
          <w:iCs/>
          <w:sz w:val="20"/>
          <w:szCs w:val="20"/>
        </w:rPr>
        <w:t>2025</w:t>
      </w:r>
      <w:r w:rsidR="00753C7B">
        <w:rPr>
          <w:rFonts w:cs="Arial"/>
          <w:bCs/>
          <w:iCs/>
          <w:sz w:val="20"/>
          <w:szCs w:val="20"/>
        </w:rPr>
        <w:t xml:space="preserve"> </w:t>
      </w:r>
      <w:r>
        <w:rPr>
          <w:rFonts w:cs="Arial"/>
          <w:bCs/>
          <w:iCs/>
          <w:sz w:val="20"/>
          <w:szCs w:val="20"/>
        </w:rPr>
        <w:t>Illustration (see Appendix A) provides details of the additional Australian references.</w:t>
      </w:r>
    </w:p>
    <w:p w14:paraId="460886BE" w14:textId="77777777" w:rsidR="003A2E43" w:rsidRDefault="003A2E43" w:rsidP="005819BE">
      <w:pPr>
        <w:pStyle w:val="Head3"/>
      </w:pPr>
      <w:bookmarkStart w:id="181" w:name="_Toc205457968"/>
      <w:r w:rsidRPr="005819BE">
        <w:t>Label linkbase</w:t>
      </w:r>
      <w:bookmarkEnd w:id="181"/>
    </w:p>
    <w:p w14:paraId="5025F120" w14:textId="7BAF2EC1" w:rsidR="00915BD9" w:rsidRDefault="00632C7A" w:rsidP="00140375">
      <w:pPr>
        <w:autoSpaceDE w:val="0"/>
        <w:autoSpaceDN w:val="0"/>
        <w:adjustRightInd w:val="0"/>
        <w:rPr>
          <w:rFonts w:cs="Arial"/>
          <w:bCs/>
          <w:iCs/>
          <w:sz w:val="20"/>
          <w:szCs w:val="20"/>
        </w:rPr>
      </w:pPr>
      <w:r w:rsidRPr="00140375">
        <w:rPr>
          <w:rFonts w:cs="Arial"/>
          <w:bCs/>
          <w:iCs/>
          <w:sz w:val="20"/>
          <w:szCs w:val="20"/>
        </w:rPr>
        <w:t>The</w:t>
      </w:r>
      <w:r>
        <w:rPr>
          <w:rFonts w:cs="Arial"/>
          <w:bCs/>
          <w:iCs/>
          <w:sz w:val="20"/>
          <w:szCs w:val="20"/>
        </w:rPr>
        <w:t xml:space="preserve"> </w:t>
      </w:r>
      <w:r w:rsidR="006B5616">
        <w:rPr>
          <w:rFonts w:cs="Arial"/>
          <w:bCs/>
          <w:iCs/>
          <w:sz w:val="20"/>
          <w:szCs w:val="20"/>
        </w:rPr>
        <w:t xml:space="preserve">IFRS AU Taxonomy </w:t>
      </w:r>
      <w:r w:rsidR="00140375" w:rsidRPr="00140375">
        <w:rPr>
          <w:rFonts w:cs="Arial"/>
          <w:bCs/>
          <w:iCs/>
          <w:sz w:val="20"/>
          <w:szCs w:val="20"/>
        </w:rPr>
        <w:t>defines</w:t>
      </w:r>
      <w:r w:rsidR="006E4CB1">
        <w:rPr>
          <w:rFonts w:cs="Arial"/>
          <w:bCs/>
          <w:iCs/>
          <w:sz w:val="20"/>
          <w:szCs w:val="20"/>
        </w:rPr>
        <w:t xml:space="preserve"> </w:t>
      </w:r>
      <w:r>
        <w:rPr>
          <w:rFonts w:cs="Arial"/>
          <w:bCs/>
          <w:iCs/>
          <w:sz w:val="20"/>
          <w:szCs w:val="20"/>
        </w:rPr>
        <w:t xml:space="preserve">labels </w:t>
      </w:r>
      <w:r w:rsidRPr="00140375">
        <w:rPr>
          <w:rFonts w:cs="Arial"/>
          <w:bCs/>
          <w:iCs/>
          <w:sz w:val="20"/>
          <w:szCs w:val="20"/>
        </w:rPr>
        <w:t>(</w:t>
      </w:r>
      <w:r w:rsidR="00140375" w:rsidRPr="00140375">
        <w:rPr>
          <w:rFonts w:cs="Arial"/>
          <w:bCs/>
          <w:iCs/>
          <w:sz w:val="20"/>
          <w:szCs w:val="20"/>
        </w:rPr>
        <w:t>label resources) which</w:t>
      </w:r>
      <w:r w:rsidR="003D3FF8">
        <w:rPr>
          <w:rFonts w:cs="Arial"/>
          <w:bCs/>
          <w:iCs/>
          <w:sz w:val="20"/>
          <w:szCs w:val="20"/>
        </w:rPr>
        <w:t xml:space="preserve"> are constructed according to</w:t>
      </w:r>
      <w:r w:rsidR="00985E98">
        <w:rPr>
          <w:rFonts w:cs="Arial"/>
          <w:bCs/>
          <w:iCs/>
          <w:sz w:val="20"/>
          <w:szCs w:val="20"/>
        </w:rPr>
        <w:t xml:space="preserve"> the</w:t>
      </w:r>
      <w:r w:rsidR="003D3FF8">
        <w:rPr>
          <w:rFonts w:cs="Arial"/>
          <w:bCs/>
          <w:iCs/>
          <w:sz w:val="20"/>
          <w:szCs w:val="20"/>
        </w:rPr>
        <w:t xml:space="preserve"> IFRS Style Guide</w:t>
      </w:r>
      <w:r w:rsidR="00140375" w:rsidRPr="00140375">
        <w:rPr>
          <w:rFonts w:cs="Arial"/>
          <w:bCs/>
          <w:iCs/>
          <w:sz w:val="20"/>
          <w:szCs w:val="20"/>
        </w:rPr>
        <w:t xml:space="preserve"> to</w:t>
      </w:r>
      <w:r w:rsidR="00140375">
        <w:rPr>
          <w:rFonts w:cs="Arial"/>
          <w:bCs/>
          <w:iCs/>
          <w:sz w:val="20"/>
          <w:szCs w:val="20"/>
        </w:rPr>
        <w:t xml:space="preserve"> </w:t>
      </w:r>
      <w:r w:rsidR="003D3FF8">
        <w:rPr>
          <w:rFonts w:cs="Arial"/>
          <w:bCs/>
          <w:iCs/>
          <w:sz w:val="20"/>
          <w:szCs w:val="20"/>
        </w:rPr>
        <w:t xml:space="preserve">ensure consistency. Table </w:t>
      </w:r>
      <w:r w:rsidR="0093318D">
        <w:rPr>
          <w:rFonts w:cs="Arial"/>
          <w:bCs/>
          <w:iCs/>
          <w:sz w:val="20"/>
          <w:szCs w:val="20"/>
        </w:rPr>
        <w:t xml:space="preserve">6 </w:t>
      </w:r>
      <w:r w:rsidR="003D3FF8">
        <w:rPr>
          <w:rFonts w:cs="Arial"/>
          <w:bCs/>
          <w:iCs/>
          <w:sz w:val="20"/>
          <w:szCs w:val="20"/>
        </w:rPr>
        <w:t>below</w:t>
      </w:r>
      <w:r w:rsidR="00140375" w:rsidRPr="00140375">
        <w:rPr>
          <w:rFonts w:cs="Arial"/>
          <w:bCs/>
          <w:iCs/>
          <w:sz w:val="20"/>
          <w:szCs w:val="20"/>
        </w:rPr>
        <w:t xml:space="preserve"> presents the label roles introduced in the IFRS Taxonomy. Terse label roles are used at</w:t>
      </w:r>
      <w:r w:rsidR="00140375">
        <w:rPr>
          <w:rFonts w:cs="Arial"/>
          <w:bCs/>
          <w:iCs/>
          <w:sz w:val="20"/>
          <w:szCs w:val="20"/>
        </w:rPr>
        <w:t xml:space="preserve"> </w:t>
      </w:r>
      <w:r w:rsidR="00140375" w:rsidRPr="00140375">
        <w:rPr>
          <w:rFonts w:cs="Arial"/>
          <w:bCs/>
          <w:iCs/>
          <w:sz w:val="20"/>
          <w:szCs w:val="20"/>
        </w:rPr>
        <w:t>various points in the IFRS Taxonomy to enhance readability. Total and net label roles are used to indicate calculated hierarchies</w:t>
      </w:r>
      <w:r w:rsidR="00140375">
        <w:rPr>
          <w:rFonts w:cs="Arial"/>
          <w:bCs/>
          <w:iCs/>
          <w:sz w:val="20"/>
          <w:szCs w:val="20"/>
        </w:rPr>
        <w:t xml:space="preserve"> </w:t>
      </w:r>
      <w:r w:rsidR="00140375" w:rsidRPr="00140375">
        <w:rPr>
          <w:rFonts w:cs="Arial"/>
          <w:bCs/>
          <w:iCs/>
          <w:sz w:val="20"/>
          <w:szCs w:val="20"/>
        </w:rPr>
        <w:t>in the presentation linkbase as preferred labels.</w:t>
      </w:r>
    </w:p>
    <w:p w14:paraId="5AA04B1D" w14:textId="77777777" w:rsidR="006E4CB1" w:rsidRDefault="006E4CB1" w:rsidP="00140375">
      <w:pPr>
        <w:autoSpaceDE w:val="0"/>
        <w:autoSpaceDN w:val="0"/>
        <w:adjustRightInd w:val="0"/>
        <w:rPr>
          <w:rFonts w:cs="Arial"/>
          <w:bCs/>
          <w:iCs/>
          <w:sz w:val="20"/>
          <w:szCs w:val="20"/>
        </w:rPr>
      </w:pPr>
    </w:p>
    <w:p w14:paraId="526E865A" w14:textId="77777777" w:rsidR="008B20E0" w:rsidRPr="00036A49" w:rsidRDefault="00C86678" w:rsidP="00140375">
      <w:pPr>
        <w:autoSpaceDE w:val="0"/>
        <w:autoSpaceDN w:val="0"/>
        <w:adjustRightInd w:val="0"/>
        <w:rPr>
          <w:rFonts w:cs="Arial"/>
          <w:bCs/>
          <w:iCs/>
          <w:sz w:val="20"/>
          <w:szCs w:val="20"/>
        </w:rPr>
      </w:pPr>
      <w:r w:rsidRPr="00036A49">
        <w:rPr>
          <w:rFonts w:cs="Arial"/>
          <w:bCs/>
          <w:iCs/>
          <w:sz w:val="20"/>
          <w:szCs w:val="20"/>
        </w:rPr>
        <w:t>The standard label role</w:t>
      </w:r>
      <w:r w:rsidR="006F3C1A" w:rsidRPr="00036A49">
        <w:rPr>
          <w:rFonts w:cs="Arial"/>
          <w:bCs/>
          <w:iCs/>
          <w:sz w:val="20"/>
          <w:szCs w:val="20"/>
        </w:rPr>
        <w:t>s are</w:t>
      </w:r>
      <w:r w:rsidRPr="00036A49">
        <w:rPr>
          <w:rFonts w:cs="Arial"/>
          <w:bCs/>
          <w:iCs/>
          <w:sz w:val="20"/>
          <w:szCs w:val="20"/>
        </w:rPr>
        <w:t xml:space="preserve"> used for all Australian specific elements except for the following elements for which "totalLabel" role</w:t>
      </w:r>
      <w:r w:rsidR="006F3C1A" w:rsidRPr="00036A49">
        <w:rPr>
          <w:rFonts w:cs="Arial"/>
          <w:bCs/>
          <w:iCs/>
          <w:sz w:val="20"/>
          <w:szCs w:val="20"/>
        </w:rPr>
        <w:t>s</w:t>
      </w:r>
      <w:r w:rsidRPr="00036A49">
        <w:rPr>
          <w:rFonts w:cs="Arial"/>
          <w:bCs/>
          <w:iCs/>
          <w:sz w:val="20"/>
          <w:szCs w:val="20"/>
        </w:rPr>
        <w:t xml:space="preserve"> </w:t>
      </w:r>
      <w:r w:rsidR="006F3C1A" w:rsidRPr="00036A49">
        <w:rPr>
          <w:rFonts w:cs="Arial"/>
          <w:bCs/>
          <w:iCs/>
          <w:sz w:val="20"/>
          <w:szCs w:val="20"/>
        </w:rPr>
        <w:t>are</w:t>
      </w:r>
      <w:r w:rsidRPr="00036A49">
        <w:rPr>
          <w:rFonts w:cs="Arial"/>
          <w:bCs/>
          <w:iCs/>
          <w:sz w:val="20"/>
          <w:szCs w:val="20"/>
        </w:rPr>
        <w:t xml:space="preserve"> </w:t>
      </w:r>
      <w:r w:rsidR="00A952EB" w:rsidRPr="00036A49">
        <w:rPr>
          <w:rFonts w:cs="Arial"/>
          <w:bCs/>
          <w:iCs/>
          <w:sz w:val="20"/>
          <w:szCs w:val="20"/>
        </w:rPr>
        <w:t>also applied</w:t>
      </w:r>
      <w:r w:rsidR="008B20E0" w:rsidRPr="00036A49">
        <w:rPr>
          <w:rFonts w:cs="Arial"/>
          <w:bCs/>
          <w:iCs/>
          <w:sz w:val="20"/>
          <w:szCs w:val="20"/>
        </w:rPr>
        <w:t>:</w:t>
      </w:r>
    </w:p>
    <w:p w14:paraId="75251D55" w14:textId="77777777" w:rsidR="009B77C1" w:rsidRPr="00036A49" w:rsidRDefault="00036A49" w:rsidP="00F069A2">
      <w:pPr>
        <w:pStyle w:val="ListParagraph"/>
        <w:numPr>
          <w:ilvl w:val="0"/>
          <w:numId w:val="32"/>
        </w:numPr>
        <w:autoSpaceDE w:val="0"/>
        <w:autoSpaceDN w:val="0"/>
        <w:adjustRightInd w:val="0"/>
        <w:rPr>
          <w:rFonts w:cs="Arial"/>
          <w:bCs/>
          <w:iCs/>
          <w:sz w:val="20"/>
          <w:szCs w:val="20"/>
        </w:rPr>
      </w:pPr>
      <w:r w:rsidRPr="00036A49">
        <w:rPr>
          <w:rFonts w:cs="Arial"/>
          <w:bCs/>
          <w:iCs/>
          <w:sz w:val="20"/>
          <w:szCs w:val="20"/>
        </w:rPr>
        <w:t xml:space="preserve">Total net </w:t>
      </w:r>
      <w:r w:rsidR="00AE5217" w:rsidRPr="00036A49">
        <w:rPr>
          <w:rFonts w:cs="Arial"/>
          <w:bCs/>
          <w:iCs/>
          <w:sz w:val="20"/>
          <w:szCs w:val="20"/>
        </w:rPr>
        <w:t xml:space="preserve">premium revenue, </w:t>
      </w:r>
    </w:p>
    <w:p w14:paraId="2BE342A3" w14:textId="77777777" w:rsidR="009B77C1" w:rsidRPr="00036A49" w:rsidRDefault="00036A49" w:rsidP="00F069A2">
      <w:pPr>
        <w:pStyle w:val="ListParagraph"/>
        <w:numPr>
          <w:ilvl w:val="0"/>
          <w:numId w:val="32"/>
        </w:numPr>
        <w:autoSpaceDE w:val="0"/>
        <w:autoSpaceDN w:val="0"/>
        <w:adjustRightInd w:val="0"/>
        <w:rPr>
          <w:rFonts w:cs="Arial"/>
          <w:bCs/>
          <w:iCs/>
          <w:sz w:val="20"/>
          <w:szCs w:val="20"/>
        </w:rPr>
      </w:pPr>
      <w:r w:rsidRPr="00036A49">
        <w:rPr>
          <w:rFonts w:cs="Arial"/>
          <w:bCs/>
          <w:iCs/>
          <w:sz w:val="20"/>
          <w:szCs w:val="20"/>
        </w:rPr>
        <w:t xml:space="preserve">Total net </w:t>
      </w:r>
      <w:r w:rsidR="00AE5217" w:rsidRPr="00036A49">
        <w:rPr>
          <w:rFonts w:cs="Arial"/>
          <w:bCs/>
          <w:iCs/>
          <w:sz w:val="20"/>
          <w:szCs w:val="20"/>
        </w:rPr>
        <w:t xml:space="preserve">life insurance premium revenue, </w:t>
      </w:r>
    </w:p>
    <w:p w14:paraId="48802B53" w14:textId="77777777" w:rsidR="00036A49" w:rsidRPr="00036A49" w:rsidRDefault="00036A49" w:rsidP="00F069A2">
      <w:pPr>
        <w:pStyle w:val="ListParagraph"/>
        <w:numPr>
          <w:ilvl w:val="0"/>
          <w:numId w:val="32"/>
        </w:numPr>
        <w:autoSpaceDE w:val="0"/>
        <w:autoSpaceDN w:val="0"/>
        <w:adjustRightInd w:val="0"/>
        <w:rPr>
          <w:rFonts w:cs="Arial"/>
          <w:bCs/>
          <w:iCs/>
          <w:sz w:val="20"/>
          <w:szCs w:val="20"/>
        </w:rPr>
      </w:pPr>
      <w:r w:rsidRPr="00036A49">
        <w:rPr>
          <w:rFonts w:cs="Arial"/>
          <w:bCs/>
          <w:iCs/>
          <w:sz w:val="20"/>
          <w:szCs w:val="20"/>
        </w:rPr>
        <w:t>Total underwriting result</w:t>
      </w:r>
    </w:p>
    <w:p w14:paraId="780AED42" w14:textId="77777777" w:rsidR="00036A49" w:rsidRPr="00036A49" w:rsidRDefault="00036A49" w:rsidP="00F069A2">
      <w:pPr>
        <w:pStyle w:val="ListParagraph"/>
        <w:numPr>
          <w:ilvl w:val="0"/>
          <w:numId w:val="32"/>
        </w:numPr>
        <w:autoSpaceDE w:val="0"/>
        <w:autoSpaceDN w:val="0"/>
        <w:adjustRightInd w:val="0"/>
        <w:rPr>
          <w:rFonts w:cs="Arial"/>
          <w:bCs/>
          <w:iCs/>
          <w:sz w:val="20"/>
          <w:szCs w:val="20"/>
        </w:rPr>
      </w:pPr>
      <w:r w:rsidRPr="00036A49">
        <w:rPr>
          <w:rFonts w:cs="Arial"/>
          <w:bCs/>
          <w:iCs/>
          <w:sz w:val="20"/>
          <w:szCs w:val="20"/>
        </w:rPr>
        <w:t>Total life insurance underwriting result</w:t>
      </w:r>
    </w:p>
    <w:p w14:paraId="563D0293" w14:textId="77777777" w:rsidR="00915BD9" w:rsidRDefault="00915BD9" w:rsidP="00915BD9"/>
    <w:p w14:paraId="7D989625" w14:textId="77777777" w:rsidR="009B77C1" w:rsidRDefault="00120D59" w:rsidP="00F069A2">
      <w:pPr>
        <w:pStyle w:val="ListParagraph"/>
        <w:numPr>
          <w:ilvl w:val="0"/>
          <w:numId w:val="28"/>
        </w:numPr>
        <w:rPr>
          <w:rStyle w:val="Emphasis"/>
          <w:bCs w:val="0"/>
          <w:sz w:val="18"/>
          <w:szCs w:val="18"/>
        </w:rPr>
      </w:pPr>
      <w:r w:rsidRPr="00120D59">
        <w:rPr>
          <w:rStyle w:val="Emphasis"/>
          <w:sz w:val="18"/>
          <w:szCs w:val="18"/>
        </w:rPr>
        <w:t xml:space="preserve"> Label roles</w:t>
      </w:r>
    </w:p>
    <w:tbl>
      <w:tblPr>
        <w:tblStyle w:val="TableGrid"/>
        <w:tblW w:w="0" w:type="auto"/>
        <w:tblLayout w:type="fixed"/>
        <w:tblLook w:val="04A0" w:firstRow="1" w:lastRow="0" w:firstColumn="1" w:lastColumn="0" w:noHBand="0" w:noVBand="1"/>
      </w:tblPr>
      <w:tblGrid>
        <w:gridCol w:w="3510"/>
        <w:gridCol w:w="6032"/>
      </w:tblGrid>
      <w:tr w:rsidR="00140375" w:rsidRPr="00006B5C" w14:paraId="7F4B25C3" w14:textId="77777777" w:rsidTr="00BB22F9">
        <w:trPr>
          <w:trHeight w:val="284"/>
        </w:trPr>
        <w:tc>
          <w:tcPr>
            <w:tcW w:w="3510" w:type="dxa"/>
            <w:shd w:val="clear" w:color="auto" w:fill="C6D9F1" w:themeFill="text2" w:themeFillTint="33"/>
          </w:tcPr>
          <w:p w14:paraId="61C4F3FD" w14:textId="77777777" w:rsidR="00140375" w:rsidRPr="00764F8E" w:rsidRDefault="003D3FF8" w:rsidP="00140375">
            <w:pPr>
              <w:rPr>
                <w:b/>
                <w:sz w:val="18"/>
                <w:szCs w:val="18"/>
              </w:rPr>
            </w:pPr>
            <w:r w:rsidRPr="00764F8E">
              <w:rPr>
                <w:b/>
                <w:sz w:val="18"/>
                <w:szCs w:val="18"/>
              </w:rPr>
              <w:t>Label role</w:t>
            </w:r>
          </w:p>
        </w:tc>
        <w:tc>
          <w:tcPr>
            <w:tcW w:w="6032" w:type="dxa"/>
            <w:shd w:val="clear" w:color="auto" w:fill="C6D9F1" w:themeFill="text2" w:themeFillTint="33"/>
          </w:tcPr>
          <w:p w14:paraId="5BD11623" w14:textId="77777777" w:rsidR="00140375" w:rsidRPr="00764F8E" w:rsidRDefault="00140375" w:rsidP="00140375">
            <w:pPr>
              <w:rPr>
                <w:b/>
                <w:sz w:val="18"/>
                <w:szCs w:val="18"/>
              </w:rPr>
            </w:pPr>
            <w:r w:rsidRPr="00764F8E">
              <w:rPr>
                <w:b/>
                <w:sz w:val="18"/>
                <w:szCs w:val="18"/>
              </w:rPr>
              <w:t>Use</w:t>
            </w:r>
          </w:p>
        </w:tc>
      </w:tr>
      <w:tr w:rsidR="003D3FF8" w:rsidRPr="00F5604A" w14:paraId="5B4617E3" w14:textId="77777777" w:rsidTr="00BB22F9">
        <w:trPr>
          <w:trHeight w:val="284"/>
        </w:trPr>
        <w:tc>
          <w:tcPr>
            <w:tcW w:w="3510" w:type="dxa"/>
          </w:tcPr>
          <w:p w14:paraId="00F49D02" w14:textId="77777777" w:rsidR="003D3FF8" w:rsidRPr="00764F8E" w:rsidRDefault="003D3FF8" w:rsidP="003D3FF8">
            <w:pPr>
              <w:autoSpaceDE w:val="0"/>
              <w:autoSpaceDN w:val="0"/>
              <w:adjustRightInd w:val="0"/>
              <w:rPr>
                <w:rFonts w:cs="Arial"/>
                <w:sz w:val="18"/>
                <w:szCs w:val="18"/>
              </w:rPr>
            </w:pPr>
            <w:r w:rsidRPr="00764F8E">
              <w:rPr>
                <w:rFonts w:cs="Arial"/>
                <w:sz w:val="18"/>
                <w:szCs w:val="18"/>
              </w:rPr>
              <w:t>http://www.xbrl.org/2009/role</w:t>
            </w:r>
          </w:p>
          <w:p w14:paraId="4338103F" w14:textId="77777777" w:rsidR="003D3FF8" w:rsidRPr="00764F8E" w:rsidRDefault="003D3FF8" w:rsidP="003D3FF8">
            <w:pPr>
              <w:autoSpaceDE w:val="0"/>
              <w:autoSpaceDN w:val="0"/>
              <w:adjustRightInd w:val="0"/>
              <w:rPr>
                <w:rFonts w:cs="Arial"/>
                <w:sz w:val="18"/>
                <w:szCs w:val="18"/>
              </w:rPr>
            </w:pPr>
            <w:r w:rsidRPr="00764F8E">
              <w:rPr>
                <w:rFonts w:cs="Arial"/>
                <w:sz w:val="18"/>
                <w:szCs w:val="18"/>
              </w:rPr>
              <w:t>/negatedLabel</w:t>
            </w:r>
          </w:p>
        </w:tc>
        <w:tc>
          <w:tcPr>
            <w:tcW w:w="6032" w:type="dxa"/>
            <w:vMerge w:val="restart"/>
          </w:tcPr>
          <w:p w14:paraId="58D41568" w14:textId="77777777" w:rsidR="003D3FF8" w:rsidRPr="00764F8E" w:rsidRDefault="003D3FF8" w:rsidP="00BB22F9">
            <w:pPr>
              <w:autoSpaceDE w:val="0"/>
              <w:autoSpaceDN w:val="0"/>
              <w:adjustRightInd w:val="0"/>
              <w:rPr>
                <w:rFonts w:cs="Arial"/>
                <w:sz w:val="18"/>
                <w:szCs w:val="18"/>
              </w:rPr>
            </w:pPr>
            <w:r w:rsidRPr="00764F8E">
              <w:rPr>
                <w:rFonts w:cs="Arial"/>
                <w:sz w:val="18"/>
                <w:szCs w:val="18"/>
              </w:rPr>
              <w:t>Label for a concept, when the value being presented should be negated</w:t>
            </w:r>
            <w:r w:rsidR="00BB22F9" w:rsidRPr="00764F8E">
              <w:rPr>
                <w:rFonts w:cs="Arial"/>
                <w:sz w:val="18"/>
                <w:szCs w:val="18"/>
              </w:rPr>
              <w:t xml:space="preserve"> </w:t>
            </w:r>
            <w:r w:rsidRPr="00764F8E">
              <w:rPr>
                <w:rFonts w:cs="Arial"/>
                <w:sz w:val="18"/>
                <w:szCs w:val="18"/>
              </w:rPr>
              <w:t>(sign of the value should be inverted). For example, the standard and</w:t>
            </w:r>
            <w:r w:rsidR="00BB22F9" w:rsidRPr="00764F8E">
              <w:rPr>
                <w:rFonts w:cs="Arial"/>
                <w:sz w:val="18"/>
                <w:szCs w:val="18"/>
              </w:rPr>
              <w:t xml:space="preserve"> </w:t>
            </w:r>
            <w:r w:rsidRPr="00764F8E">
              <w:rPr>
                <w:rFonts w:cs="Arial"/>
                <w:sz w:val="18"/>
                <w:szCs w:val="18"/>
              </w:rPr>
              <w:t>standard positive labels might be profit (loss) after tax and the negated</w:t>
            </w:r>
            <w:r w:rsidR="00BB22F9" w:rsidRPr="00764F8E">
              <w:rPr>
                <w:rFonts w:cs="Arial"/>
                <w:sz w:val="18"/>
                <w:szCs w:val="18"/>
              </w:rPr>
              <w:t xml:space="preserve"> </w:t>
            </w:r>
            <w:r w:rsidRPr="00764F8E">
              <w:rPr>
                <w:rFonts w:cs="Arial"/>
                <w:sz w:val="18"/>
                <w:szCs w:val="18"/>
              </w:rPr>
              <w:t>labels loss (profit) after tax.</w:t>
            </w:r>
          </w:p>
        </w:tc>
      </w:tr>
      <w:tr w:rsidR="003D3FF8" w:rsidRPr="00F5604A" w14:paraId="2389744D" w14:textId="77777777" w:rsidTr="00BB22F9">
        <w:trPr>
          <w:trHeight w:val="284"/>
        </w:trPr>
        <w:tc>
          <w:tcPr>
            <w:tcW w:w="3510" w:type="dxa"/>
          </w:tcPr>
          <w:p w14:paraId="2B0F48E4" w14:textId="77777777" w:rsidR="003D3FF8" w:rsidRPr="00764F8E" w:rsidRDefault="003D3FF8" w:rsidP="003D3FF8">
            <w:pPr>
              <w:autoSpaceDE w:val="0"/>
              <w:autoSpaceDN w:val="0"/>
              <w:adjustRightInd w:val="0"/>
              <w:rPr>
                <w:rFonts w:cs="Arial"/>
                <w:sz w:val="18"/>
                <w:szCs w:val="18"/>
              </w:rPr>
            </w:pPr>
            <w:r w:rsidRPr="00764F8E">
              <w:rPr>
                <w:rFonts w:cs="Arial"/>
                <w:sz w:val="18"/>
                <w:szCs w:val="18"/>
              </w:rPr>
              <w:t>http://www.xbrl.org/2009/role</w:t>
            </w:r>
          </w:p>
          <w:p w14:paraId="046C1C1D" w14:textId="77777777" w:rsidR="003D3FF8" w:rsidRPr="00764F8E" w:rsidRDefault="003D3FF8" w:rsidP="003D3FF8">
            <w:pPr>
              <w:autoSpaceDE w:val="0"/>
              <w:autoSpaceDN w:val="0"/>
              <w:adjustRightInd w:val="0"/>
              <w:rPr>
                <w:rFonts w:cs="Arial"/>
                <w:sz w:val="18"/>
                <w:szCs w:val="18"/>
              </w:rPr>
            </w:pPr>
            <w:r w:rsidRPr="00764F8E">
              <w:rPr>
                <w:rFonts w:cs="Arial"/>
                <w:sz w:val="18"/>
                <w:szCs w:val="18"/>
              </w:rPr>
              <w:t>/negatedTotalLabel</w:t>
            </w:r>
          </w:p>
        </w:tc>
        <w:tc>
          <w:tcPr>
            <w:tcW w:w="6032" w:type="dxa"/>
            <w:vMerge/>
          </w:tcPr>
          <w:p w14:paraId="427F2A60" w14:textId="77777777" w:rsidR="003D3FF8" w:rsidRPr="00764F8E" w:rsidRDefault="003D3FF8" w:rsidP="00140375">
            <w:pPr>
              <w:autoSpaceDE w:val="0"/>
              <w:autoSpaceDN w:val="0"/>
              <w:adjustRightInd w:val="0"/>
              <w:rPr>
                <w:rFonts w:cs="Arial"/>
                <w:sz w:val="18"/>
                <w:szCs w:val="18"/>
              </w:rPr>
            </w:pPr>
          </w:p>
        </w:tc>
      </w:tr>
      <w:tr w:rsidR="003D3FF8" w:rsidRPr="00F5604A" w14:paraId="36A132A0" w14:textId="77777777" w:rsidTr="00BB22F9">
        <w:trPr>
          <w:trHeight w:val="284"/>
        </w:trPr>
        <w:tc>
          <w:tcPr>
            <w:tcW w:w="3510" w:type="dxa"/>
          </w:tcPr>
          <w:p w14:paraId="6B3F7620" w14:textId="77777777" w:rsidR="003D3FF8" w:rsidRPr="00764F8E" w:rsidRDefault="003D3FF8" w:rsidP="003D3FF8">
            <w:pPr>
              <w:autoSpaceDE w:val="0"/>
              <w:autoSpaceDN w:val="0"/>
              <w:adjustRightInd w:val="0"/>
              <w:rPr>
                <w:rFonts w:cs="Arial"/>
                <w:sz w:val="18"/>
                <w:szCs w:val="18"/>
              </w:rPr>
            </w:pPr>
            <w:r w:rsidRPr="00764F8E">
              <w:rPr>
                <w:rFonts w:cs="Arial"/>
                <w:sz w:val="18"/>
                <w:szCs w:val="18"/>
              </w:rPr>
              <w:t>http://www.xbrl.org/2009/role</w:t>
            </w:r>
          </w:p>
          <w:p w14:paraId="7CA3A6C0" w14:textId="77777777" w:rsidR="003D3FF8" w:rsidRPr="00764F8E" w:rsidRDefault="003D3FF8" w:rsidP="003D3FF8">
            <w:pPr>
              <w:autoSpaceDE w:val="0"/>
              <w:autoSpaceDN w:val="0"/>
              <w:adjustRightInd w:val="0"/>
              <w:rPr>
                <w:rFonts w:cs="Arial"/>
                <w:sz w:val="18"/>
                <w:szCs w:val="18"/>
              </w:rPr>
            </w:pPr>
            <w:r w:rsidRPr="00764F8E">
              <w:rPr>
                <w:rFonts w:cs="Arial"/>
                <w:sz w:val="18"/>
                <w:szCs w:val="18"/>
              </w:rPr>
              <w:t>/negatedTerseLabel</w:t>
            </w:r>
          </w:p>
        </w:tc>
        <w:tc>
          <w:tcPr>
            <w:tcW w:w="6032" w:type="dxa"/>
            <w:vMerge/>
          </w:tcPr>
          <w:p w14:paraId="2D412124" w14:textId="77777777" w:rsidR="003D3FF8" w:rsidRPr="00764F8E" w:rsidRDefault="003D3FF8" w:rsidP="00140375">
            <w:pPr>
              <w:autoSpaceDE w:val="0"/>
              <w:autoSpaceDN w:val="0"/>
              <w:adjustRightInd w:val="0"/>
              <w:rPr>
                <w:rFonts w:cs="Arial"/>
                <w:sz w:val="18"/>
                <w:szCs w:val="18"/>
              </w:rPr>
            </w:pPr>
          </w:p>
        </w:tc>
      </w:tr>
      <w:tr w:rsidR="00140375" w:rsidRPr="00F5604A" w14:paraId="5E0974CC" w14:textId="77777777" w:rsidTr="00BB22F9">
        <w:trPr>
          <w:trHeight w:val="284"/>
        </w:trPr>
        <w:tc>
          <w:tcPr>
            <w:tcW w:w="3510" w:type="dxa"/>
          </w:tcPr>
          <w:p w14:paraId="61200814"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http://www.xbrl.org/2009/role</w:t>
            </w:r>
          </w:p>
          <w:p w14:paraId="24E2CCF2" w14:textId="77777777" w:rsidR="00140375" w:rsidRPr="00764F8E" w:rsidRDefault="00F5604A" w:rsidP="00F5604A">
            <w:pPr>
              <w:autoSpaceDE w:val="0"/>
              <w:autoSpaceDN w:val="0"/>
              <w:adjustRightInd w:val="0"/>
              <w:rPr>
                <w:rFonts w:cs="Arial"/>
                <w:sz w:val="18"/>
                <w:szCs w:val="18"/>
              </w:rPr>
            </w:pPr>
            <w:r w:rsidRPr="00764F8E">
              <w:rPr>
                <w:rFonts w:cs="Arial"/>
                <w:sz w:val="18"/>
                <w:szCs w:val="18"/>
              </w:rPr>
              <w:t>/netLabel</w:t>
            </w:r>
          </w:p>
        </w:tc>
        <w:tc>
          <w:tcPr>
            <w:tcW w:w="6032" w:type="dxa"/>
          </w:tcPr>
          <w:p w14:paraId="2BDD260C" w14:textId="77777777" w:rsidR="00140375" w:rsidRPr="00764F8E" w:rsidRDefault="00F5604A" w:rsidP="00BB22F9">
            <w:pPr>
              <w:autoSpaceDE w:val="0"/>
              <w:autoSpaceDN w:val="0"/>
              <w:adjustRightInd w:val="0"/>
              <w:rPr>
                <w:rFonts w:cs="Arial"/>
                <w:sz w:val="18"/>
                <w:szCs w:val="18"/>
              </w:rPr>
            </w:pPr>
            <w:r w:rsidRPr="00764F8E">
              <w:rPr>
                <w:rFonts w:cs="Arial"/>
                <w:sz w:val="18"/>
                <w:szCs w:val="18"/>
              </w:rPr>
              <w:t>The label for a concept when it is to be used to present values associated</w:t>
            </w:r>
            <w:r w:rsidR="00BB22F9" w:rsidRPr="00764F8E">
              <w:rPr>
                <w:rFonts w:cs="Arial"/>
                <w:sz w:val="18"/>
                <w:szCs w:val="18"/>
              </w:rPr>
              <w:t xml:space="preserve"> </w:t>
            </w:r>
            <w:r w:rsidRPr="00764F8E">
              <w:rPr>
                <w:rFonts w:cs="Arial"/>
                <w:sz w:val="18"/>
                <w:szCs w:val="18"/>
              </w:rPr>
              <w:t>with the concept when it is being reported as the net of a set of other</w:t>
            </w:r>
            <w:r w:rsidR="00BB22F9" w:rsidRPr="00764F8E">
              <w:rPr>
                <w:rFonts w:cs="Arial"/>
                <w:sz w:val="18"/>
                <w:szCs w:val="18"/>
              </w:rPr>
              <w:t xml:space="preserve"> </w:t>
            </w:r>
            <w:r w:rsidRPr="00764F8E">
              <w:rPr>
                <w:rFonts w:cs="Arial"/>
                <w:sz w:val="18"/>
                <w:szCs w:val="18"/>
              </w:rPr>
              <w:t>values. Net labels allow the expression of labels, other than the one to</w:t>
            </w:r>
            <w:r w:rsidR="00BB22F9" w:rsidRPr="00764F8E">
              <w:rPr>
                <w:rFonts w:cs="Arial"/>
                <w:sz w:val="18"/>
                <w:szCs w:val="18"/>
              </w:rPr>
              <w:t xml:space="preserve"> </w:t>
            </w:r>
            <w:r w:rsidRPr="00764F8E">
              <w:rPr>
                <w:rFonts w:cs="Arial"/>
                <w:sz w:val="18"/>
                <w:szCs w:val="18"/>
              </w:rPr>
              <w:t>be used as total label, if the presentation tree represents a gross/net</w:t>
            </w:r>
            <w:r w:rsidR="00BB22F9" w:rsidRPr="00764F8E">
              <w:rPr>
                <w:rFonts w:cs="Arial"/>
                <w:sz w:val="18"/>
                <w:szCs w:val="18"/>
              </w:rPr>
              <w:t xml:space="preserve"> </w:t>
            </w:r>
            <w:r w:rsidRPr="00764F8E">
              <w:rPr>
                <w:rFonts w:cs="Arial"/>
                <w:sz w:val="18"/>
                <w:szCs w:val="18"/>
              </w:rPr>
              <w:t>calculation instead of a traditional calculation roll-up. For example, the</w:t>
            </w:r>
            <w:r w:rsidR="00BB22F9" w:rsidRPr="00764F8E">
              <w:rPr>
                <w:rFonts w:cs="Arial"/>
                <w:sz w:val="18"/>
                <w:szCs w:val="18"/>
              </w:rPr>
              <w:t xml:space="preserve"> </w:t>
            </w:r>
            <w:r w:rsidRPr="00764F8E">
              <w:rPr>
                <w:rFonts w:cs="Arial"/>
                <w:sz w:val="18"/>
                <w:szCs w:val="18"/>
              </w:rPr>
              <w:t>standard label for Property, plant and equipment can have the total label</w:t>
            </w:r>
            <w:r w:rsidR="00BB22F9" w:rsidRPr="00764F8E">
              <w:rPr>
                <w:rFonts w:cs="Arial"/>
                <w:sz w:val="18"/>
                <w:szCs w:val="18"/>
              </w:rPr>
              <w:t xml:space="preserve"> </w:t>
            </w:r>
            <w:r w:rsidRPr="00764F8E">
              <w:rPr>
                <w:rFonts w:cs="Arial"/>
                <w:sz w:val="18"/>
                <w:szCs w:val="18"/>
              </w:rPr>
              <w:t>Total property, plant and equipment and the net label Net property, plant</w:t>
            </w:r>
            <w:r w:rsidR="00BB22F9" w:rsidRPr="00764F8E">
              <w:rPr>
                <w:rFonts w:cs="Arial"/>
                <w:sz w:val="18"/>
                <w:szCs w:val="18"/>
              </w:rPr>
              <w:t xml:space="preserve"> </w:t>
            </w:r>
            <w:r w:rsidRPr="00764F8E">
              <w:rPr>
                <w:rFonts w:cs="Arial"/>
                <w:sz w:val="18"/>
                <w:szCs w:val="18"/>
              </w:rPr>
              <w:t>and equipment.</w:t>
            </w:r>
          </w:p>
        </w:tc>
      </w:tr>
      <w:tr w:rsidR="00F5604A" w:rsidRPr="00F5604A" w14:paraId="50B36C49" w14:textId="77777777" w:rsidTr="00BB22F9">
        <w:trPr>
          <w:trHeight w:val="284"/>
        </w:trPr>
        <w:tc>
          <w:tcPr>
            <w:tcW w:w="3510" w:type="dxa"/>
          </w:tcPr>
          <w:p w14:paraId="2BD2992B"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http://www.xbrl.org/2009/role</w:t>
            </w:r>
          </w:p>
          <w:p w14:paraId="494ABF0B"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/deprecatedLabel</w:t>
            </w:r>
          </w:p>
        </w:tc>
        <w:tc>
          <w:tcPr>
            <w:tcW w:w="6032" w:type="dxa"/>
            <w:vMerge w:val="restart"/>
          </w:tcPr>
          <w:p w14:paraId="538FDA38" w14:textId="77777777" w:rsidR="00F5604A" w:rsidRPr="00764F8E" w:rsidRDefault="00F5604A" w:rsidP="00140375">
            <w:pPr>
              <w:autoSpaceDE w:val="0"/>
              <w:autoSpaceDN w:val="0"/>
              <w:adjustRightInd w:val="0"/>
              <w:rPr>
                <w:rFonts w:cs="Arial"/>
                <w:sz w:val="18"/>
                <w:szCs w:val="18"/>
              </w:rPr>
            </w:pPr>
            <w:r w:rsidRPr="00764F8E">
              <w:rPr>
                <w:rFonts w:cs="Arial"/>
                <w:sz w:val="18"/>
                <w:szCs w:val="18"/>
              </w:rPr>
              <w:t>The label for a concept indicating that the concept has been deprecated (used only for deprecated schema).</w:t>
            </w:r>
          </w:p>
        </w:tc>
      </w:tr>
      <w:tr w:rsidR="00F5604A" w:rsidRPr="00E75B15" w14:paraId="61AA0EE1" w14:textId="77777777" w:rsidTr="00BB22F9">
        <w:trPr>
          <w:trHeight w:val="284"/>
        </w:trPr>
        <w:tc>
          <w:tcPr>
            <w:tcW w:w="3510" w:type="dxa"/>
          </w:tcPr>
          <w:p w14:paraId="0E4E1379" w14:textId="77777777" w:rsidR="00F5604A" w:rsidRPr="00E75B15" w:rsidRDefault="00F5604A" w:rsidP="00F5604A">
            <w:pPr>
              <w:autoSpaceDE w:val="0"/>
              <w:autoSpaceDN w:val="0"/>
              <w:adjustRightInd w:val="0"/>
              <w:rPr>
                <w:rFonts w:cs="Arial"/>
                <w:sz w:val="18"/>
                <w:szCs w:val="18"/>
                <w:lang w:val="it-IT"/>
              </w:rPr>
            </w:pPr>
            <w:r w:rsidRPr="00E75B15">
              <w:rPr>
                <w:rFonts w:cs="Arial"/>
                <w:sz w:val="18"/>
                <w:szCs w:val="18"/>
                <w:lang w:val="it-IT"/>
              </w:rPr>
              <w:t xml:space="preserve">http://www.xbrl.org/2009/role </w:t>
            </w:r>
          </w:p>
          <w:p w14:paraId="644DD276" w14:textId="77777777" w:rsidR="00F5604A" w:rsidRPr="00E75B15" w:rsidRDefault="00F5604A" w:rsidP="00F5604A">
            <w:pPr>
              <w:autoSpaceDE w:val="0"/>
              <w:autoSpaceDN w:val="0"/>
              <w:adjustRightInd w:val="0"/>
              <w:rPr>
                <w:rFonts w:cs="Arial"/>
                <w:sz w:val="18"/>
                <w:szCs w:val="18"/>
                <w:lang w:val="it-IT"/>
              </w:rPr>
            </w:pPr>
            <w:r w:rsidRPr="00E75B15">
              <w:rPr>
                <w:rFonts w:cs="Arial"/>
                <w:sz w:val="18"/>
                <w:szCs w:val="18"/>
                <w:lang w:val="it-IT"/>
              </w:rPr>
              <w:t>/deprecatedDateLabel</w:t>
            </w:r>
          </w:p>
        </w:tc>
        <w:tc>
          <w:tcPr>
            <w:tcW w:w="6032" w:type="dxa"/>
            <w:vMerge/>
          </w:tcPr>
          <w:p w14:paraId="188FD9FA" w14:textId="77777777" w:rsidR="00F5604A" w:rsidRPr="00E75B15" w:rsidRDefault="00F5604A" w:rsidP="00140375">
            <w:pPr>
              <w:autoSpaceDE w:val="0"/>
              <w:autoSpaceDN w:val="0"/>
              <w:adjustRightInd w:val="0"/>
              <w:rPr>
                <w:rFonts w:cs="Arial"/>
                <w:sz w:val="18"/>
                <w:szCs w:val="18"/>
                <w:lang w:val="it-IT"/>
              </w:rPr>
            </w:pPr>
          </w:p>
        </w:tc>
      </w:tr>
      <w:tr w:rsidR="00140375" w:rsidRPr="00F5604A" w14:paraId="54044C7F" w14:textId="77777777" w:rsidTr="00BB22F9">
        <w:trPr>
          <w:trHeight w:val="284"/>
        </w:trPr>
        <w:tc>
          <w:tcPr>
            <w:tcW w:w="3510" w:type="dxa"/>
          </w:tcPr>
          <w:p w14:paraId="5409BD61" w14:textId="77777777" w:rsidR="00F5604A" w:rsidRPr="00E75B15" w:rsidRDefault="00F5604A" w:rsidP="00F5604A">
            <w:pPr>
              <w:autoSpaceDE w:val="0"/>
              <w:autoSpaceDN w:val="0"/>
              <w:adjustRightInd w:val="0"/>
              <w:rPr>
                <w:rFonts w:cs="Arial"/>
                <w:sz w:val="18"/>
                <w:szCs w:val="18"/>
                <w:lang w:val="it-IT"/>
              </w:rPr>
            </w:pPr>
            <w:r w:rsidRPr="00E75B15">
              <w:rPr>
                <w:rFonts w:cs="Arial"/>
                <w:sz w:val="18"/>
                <w:szCs w:val="18"/>
                <w:lang w:val="it-IT"/>
              </w:rPr>
              <w:t>http://www.xbrl.org/2003/role</w:t>
            </w:r>
          </w:p>
          <w:p w14:paraId="14B324CE" w14:textId="77777777" w:rsidR="00140375" w:rsidRPr="00E75B15" w:rsidRDefault="00F5604A" w:rsidP="00F5604A">
            <w:pPr>
              <w:autoSpaceDE w:val="0"/>
              <w:autoSpaceDN w:val="0"/>
              <w:adjustRightInd w:val="0"/>
              <w:rPr>
                <w:rFonts w:cs="Arial"/>
                <w:sz w:val="18"/>
                <w:szCs w:val="18"/>
                <w:lang w:val="it-IT"/>
              </w:rPr>
            </w:pPr>
            <w:r w:rsidRPr="00E75B15">
              <w:rPr>
                <w:rFonts w:cs="Arial"/>
                <w:sz w:val="18"/>
                <w:szCs w:val="18"/>
                <w:lang w:val="it-IT"/>
              </w:rPr>
              <w:t>/label</w:t>
            </w:r>
          </w:p>
        </w:tc>
        <w:tc>
          <w:tcPr>
            <w:tcW w:w="6032" w:type="dxa"/>
          </w:tcPr>
          <w:p w14:paraId="3797C243" w14:textId="77777777" w:rsidR="00140375" w:rsidRPr="00764F8E" w:rsidRDefault="00F5604A" w:rsidP="00BB22F9">
            <w:pPr>
              <w:autoSpaceDE w:val="0"/>
              <w:autoSpaceDN w:val="0"/>
              <w:adjustRightInd w:val="0"/>
              <w:rPr>
                <w:rFonts w:cs="Arial"/>
                <w:sz w:val="18"/>
                <w:szCs w:val="18"/>
              </w:rPr>
            </w:pPr>
            <w:r w:rsidRPr="00764F8E">
              <w:rPr>
                <w:rFonts w:cs="Arial"/>
                <w:sz w:val="18"/>
                <w:szCs w:val="18"/>
              </w:rPr>
              <w:t>Standard label role for a concept. The IFRS Taxonomy uses standard</w:t>
            </w:r>
            <w:r w:rsidR="00BB22F9" w:rsidRPr="00764F8E">
              <w:rPr>
                <w:rFonts w:cs="Arial"/>
                <w:sz w:val="18"/>
                <w:szCs w:val="18"/>
              </w:rPr>
              <w:t xml:space="preserve"> </w:t>
            </w:r>
            <w:r w:rsidRPr="00764F8E">
              <w:rPr>
                <w:rFonts w:cs="Arial"/>
                <w:sz w:val="18"/>
                <w:szCs w:val="18"/>
              </w:rPr>
              <w:t>labels to guarantee uniqueness of the labels</w:t>
            </w:r>
          </w:p>
        </w:tc>
      </w:tr>
      <w:tr w:rsidR="00140375" w:rsidRPr="00F5604A" w14:paraId="0A43292C" w14:textId="77777777" w:rsidTr="00BB22F9">
        <w:trPr>
          <w:trHeight w:val="284"/>
        </w:trPr>
        <w:tc>
          <w:tcPr>
            <w:tcW w:w="3510" w:type="dxa"/>
          </w:tcPr>
          <w:p w14:paraId="43F77AE7"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http://www.xbrl.org/2003/role</w:t>
            </w:r>
          </w:p>
          <w:p w14:paraId="0832D6CC" w14:textId="77777777" w:rsidR="00140375" w:rsidRPr="00764F8E" w:rsidRDefault="00F5604A" w:rsidP="00F5604A">
            <w:pPr>
              <w:autoSpaceDE w:val="0"/>
              <w:autoSpaceDN w:val="0"/>
              <w:adjustRightInd w:val="0"/>
              <w:rPr>
                <w:rFonts w:cs="Arial"/>
                <w:sz w:val="18"/>
                <w:szCs w:val="18"/>
              </w:rPr>
            </w:pPr>
            <w:r w:rsidRPr="00764F8E">
              <w:rPr>
                <w:rFonts w:cs="Arial"/>
                <w:sz w:val="18"/>
                <w:szCs w:val="18"/>
              </w:rPr>
              <w:t>/totalLabel</w:t>
            </w:r>
          </w:p>
        </w:tc>
        <w:tc>
          <w:tcPr>
            <w:tcW w:w="6032" w:type="dxa"/>
          </w:tcPr>
          <w:p w14:paraId="216712A6" w14:textId="77777777" w:rsidR="00140375" w:rsidRPr="00764F8E" w:rsidRDefault="00F5604A" w:rsidP="00BB22F9">
            <w:pPr>
              <w:autoSpaceDE w:val="0"/>
              <w:autoSpaceDN w:val="0"/>
              <w:adjustRightInd w:val="0"/>
              <w:rPr>
                <w:rFonts w:cs="Arial"/>
                <w:sz w:val="18"/>
                <w:szCs w:val="18"/>
              </w:rPr>
            </w:pPr>
            <w:r w:rsidRPr="00764F8E">
              <w:rPr>
                <w:rFonts w:cs="Arial"/>
                <w:sz w:val="18"/>
                <w:szCs w:val="18"/>
              </w:rPr>
              <w:t>The label role for a concept when it is to be used to present values</w:t>
            </w:r>
            <w:r w:rsidR="00BB22F9" w:rsidRPr="00764F8E">
              <w:rPr>
                <w:rFonts w:cs="Arial"/>
                <w:sz w:val="18"/>
                <w:szCs w:val="18"/>
              </w:rPr>
              <w:t xml:space="preserve"> </w:t>
            </w:r>
            <w:r w:rsidRPr="00764F8E">
              <w:rPr>
                <w:rFonts w:cs="Arial"/>
                <w:sz w:val="18"/>
                <w:szCs w:val="18"/>
              </w:rPr>
              <w:t>associated with the concept when it is reported as the total of a set of</w:t>
            </w:r>
            <w:r w:rsidR="00BB22F9" w:rsidRPr="00764F8E">
              <w:rPr>
                <w:rFonts w:cs="Arial"/>
                <w:sz w:val="18"/>
                <w:szCs w:val="18"/>
              </w:rPr>
              <w:t xml:space="preserve"> </w:t>
            </w:r>
            <w:r w:rsidRPr="00764F8E">
              <w:rPr>
                <w:rFonts w:cs="Arial"/>
                <w:sz w:val="18"/>
                <w:szCs w:val="18"/>
              </w:rPr>
              <w:t>other values. This role should not be used to infer semantics of facts</w:t>
            </w:r>
            <w:r w:rsidR="00BB22F9" w:rsidRPr="00764F8E">
              <w:rPr>
                <w:rFonts w:cs="Arial"/>
                <w:sz w:val="18"/>
                <w:szCs w:val="18"/>
              </w:rPr>
              <w:t xml:space="preserve"> </w:t>
            </w:r>
            <w:r w:rsidRPr="00764F8E">
              <w:rPr>
                <w:rFonts w:cs="Arial"/>
                <w:sz w:val="18"/>
                <w:szCs w:val="18"/>
              </w:rPr>
              <w:t>reported in instance documents.</w:t>
            </w:r>
          </w:p>
        </w:tc>
      </w:tr>
      <w:tr w:rsidR="00F5604A" w:rsidRPr="00F5604A" w14:paraId="4E9AF711" w14:textId="77777777" w:rsidTr="00BB22F9">
        <w:trPr>
          <w:trHeight w:val="284"/>
        </w:trPr>
        <w:tc>
          <w:tcPr>
            <w:tcW w:w="3510" w:type="dxa"/>
          </w:tcPr>
          <w:p w14:paraId="4D8F3FAC"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http://www.xbrl.org/2003/role</w:t>
            </w:r>
          </w:p>
          <w:p w14:paraId="0B8A764A"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/periodStartLabel</w:t>
            </w:r>
          </w:p>
        </w:tc>
        <w:tc>
          <w:tcPr>
            <w:tcW w:w="6032" w:type="dxa"/>
            <w:vMerge w:val="restart"/>
          </w:tcPr>
          <w:p w14:paraId="59E8AF53" w14:textId="77777777" w:rsidR="00F5604A" w:rsidRPr="00764F8E" w:rsidRDefault="00F5604A" w:rsidP="00BB22F9">
            <w:pPr>
              <w:autoSpaceDE w:val="0"/>
              <w:autoSpaceDN w:val="0"/>
              <w:adjustRightInd w:val="0"/>
              <w:rPr>
                <w:rFonts w:cs="Arial"/>
                <w:sz w:val="18"/>
                <w:szCs w:val="18"/>
              </w:rPr>
            </w:pPr>
            <w:r w:rsidRPr="00764F8E">
              <w:rPr>
                <w:rFonts w:cs="Arial"/>
                <w:sz w:val="18"/>
                <w:szCs w:val="18"/>
              </w:rPr>
              <w:t>The label role for a concept with the periodType="instant" when it is to be</w:t>
            </w:r>
            <w:r w:rsidR="00BB22F9" w:rsidRPr="00764F8E">
              <w:rPr>
                <w:rFonts w:cs="Arial"/>
                <w:sz w:val="18"/>
                <w:szCs w:val="18"/>
              </w:rPr>
              <w:t xml:space="preserve"> </w:t>
            </w:r>
            <w:r w:rsidRPr="00764F8E">
              <w:rPr>
                <w:rFonts w:cs="Arial"/>
                <w:sz w:val="18"/>
                <w:szCs w:val="18"/>
              </w:rPr>
              <w:t>used to present values associated with the concept when it is reported as</w:t>
            </w:r>
            <w:r w:rsidR="00BB22F9" w:rsidRPr="00764F8E">
              <w:rPr>
                <w:rFonts w:cs="Arial"/>
                <w:sz w:val="18"/>
                <w:szCs w:val="18"/>
              </w:rPr>
              <w:t xml:space="preserve"> </w:t>
            </w:r>
            <w:r w:rsidRPr="00764F8E">
              <w:rPr>
                <w:rFonts w:cs="Arial"/>
                <w:sz w:val="18"/>
                <w:szCs w:val="18"/>
              </w:rPr>
              <w:t>a start (end) of period value. These roles should not be used to infer</w:t>
            </w:r>
            <w:r w:rsidR="00BB22F9" w:rsidRPr="00764F8E">
              <w:rPr>
                <w:rFonts w:cs="Arial"/>
                <w:sz w:val="18"/>
                <w:szCs w:val="18"/>
              </w:rPr>
              <w:t xml:space="preserve"> </w:t>
            </w:r>
            <w:r w:rsidRPr="00764F8E">
              <w:rPr>
                <w:rFonts w:cs="Arial"/>
                <w:sz w:val="18"/>
                <w:szCs w:val="18"/>
              </w:rPr>
              <w:t>semantics of facts reported in instance documents.</w:t>
            </w:r>
          </w:p>
        </w:tc>
      </w:tr>
      <w:tr w:rsidR="00F5604A" w:rsidRPr="00F5604A" w14:paraId="0D11B07B" w14:textId="77777777" w:rsidTr="00BB22F9">
        <w:trPr>
          <w:trHeight w:val="284"/>
        </w:trPr>
        <w:tc>
          <w:tcPr>
            <w:tcW w:w="3510" w:type="dxa"/>
          </w:tcPr>
          <w:p w14:paraId="2A0520F1"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http://www.xbrl.org/2003/role</w:t>
            </w:r>
          </w:p>
          <w:p w14:paraId="21CD8842"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/periodEndLabel</w:t>
            </w:r>
          </w:p>
        </w:tc>
        <w:tc>
          <w:tcPr>
            <w:tcW w:w="6032" w:type="dxa"/>
            <w:vMerge/>
          </w:tcPr>
          <w:p w14:paraId="64F1031F" w14:textId="77777777" w:rsidR="00F5604A" w:rsidRPr="00764F8E" w:rsidRDefault="00F5604A" w:rsidP="00140375">
            <w:pPr>
              <w:autoSpaceDE w:val="0"/>
              <w:autoSpaceDN w:val="0"/>
              <w:adjustRightInd w:val="0"/>
              <w:rPr>
                <w:rFonts w:cs="Arial"/>
                <w:sz w:val="18"/>
                <w:szCs w:val="18"/>
              </w:rPr>
            </w:pPr>
          </w:p>
        </w:tc>
      </w:tr>
      <w:tr w:rsidR="00140375" w:rsidRPr="00F5604A" w14:paraId="3C7F51AF" w14:textId="77777777" w:rsidTr="00BB22F9">
        <w:trPr>
          <w:trHeight w:val="284"/>
        </w:trPr>
        <w:tc>
          <w:tcPr>
            <w:tcW w:w="3510" w:type="dxa"/>
          </w:tcPr>
          <w:p w14:paraId="7AAC0797" w14:textId="77777777" w:rsidR="00F5604A" w:rsidRPr="00764F8E" w:rsidRDefault="00F5604A" w:rsidP="00F5604A">
            <w:pPr>
              <w:autoSpaceDE w:val="0"/>
              <w:autoSpaceDN w:val="0"/>
              <w:adjustRightInd w:val="0"/>
              <w:rPr>
                <w:rFonts w:cs="Arial"/>
                <w:sz w:val="18"/>
                <w:szCs w:val="18"/>
              </w:rPr>
            </w:pPr>
            <w:r w:rsidRPr="00764F8E">
              <w:rPr>
                <w:rFonts w:cs="Arial"/>
                <w:sz w:val="18"/>
                <w:szCs w:val="18"/>
              </w:rPr>
              <w:t>http://www.xbrl.org/2003/role</w:t>
            </w:r>
          </w:p>
          <w:p w14:paraId="34AC32CD" w14:textId="77777777" w:rsidR="00140375" w:rsidRPr="00764F8E" w:rsidRDefault="00F5604A" w:rsidP="00F5604A">
            <w:pPr>
              <w:autoSpaceDE w:val="0"/>
              <w:autoSpaceDN w:val="0"/>
              <w:adjustRightInd w:val="0"/>
              <w:rPr>
                <w:rFonts w:cs="Arial"/>
                <w:sz w:val="18"/>
                <w:szCs w:val="18"/>
              </w:rPr>
            </w:pPr>
            <w:r w:rsidRPr="00764F8E">
              <w:rPr>
                <w:rFonts w:cs="Arial"/>
                <w:sz w:val="18"/>
                <w:szCs w:val="18"/>
              </w:rPr>
              <w:t>/terseLabel</w:t>
            </w:r>
          </w:p>
        </w:tc>
        <w:tc>
          <w:tcPr>
            <w:tcW w:w="6032" w:type="dxa"/>
          </w:tcPr>
          <w:p w14:paraId="4D25C18E" w14:textId="77777777" w:rsidR="00140375" w:rsidRPr="00764F8E" w:rsidRDefault="00F5604A" w:rsidP="00BB22F9">
            <w:pPr>
              <w:autoSpaceDE w:val="0"/>
              <w:autoSpaceDN w:val="0"/>
              <w:adjustRightInd w:val="0"/>
              <w:rPr>
                <w:rFonts w:cs="Arial"/>
                <w:sz w:val="18"/>
                <w:szCs w:val="18"/>
              </w:rPr>
            </w:pPr>
            <w:r w:rsidRPr="00764F8E">
              <w:rPr>
                <w:rFonts w:cs="Arial"/>
                <w:sz w:val="18"/>
                <w:szCs w:val="18"/>
              </w:rPr>
              <w:t>Short label role for a concept, often omitting text that should be inferable</w:t>
            </w:r>
            <w:r w:rsidR="00BB22F9" w:rsidRPr="00764F8E">
              <w:rPr>
                <w:rFonts w:cs="Arial"/>
                <w:sz w:val="18"/>
                <w:szCs w:val="18"/>
              </w:rPr>
              <w:t xml:space="preserve"> </w:t>
            </w:r>
            <w:r w:rsidRPr="00764F8E">
              <w:rPr>
                <w:rFonts w:cs="Arial"/>
                <w:sz w:val="18"/>
                <w:szCs w:val="18"/>
              </w:rPr>
              <w:t>when the concept is reported in the context of other related concepts.</w:t>
            </w:r>
          </w:p>
        </w:tc>
      </w:tr>
    </w:tbl>
    <w:p w14:paraId="7B6D6C08" w14:textId="77777777" w:rsidR="003A2E43" w:rsidRDefault="001808F0" w:rsidP="005819BE">
      <w:pPr>
        <w:pStyle w:val="Head3"/>
      </w:pPr>
      <w:bookmarkStart w:id="182" w:name="_Toc205457969"/>
      <w:r>
        <w:t>N</w:t>
      </w:r>
      <w:r w:rsidR="003A2E43" w:rsidRPr="005819BE">
        <w:t>egated labels</w:t>
      </w:r>
      <w:bookmarkEnd w:id="182"/>
    </w:p>
    <w:p w14:paraId="2FD6575C" w14:textId="77777777" w:rsidR="009A3114" w:rsidRDefault="00585B1B" w:rsidP="00585B1B">
      <w:pPr>
        <w:rPr>
          <w:rFonts w:cs="Arial"/>
          <w:bCs/>
          <w:iCs/>
          <w:sz w:val="20"/>
          <w:szCs w:val="20"/>
        </w:rPr>
      </w:pPr>
      <w:r w:rsidRPr="00522091">
        <w:rPr>
          <w:rFonts w:cs="Arial"/>
          <w:bCs/>
          <w:iCs/>
          <w:sz w:val="20"/>
          <w:szCs w:val="20"/>
        </w:rPr>
        <w:t>Negated labels in the IFRS Taxonomy use a set of label roles from the XBRL International Link Role Registry (LRR). The use of negated labels does not affect the sign of a reported value in XBRL. Negating a label only affects the visualisation of the reported data, it does not affect the data itself (there is no influence on the sign of reported facts). A processor should multiply the</w:t>
      </w:r>
      <w:r w:rsidR="003D0E16" w:rsidRPr="00522091">
        <w:rPr>
          <w:rFonts w:cs="Arial"/>
          <w:bCs/>
          <w:iCs/>
          <w:sz w:val="20"/>
          <w:szCs w:val="20"/>
        </w:rPr>
        <w:t xml:space="preserve"> </w:t>
      </w:r>
      <w:r w:rsidRPr="00522091">
        <w:rPr>
          <w:rFonts w:cs="Arial"/>
          <w:bCs/>
          <w:iCs/>
          <w:sz w:val="20"/>
          <w:szCs w:val="20"/>
        </w:rPr>
        <w:t>displayed amount by -1 for visu</w:t>
      </w:r>
      <w:r w:rsidR="003D0E16" w:rsidRPr="00522091">
        <w:rPr>
          <w:rFonts w:cs="Arial"/>
          <w:bCs/>
          <w:iCs/>
          <w:sz w:val="20"/>
          <w:szCs w:val="20"/>
        </w:rPr>
        <w:t xml:space="preserve">alisation purposes only. </w:t>
      </w:r>
    </w:p>
    <w:p w14:paraId="4CE21FFD" w14:textId="77777777" w:rsidR="009A3114" w:rsidRPr="00522091" w:rsidRDefault="00985E98" w:rsidP="00585B1B">
      <w:pPr>
        <w:rPr>
          <w:rFonts w:cs="Arial"/>
          <w:bCs/>
          <w:iCs/>
          <w:sz w:val="20"/>
          <w:szCs w:val="20"/>
        </w:rPr>
      </w:pPr>
      <w:r>
        <w:rPr>
          <w:rFonts w:cs="Arial"/>
          <w:bCs/>
          <w:iCs/>
          <w:sz w:val="20"/>
          <w:szCs w:val="20"/>
        </w:rPr>
        <w:t>The current release of the AU Extension does not use any negated label.</w:t>
      </w:r>
    </w:p>
    <w:p w14:paraId="19F21643" w14:textId="77777777" w:rsidR="003A2E43" w:rsidRDefault="003A2E43" w:rsidP="005819BE">
      <w:pPr>
        <w:pStyle w:val="Head3"/>
      </w:pPr>
      <w:bookmarkStart w:id="183" w:name="_Toc205457970"/>
      <w:r w:rsidRPr="005819BE">
        <w:t>Presentation linkbases</w:t>
      </w:r>
      <w:bookmarkEnd w:id="183"/>
    </w:p>
    <w:p w14:paraId="580738FD" w14:textId="77777777" w:rsidR="00665EC3" w:rsidRDefault="00665EC3" w:rsidP="00764F8E">
      <w:pPr>
        <w:autoSpaceDE w:val="0"/>
        <w:autoSpaceDN w:val="0"/>
        <w:adjustRightInd w:val="0"/>
        <w:jc w:val="both"/>
        <w:rPr>
          <w:rFonts w:cs="Arial"/>
          <w:bCs/>
          <w:iCs/>
          <w:sz w:val="20"/>
          <w:szCs w:val="20"/>
        </w:rPr>
      </w:pPr>
    </w:p>
    <w:p w14:paraId="28223753" w14:textId="77777777" w:rsidR="00C972BD" w:rsidRDefault="00E14FDE" w:rsidP="00764F8E">
      <w:pPr>
        <w:autoSpaceDE w:val="0"/>
        <w:autoSpaceDN w:val="0"/>
        <w:adjustRightInd w:val="0"/>
        <w:jc w:val="both"/>
        <w:rPr>
          <w:rFonts w:cs="Arial"/>
          <w:bCs/>
          <w:iCs/>
          <w:sz w:val="20"/>
          <w:szCs w:val="20"/>
        </w:rPr>
      </w:pPr>
      <w:r>
        <w:rPr>
          <w:rFonts w:cs="Arial"/>
          <w:bCs/>
          <w:iCs/>
          <w:sz w:val="20"/>
          <w:szCs w:val="20"/>
        </w:rPr>
        <w:t xml:space="preserve">Due to the </w:t>
      </w:r>
      <w:r w:rsidR="003B39B8">
        <w:rPr>
          <w:rFonts w:cs="Arial"/>
          <w:bCs/>
          <w:iCs/>
          <w:sz w:val="20"/>
          <w:szCs w:val="20"/>
        </w:rPr>
        <w:t xml:space="preserve">inclusion </w:t>
      </w:r>
      <w:r w:rsidR="00A867CF">
        <w:rPr>
          <w:rFonts w:cs="Arial"/>
          <w:bCs/>
          <w:iCs/>
          <w:sz w:val="20"/>
          <w:szCs w:val="20"/>
        </w:rPr>
        <w:t>of the AU elements</w:t>
      </w:r>
      <w:r w:rsidR="00C972BD">
        <w:rPr>
          <w:rFonts w:cs="Arial"/>
          <w:bCs/>
          <w:iCs/>
          <w:sz w:val="20"/>
          <w:szCs w:val="20"/>
        </w:rPr>
        <w:t xml:space="preserve">, </w:t>
      </w:r>
      <w:r w:rsidR="003B39B8">
        <w:rPr>
          <w:rFonts w:cs="Arial"/>
          <w:bCs/>
          <w:iCs/>
          <w:sz w:val="20"/>
          <w:szCs w:val="20"/>
        </w:rPr>
        <w:t>AU</w:t>
      </w:r>
      <w:r w:rsidR="00C972BD">
        <w:rPr>
          <w:rFonts w:cs="Arial"/>
          <w:bCs/>
          <w:iCs/>
          <w:sz w:val="20"/>
          <w:szCs w:val="20"/>
        </w:rPr>
        <w:t xml:space="preserve"> presentation linkbases</w:t>
      </w:r>
      <w:r w:rsidR="003B39B8">
        <w:rPr>
          <w:rFonts w:cs="Arial"/>
          <w:bCs/>
          <w:iCs/>
          <w:sz w:val="20"/>
          <w:szCs w:val="20"/>
        </w:rPr>
        <w:t xml:space="preserve"> files</w:t>
      </w:r>
      <w:r w:rsidR="00C972BD">
        <w:rPr>
          <w:rFonts w:cs="Arial"/>
          <w:bCs/>
          <w:iCs/>
          <w:sz w:val="20"/>
          <w:szCs w:val="20"/>
        </w:rPr>
        <w:t xml:space="preserve"> have been </w:t>
      </w:r>
      <w:r w:rsidR="003B39B8">
        <w:rPr>
          <w:rFonts w:cs="Arial"/>
          <w:bCs/>
          <w:iCs/>
          <w:sz w:val="20"/>
          <w:szCs w:val="20"/>
        </w:rPr>
        <w:t>created in the folder "</w:t>
      </w:r>
      <w:r w:rsidR="003B39B8" w:rsidRPr="003B39B8">
        <w:rPr>
          <w:rFonts w:cs="Arial"/>
          <w:bCs/>
          <w:iCs/>
          <w:sz w:val="20"/>
          <w:szCs w:val="20"/>
        </w:rPr>
        <w:t>au_additional_disclosures_entry_point_1</w:t>
      </w:r>
      <w:r w:rsidR="003B39B8">
        <w:rPr>
          <w:rFonts w:cs="Arial"/>
          <w:bCs/>
          <w:iCs/>
          <w:sz w:val="20"/>
          <w:szCs w:val="20"/>
        </w:rPr>
        <w:t xml:space="preserve">" to insert AU elements in the below IFRS roles: </w:t>
      </w:r>
    </w:p>
    <w:p w14:paraId="00914E64" w14:textId="77777777" w:rsidR="00C972BD" w:rsidRDefault="00C972BD" w:rsidP="00764F8E">
      <w:pPr>
        <w:autoSpaceDE w:val="0"/>
        <w:autoSpaceDN w:val="0"/>
        <w:adjustRightInd w:val="0"/>
        <w:jc w:val="both"/>
        <w:rPr>
          <w:rFonts w:cs="Arial"/>
          <w:bCs/>
          <w:iCs/>
          <w:sz w:val="20"/>
          <w:szCs w:val="20"/>
        </w:rPr>
      </w:pPr>
      <w:r w:rsidRPr="00F717FD">
        <w:rPr>
          <w:rFonts w:cs="Arial"/>
          <w:bCs/>
          <w:iCs/>
          <w:sz w:val="20"/>
          <w:szCs w:val="20"/>
        </w:rPr>
        <w:t>[822200] Notes - Exploration for and evaluation of mineral resources</w:t>
      </w:r>
    </w:p>
    <w:p w14:paraId="617910F7" w14:textId="77777777" w:rsidR="00C972BD" w:rsidRDefault="00C972BD" w:rsidP="00764F8E">
      <w:pPr>
        <w:autoSpaceDE w:val="0"/>
        <w:autoSpaceDN w:val="0"/>
        <w:adjustRightInd w:val="0"/>
        <w:jc w:val="both"/>
        <w:rPr>
          <w:rFonts w:cs="Arial"/>
          <w:bCs/>
          <w:iCs/>
          <w:sz w:val="20"/>
          <w:szCs w:val="20"/>
        </w:rPr>
      </w:pPr>
      <w:r w:rsidRPr="00F717FD">
        <w:rPr>
          <w:rFonts w:cs="Arial"/>
          <w:bCs/>
          <w:iCs/>
          <w:sz w:val="20"/>
          <w:szCs w:val="20"/>
        </w:rPr>
        <w:t>[822390] Notes - Financial instruments</w:t>
      </w:r>
    </w:p>
    <w:p w14:paraId="4514E6B0" w14:textId="77777777" w:rsidR="00C972BD" w:rsidRDefault="00C972BD" w:rsidP="00764F8E">
      <w:pPr>
        <w:autoSpaceDE w:val="0"/>
        <w:autoSpaceDN w:val="0"/>
        <w:adjustRightInd w:val="0"/>
        <w:jc w:val="both"/>
        <w:rPr>
          <w:rFonts w:cs="Arial"/>
          <w:bCs/>
          <w:iCs/>
          <w:sz w:val="20"/>
          <w:szCs w:val="20"/>
        </w:rPr>
      </w:pPr>
      <w:r w:rsidRPr="00F717FD">
        <w:rPr>
          <w:rFonts w:cs="Arial"/>
          <w:bCs/>
          <w:iCs/>
          <w:sz w:val="20"/>
          <w:szCs w:val="20"/>
        </w:rPr>
        <w:t>[800500] Notes - List of notes</w:t>
      </w:r>
    </w:p>
    <w:p w14:paraId="4DE2D809" w14:textId="77777777" w:rsidR="00C972BD" w:rsidRDefault="00C972BD" w:rsidP="00764F8E">
      <w:pPr>
        <w:autoSpaceDE w:val="0"/>
        <w:autoSpaceDN w:val="0"/>
        <w:adjustRightInd w:val="0"/>
        <w:jc w:val="both"/>
        <w:rPr>
          <w:rFonts w:cs="Arial"/>
          <w:bCs/>
          <w:iCs/>
          <w:sz w:val="20"/>
          <w:szCs w:val="20"/>
        </w:rPr>
      </w:pPr>
      <w:r w:rsidRPr="00F717FD">
        <w:rPr>
          <w:rFonts w:cs="Arial"/>
          <w:bCs/>
          <w:iCs/>
          <w:sz w:val="20"/>
          <w:szCs w:val="20"/>
        </w:rPr>
        <w:t>[810000] Notes - Corporate information and statement of IFRS compliance</w:t>
      </w:r>
    </w:p>
    <w:p w14:paraId="1286B2E7" w14:textId="77777777" w:rsidR="00C972BD" w:rsidRDefault="00C972BD" w:rsidP="00764F8E">
      <w:pPr>
        <w:autoSpaceDE w:val="0"/>
        <w:autoSpaceDN w:val="0"/>
        <w:adjustRightInd w:val="0"/>
        <w:jc w:val="both"/>
        <w:rPr>
          <w:rFonts w:cs="Arial"/>
          <w:bCs/>
          <w:iCs/>
          <w:sz w:val="20"/>
          <w:szCs w:val="20"/>
        </w:rPr>
      </w:pPr>
      <w:r w:rsidRPr="00F717FD">
        <w:rPr>
          <w:rFonts w:cs="Arial"/>
          <w:bCs/>
          <w:iCs/>
          <w:sz w:val="20"/>
          <w:szCs w:val="20"/>
        </w:rPr>
        <w:t>[880000] Notes - Additional information</w:t>
      </w:r>
    </w:p>
    <w:p w14:paraId="548A1565" w14:textId="77777777" w:rsidR="00C972BD" w:rsidRDefault="00C972BD" w:rsidP="00764F8E">
      <w:pPr>
        <w:autoSpaceDE w:val="0"/>
        <w:autoSpaceDN w:val="0"/>
        <w:adjustRightInd w:val="0"/>
        <w:jc w:val="both"/>
        <w:rPr>
          <w:rFonts w:cs="Arial"/>
          <w:bCs/>
          <w:iCs/>
          <w:sz w:val="20"/>
          <w:szCs w:val="20"/>
        </w:rPr>
      </w:pPr>
      <w:r w:rsidRPr="00F717FD">
        <w:rPr>
          <w:rFonts w:cs="Arial"/>
          <w:bCs/>
          <w:iCs/>
          <w:sz w:val="20"/>
          <w:szCs w:val="20"/>
        </w:rPr>
        <w:t>[826380] Notes – Inventories</w:t>
      </w:r>
    </w:p>
    <w:p w14:paraId="1791083D" w14:textId="77777777" w:rsidR="00C972BD" w:rsidRDefault="00C972BD" w:rsidP="00764F8E">
      <w:pPr>
        <w:autoSpaceDE w:val="0"/>
        <w:autoSpaceDN w:val="0"/>
        <w:adjustRightInd w:val="0"/>
        <w:jc w:val="both"/>
        <w:rPr>
          <w:rFonts w:cs="Arial"/>
          <w:bCs/>
          <w:iCs/>
          <w:sz w:val="20"/>
          <w:szCs w:val="20"/>
        </w:rPr>
      </w:pPr>
      <w:r w:rsidRPr="00F717FD">
        <w:rPr>
          <w:rFonts w:cs="Arial"/>
          <w:bCs/>
          <w:iCs/>
          <w:sz w:val="20"/>
          <w:szCs w:val="20"/>
        </w:rPr>
        <w:t>[851100] Notes - Cash flow statement</w:t>
      </w:r>
    </w:p>
    <w:p w14:paraId="3C441C32" w14:textId="77777777" w:rsidR="00C972BD" w:rsidRDefault="00C972BD" w:rsidP="00764F8E">
      <w:pPr>
        <w:autoSpaceDE w:val="0"/>
        <w:autoSpaceDN w:val="0"/>
        <w:adjustRightInd w:val="0"/>
        <w:jc w:val="both"/>
        <w:rPr>
          <w:rFonts w:cs="Arial"/>
          <w:bCs/>
          <w:iCs/>
          <w:sz w:val="20"/>
          <w:szCs w:val="20"/>
        </w:rPr>
      </w:pPr>
      <w:r w:rsidRPr="00F717FD">
        <w:rPr>
          <w:rFonts w:cs="Arial"/>
          <w:bCs/>
          <w:iCs/>
          <w:sz w:val="20"/>
          <w:szCs w:val="20"/>
        </w:rPr>
        <w:t>[818000] Notes - Related party</w:t>
      </w:r>
    </w:p>
    <w:p w14:paraId="7B955C01" w14:textId="77777777" w:rsidR="00AF3F39" w:rsidRDefault="00AF3F39" w:rsidP="00764F8E">
      <w:pPr>
        <w:autoSpaceDE w:val="0"/>
        <w:autoSpaceDN w:val="0"/>
        <w:adjustRightInd w:val="0"/>
        <w:jc w:val="both"/>
        <w:rPr>
          <w:rFonts w:cs="Arial"/>
          <w:bCs/>
          <w:iCs/>
          <w:sz w:val="20"/>
          <w:szCs w:val="20"/>
        </w:rPr>
      </w:pPr>
      <w:r>
        <w:rPr>
          <w:rFonts w:cs="Arial"/>
          <w:bCs/>
          <w:iCs/>
          <w:sz w:val="20"/>
          <w:szCs w:val="20"/>
        </w:rPr>
        <w:t>[</w:t>
      </w:r>
      <w:r w:rsidRPr="00F717FD">
        <w:rPr>
          <w:rFonts w:cs="Arial"/>
          <w:bCs/>
          <w:iCs/>
          <w:sz w:val="20"/>
          <w:szCs w:val="20"/>
        </w:rPr>
        <w:t>832610] Notes - Leases (IFRS 16)</w:t>
      </w:r>
    </w:p>
    <w:p w14:paraId="0AB73529" w14:textId="77777777" w:rsidR="00C972BD" w:rsidRDefault="00C972BD" w:rsidP="00764F8E">
      <w:pPr>
        <w:autoSpaceDE w:val="0"/>
        <w:autoSpaceDN w:val="0"/>
        <w:adjustRightInd w:val="0"/>
        <w:jc w:val="both"/>
        <w:rPr>
          <w:rFonts w:cs="Arial"/>
          <w:bCs/>
          <w:iCs/>
          <w:sz w:val="20"/>
          <w:szCs w:val="20"/>
        </w:rPr>
      </w:pPr>
    </w:p>
    <w:p w14:paraId="5CFC6361" w14:textId="77777777" w:rsidR="00FE347E" w:rsidRDefault="00FE347E" w:rsidP="00764F8E">
      <w:pPr>
        <w:autoSpaceDE w:val="0"/>
        <w:autoSpaceDN w:val="0"/>
        <w:adjustRightInd w:val="0"/>
        <w:jc w:val="both"/>
        <w:rPr>
          <w:rFonts w:cs="Arial"/>
          <w:bCs/>
          <w:iCs/>
          <w:sz w:val="20"/>
          <w:szCs w:val="20"/>
        </w:rPr>
      </w:pPr>
    </w:p>
    <w:p w14:paraId="597D6DDB" w14:textId="77777777" w:rsidR="00A970A9" w:rsidRDefault="00A867CF" w:rsidP="00764F8E">
      <w:pPr>
        <w:autoSpaceDE w:val="0"/>
        <w:autoSpaceDN w:val="0"/>
        <w:adjustRightInd w:val="0"/>
        <w:jc w:val="both"/>
        <w:rPr>
          <w:rFonts w:cs="Arial"/>
          <w:bCs/>
          <w:iCs/>
          <w:sz w:val="20"/>
          <w:szCs w:val="20"/>
        </w:rPr>
      </w:pPr>
      <w:r>
        <w:rPr>
          <w:rFonts w:cs="Arial"/>
          <w:bCs/>
          <w:iCs/>
          <w:sz w:val="20"/>
          <w:szCs w:val="20"/>
        </w:rPr>
        <w:t>Add</w:t>
      </w:r>
      <w:r w:rsidR="00A970A9">
        <w:rPr>
          <w:rFonts w:cs="Arial"/>
          <w:bCs/>
          <w:iCs/>
          <w:sz w:val="20"/>
          <w:szCs w:val="20"/>
        </w:rPr>
        <w:t>itional presentation linkbases have been created for the additional Australian reporting req</w:t>
      </w:r>
      <w:r w:rsidR="00BE29B7">
        <w:rPr>
          <w:rFonts w:cs="Arial"/>
          <w:bCs/>
          <w:iCs/>
          <w:sz w:val="20"/>
          <w:szCs w:val="20"/>
        </w:rPr>
        <w:t>uirements and are listed in T</w:t>
      </w:r>
      <w:r w:rsidR="00A970A9">
        <w:rPr>
          <w:rFonts w:cs="Arial"/>
          <w:bCs/>
          <w:iCs/>
          <w:sz w:val="20"/>
          <w:szCs w:val="20"/>
        </w:rPr>
        <w:t>able</w:t>
      </w:r>
      <w:r w:rsidR="00632C7A">
        <w:rPr>
          <w:rFonts w:cs="Arial"/>
          <w:bCs/>
          <w:iCs/>
          <w:sz w:val="20"/>
          <w:szCs w:val="20"/>
        </w:rPr>
        <w:t xml:space="preserve"> </w:t>
      </w:r>
      <w:r w:rsidR="0093318D">
        <w:rPr>
          <w:rFonts w:cs="Arial"/>
          <w:bCs/>
          <w:iCs/>
          <w:sz w:val="20"/>
          <w:szCs w:val="20"/>
        </w:rPr>
        <w:t xml:space="preserve">7 </w:t>
      </w:r>
      <w:r w:rsidR="00BE29B7">
        <w:rPr>
          <w:rFonts w:cs="Arial"/>
          <w:bCs/>
          <w:iCs/>
          <w:sz w:val="20"/>
          <w:szCs w:val="20"/>
        </w:rPr>
        <w:t>below.</w:t>
      </w:r>
    </w:p>
    <w:p w14:paraId="3BEC60CC" w14:textId="77777777" w:rsidR="00A970A9" w:rsidRDefault="00A970A9" w:rsidP="00E14FDE">
      <w:pPr>
        <w:autoSpaceDE w:val="0"/>
        <w:autoSpaceDN w:val="0"/>
        <w:adjustRightInd w:val="0"/>
        <w:rPr>
          <w:rFonts w:cs="Arial"/>
          <w:bCs/>
          <w:iCs/>
          <w:sz w:val="20"/>
          <w:szCs w:val="20"/>
        </w:rPr>
      </w:pPr>
    </w:p>
    <w:p w14:paraId="764A3DB6" w14:textId="77777777" w:rsidR="009B77C1" w:rsidRDefault="00BE29B7" w:rsidP="00F069A2">
      <w:pPr>
        <w:pStyle w:val="ListParagraph"/>
        <w:numPr>
          <w:ilvl w:val="0"/>
          <w:numId w:val="28"/>
        </w:numPr>
        <w:autoSpaceDE w:val="0"/>
        <w:autoSpaceDN w:val="0"/>
        <w:adjustRightInd w:val="0"/>
        <w:ind w:left="851" w:hanging="851"/>
        <w:rPr>
          <w:rFonts w:cs="Arial"/>
          <w:bCs/>
          <w:iCs/>
          <w:sz w:val="20"/>
          <w:szCs w:val="20"/>
        </w:rPr>
      </w:pPr>
      <w:r w:rsidRPr="00BE29B7">
        <w:rPr>
          <w:rStyle w:val="Emphasis"/>
          <w:bCs w:val="0"/>
          <w:sz w:val="18"/>
          <w:szCs w:val="18"/>
        </w:rPr>
        <w:t>IFRS AU – Additional presentation linkbases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4536"/>
      </w:tblGrid>
      <w:tr w:rsidR="00A970A9" w:rsidRPr="00764F8E" w14:paraId="3B9C08D2" w14:textId="77777777" w:rsidTr="00764F8E">
        <w:trPr>
          <w:trHeight w:val="340"/>
        </w:trPr>
        <w:tc>
          <w:tcPr>
            <w:tcW w:w="4706" w:type="dxa"/>
            <w:shd w:val="clear" w:color="auto" w:fill="DBE5F1" w:themeFill="accent1" w:themeFillTint="33"/>
            <w:vAlign w:val="center"/>
          </w:tcPr>
          <w:p w14:paraId="192E5386" w14:textId="038312C0" w:rsidR="00A970A9" w:rsidRPr="00764F8E" w:rsidRDefault="00FC3CEC" w:rsidP="00081FFF">
            <w:pPr>
              <w:rPr>
                <w:rFonts w:cs="Arial"/>
                <w:b/>
                <w:sz w:val="18"/>
                <w:szCs w:val="18"/>
              </w:rPr>
            </w:pPr>
            <w:r>
              <w:rPr>
                <w:rFonts w:cs="Arial"/>
                <w:b/>
                <w:sz w:val="18"/>
                <w:szCs w:val="18"/>
              </w:rPr>
              <w:t xml:space="preserve">IFRS AU Taxonomy </w:t>
            </w:r>
            <w:r w:rsidR="00442B0D">
              <w:rPr>
                <w:rFonts w:cs="Arial"/>
                <w:b/>
                <w:sz w:val="18"/>
                <w:szCs w:val="18"/>
              </w:rPr>
              <w:t>2025</w:t>
            </w:r>
            <w:r w:rsidR="00A970A9" w:rsidRPr="00764F8E">
              <w:rPr>
                <w:rFonts w:cs="Arial"/>
                <w:b/>
                <w:sz w:val="18"/>
                <w:szCs w:val="18"/>
              </w:rPr>
              <w:t xml:space="preserve"> </w:t>
            </w:r>
            <w:r w:rsidR="009A7EED" w:rsidRPr="00764F8E">
              <w:rPr>
                <w:rFonts w:cs="Arial"/>
                <w:b/>
                <w:sz w:val="18"/>
                <w:szCs w:val="18"/>
              </w:rPr>
              <w:t>a</w:t>
            </w:r>
            <w:r w:rsidR="00A970A9" w:rsidRPr="00764F8E">
              <w:rPr>
                <w:rFonts w:cs="Arial"/>
                <w:b/>
                <w:sz w:val="18"/>
                <w:szCs w:val="18"/>
              </w:rPr>
              <w:t>dditional presentation linkbases</w:t>
            </w:r>
          </w:p>
        </w:tc>
        <w:tc>
          <w:tcPr>
            <w:tcW w:w="4536" w:type="dxa"/>
            <w:shd w:val="clear" w:color="auto" w:fill="DBE5F1" w:themeFill="accent1" w:themeFillTint="33"/>
            <w:vAlign w:val="center"/>
          </w:tcPr>
          <w:p w14:paraId="2146FE71" w14:textId="77777777" w:rsidR="00A970A9" w:rsidRPr="00764F8E" w:rsidRDefault="00A970A9" w:rsidP="00764F8E">
            <w:pPr>
              <w:rPr>
                <w:rFonts w:cs="Arial"/>
                <w:b/>
                <w:sz w:val="18"/>
                <w:szCs w:val="18"/>
              </w:rPr>
            </w:pPr>
            <w:r w:rsidRPr="00764F8E">
              <w:rPr>
                <w:rFonts w:cs="Arial"/>
                <w:b/>
                <w:sz w:val="18"/>
                <w:szCs w:val="18"/>
              </w:rPr>
              <w:t>Explanations</w:t>
            </w:r>
          </w:p>
        </w:tc>
      </w:tr>
      <w:tr w:rsidR="00A970A9" w:rsidRPr="0092431D" w14:paraId="56A245A1" w14:textId="77777777" w:rsidTr="000C04A4">
        <w:trPr>
          <w:trHeight w:val="340"/>
        </w:trPr>
        <w:tc>
          <w:tcPr>
            <w:tcW w:w="4706" w:type="dxa"/>
            <w:vAlign w:val="center"/>
          </w:tcPr>
          <w:p w14:paraId="6C0B3CF9" w14:textId="342940FF" w:rsidR="00A970A9" w:rsidRPr="0092431D" w:rsidRDefault="009439BE" w:rsidP="003A5B86">
            <w:pPr>
              <w:rPr>
                <w:rFonts w:cs="Arial"/>
                <w:sz w:val="18"/>
                <w:szCs w:val="18"/>
              </w:rPr>
            </w:pPr>
            <w:r w:rsidRPr="0092431D">
              <w:rPr>
                <w:rFonts w:cs="Arial"/>
                <w:sz w:val="18"/>
                <w:szCs w:val="18"/>
              </w:rPr>
              <w:t>pre_au_extension_</w:t>
            </w:r>
            <w:r w:rsidR="009A4824">
              <w:rPr>
                <w:rFonts w:cs="Arial"/>
                <w:sz w:val="18"/>
                <w:szCs w:val="18"/>
              </w:rPr>
              <w:t>2025-08-21</w:t>
            </w:r>
            <w:r w:rsidRPr="0092431D">
              <w:rPr>
                <w:rFonts w:cs="Arial"/>
                <w:sz w:val="18"/>
                <w:szCs w:val="18"/>
              </w:rPr>
              <w:t>_role-105005.xml</w:t>
            </w:r>
          </w:p>
        </w:tc>
        <w:tc>
          <w:tcPr>
            <w:tcW w:w="4536" w:type="dxa"/>
          </w:tcPr>
          <w:p w14:paraId="062F10C0" w14:textId="77777777" w:rsidR="00A970A9" w:rsidRPr="0092431D" w:rsidRDefault="009A7EED" w:rsidP="009A7EED">
            <w:pPr>
              <w:rPr>
                <w:rFonts w:cs="Arial"/>
                <w:sz w:val="18"/>
                <w:szCs w:val="18"/>
              </w:rPr>
            </w:pPr>
            <w:r w:rsidRPr="0092431D">
              <w:rPr>
                <w:rFonts w:cs="Arial"/>
                <w:sz w:val="18"/>
                <w:szCs w:val="18"/>
              </w:rPr>
              <w:t>Includes r</w:t>
            </w:r>
            <w:r w:rsidR="00A970A9" w:rsidRPr="0092431D">
              <w:rPr>
                <w:rFonts w:cs="Arial"/>
                <w:sz w:val="18"/>
                <w:szCs w:val="18"/>
              </w:rPr>
              <w:t>eportable concepts representing financial reporting requirements provided in Corporations Act, Corporations Regulations, Auditing Standards, ASX Listing Rules and ASX Corporate Governance  Principles</w:t>
            </w:r>
          </w:p>
        </w:tc>
      </w:tr>
      <w:tr w:rsidR="003A5B86" w:rsidRPr="0092431D" w14:paraId="450CF000" w14:textId="77777777" w:rsidTr="000C04A4">
        <w:trPr>
          <w:trHeight w:val="340"/>
        </w:trPr>
        <w:tc>
          <w:tcPr>
            <w:tcW w:w="4706" w:type="dxa"/>
            <w:vAlign w:val="center"/>
          </w:tcPr>
          <w:p w14:paraId="2A560DF4" w14:textId="03195773" w:rsidR="003A5B86" w:rsidRPr="0092431D" w:rsidRDefault="003A5B86" w:rsidP="00E23EAD">
            <w:pPr>
              <w:rPr>
                <w:rFonts w:cs="Arial"/>
                <w:sz w:val="18"/>
                <w:szCs w:val="18"/>
              </w:rPr>
            </w:pPr>
            <w:r w:rsidRPr="003A5B86">
              <w:rPr>
                <w:rFonts w:cs="Arial"/>
                <w:sz w:val="18"/>
                <w:szCs w:val="18"/>
              </w:rPr>
              <w:t>pre_aasb_1058_</w:t>
            </w:r>
            <w:r w:rsidR="009A4824">
              <w:rPr>
                <w:rFonts w:cs="Arial"/>
                <w:sz w:val="18"/>
                <w:szCs w:val="18"/>
              </w:rPr>
              <w:t>2025-08-21</w:t>
            </w:r>
            <w:r w:rsidRPr="003A5B86">
              <w:rPr>
                <w:rFonts w:cs="Arial"/>
                <w:sz w:val="18"/>
                <w:szCs w:val="18"/>
              </w:rPr>
              <w:t>_role-831800.xml</w:t>
            </w:r>
          </w:p>
        </w:tc>
        <w:tc>
          <w:tcPr>
            <w:tcW w:w="4536" w:type="dxa"/>
          </w:tcPr>
          <w:p w14:paraId="426202A9" w14:textId="77777777" w:rsidR="003A5B86" w:rsidRPr="0092431D" w:rsidRDefault="003A5B86" w:rsidP="003A5B86">
            <w:pPr>
              <w:rPr>
                <w:rFonts w:cs="Arial"/>
                <w:sz w:val="18"/>
                <w:szCs w:val="18"/>
              </w:rPr>
            </w:pPr>
            <w:r>
              <w:rPr>
                <w:rFonts w:cs="Arial"/>
                <w:sz w:val="18"/>
                <w:szCs w:val="18"/>
              </w:rPr>
              <w:t>Include r</w:t>
            </w:r>
            <w:r w:rsidRPr="00F06D0D">
              <w:rPr>
                <w:rFonts w:cs="Arial"/>
                <w:sz w:val="18"/>
                <w:szCs w:val="18"/>
              </w:rPr>
              <w:t>eportable concepts for disclosures required under AASB 10</w:t>
            </w:r>
            <w:r>
              <w:rPr>
                <w:rFonts w:cs="Arial"/>
                <w:sz w:val="18"/>
                <w:szCs w:val="18"/>
              </w:rPr>
              <w:t>58</w:t>
            </w:r>
            <w:r w:rsidRPr="00F06D0D">
              <w:rPr>
                <w:rFonts w:cs="Arial"/>
                <w:sz w:val="18"/>
                <w:szCs w:val="18"/>
              </w:rPr>
              <w:t xml:space="preserve"> </w:t>
            </w:r>
            <w:r>
              <w:rPr>
                <w:rFonts w:cs="Arial"/>
                <w:sz w:val="18"/>
                <w:szCs w:val="18"/>
              </w:rPr>
              <w:t>Income of not for profit entities</w:t>
            </w:r>
            <w:r w:rsidRPr="00F06D0D">
              <w:rPr>
                <w:rFonts w:cs="Arial"/>
                <w:sz w:val="18"/>
                <w:szCs w:val="18"/>
              </w:rPr>
              <w:t xml:space="preserve"> which do</w:t>
            </w:r>
            <w:r>
              <w:rPr>
                <w:rFonts w:cs="Arial"/>
                <w:sz w:val="18"/>
                <w:szCs w:val="18"/>
              </w:rPr>
              <w:t xml:space="preserve"> </w:t>
            </w:r>
            <w:r w:rsidRPr="00F06D0D">
              <w:rPr>
                <w:rFonts w:cs="Arial"/>
                <w:sz w:val="18"/>
                <w:szCs w:val="18"/>
              </w:rPr>
              <w:t>not have a corresponding IFRS standard</w:t>
            </w:r>
          </w:p>
        </w:tc>
      </w:tr>
      <w:tr w:rsidR="00A970A9" w:rsidRPr="00764F8E" w14:paraId="2ABF5099" w14:textId="77777777" w:rsidTr="000C04A4">
        <w:trPr>
          <w:trHeight w:val="340"/>
        </w:trPr>
        <w:tc>
          <w:tcPr>
            <w:tcW w:w="4706" w:type="dxa"/>
            <w:vAlign w:val="center"/>
          </w:tcPr>
          <w:p w14:paraId="0784B156" w14:textId="7E3E3EA3" w:rsidR="009A7EED" w:rsidRPr="0092431D" w:rsidRDefault="00B000E6" w:rsidP="003A5B86">
            <w:pPr>
              <w:rPr>
                <w:rFonts w:cs="Arial"/>
                <w:sz w:val="18"/>
                <w:szCs w:val="18"/>
              </w:rPr>
            </w:pPr>
            <w:r w:rsidRPr="0092431D">
              <w:rPr>
                <w:rFonts w:cs="Arial"/>
                <w:sz w:val="18"/>
                <w:szCs w:val="18"/>
              </w:rPr>
              <w:t>pre_au_extension_</w:t>
            </w:r>
            <w:r w:rsidR="009A4824">
              <w:rPr>
                <w:rFonts w:cs="Arial"/>
                <w:sz w:val="18"/>
                <w:szCs w:val="18"/>
              </w:rPr>
              <w:t>2025-08-21</w:t>
            </w:r>
            <w:r w:rsidRPr="0092431D">
              <w:rPr>
                <w:rFonts w:cs="Arial"/>
                <w:sz w:val="18"/>
                <w:szCs w:val="18"/>
              </w:rPr>
              <w:t>_role-833000.xml</w:t>
            </w:r>
            <w:r w:rsidR="00AF3F39">
              <w:rPr>
                <w:rFonts w:cs="Arial"/>
                <w:sz w:val="18"/>
                <w:szCs w:val="18"/>
              </w:rPr>
              <w:t xml:space="preserve"> </w:t>
            </w:r>
          </w:p>
        </w:tc>
        <w:tc>
          <w:tcPr>
            <w:tcW w:w="4536" w:type="dxa"/>
          </w:tcPr>
          <w:p w14:paraId="0893D782" w14:textId="77777777" w:rsidR="00A970A9" w:rsidRPr="0092431D" w:rsidRDefault="009A7EED" w:rsidP="003A5B86">
            <w:pPr>
              <w:rPr>
                <w:rFonts w:cs="Arial"/>
                <w:sz w:val="18"/>
                <w:szCs w:val="18"/>
              </w:rPr>
            </w:pPr>
            <w:r w:rsidRPr="0092431D">
              <w:rPr>
                <w:rFonts w:cs="Arial"/>
                <w:sz w:val="18"/>
                <w:szCs w:val="18"/>
              </w:rPr>
              <w:t>Includes r</w:t>
            </w:r>
            <w:r w:rsidR="00A970A9" w:rsidRPr="0092431D">
              <w:rPr>
                <w:rFonts w:cs="Arial"/>
                <w:sz w:val="18"/>
                <w:szCs w:val="18"/>
              </w:rPr>
              <w:t>eportable concepts required when only  consolidated financial statements are prepared as required in Corporations Regulations.</w:t>
            </w:r>
          </w:p>
        </w:tc>
      </w:tr>
    </w:tbl>
    <w:p w14:paraId="023FF3DB" w14:textId="77777777" w:rsidR="00F97580" w:rsidRPr="0082589B" w:rsidRDefault="00F97580" w:rsidP="00F97580">
      <w:pPr>
        <w:pStyle w:val="Head2"/>
        <w:tabs>
          <w:tab w:val="clear" w:pos="1144"/>
          <w:tab w:val="num" w:pos="709"/>
        </w:tabs>
        <w:ind w:hanging="1144"/>
      </w:pPr>
      <w:bookmarkStart w:id="184" w:name="_Ref294704875"/>
      <w:bookmarkStart w:id="185" w:name="_Toc205457971"/>
      <w:r>
        <w:t>Dimension</w:t>
      </w:r>
      <w:r w:rsidR="0081641D">
        <w:t>s</w:t>
      </w:r>
      <w:r>
        <w:t xml:space="preserve"> Specification</w:t>
      </w:r>
      <w:bookmarkEnd w:id="184"/>
      <w:bookmarkEnd w:id="185"/>
    </w:p>
    <w:p w14:paraId="6A7AB7CD" w14:textId="77777777" w:rsidR="00AC4873" w:rsidRPr="00F0348F" w:rsidRDefault="00AC4873" w:rsidP="00AC4873">
      <w:pPr>
        <w:rPr>
          <w:rFonts w:cs="Arial"/>
          <w:bCs/>
          <w:iCs/>
          <w:sz w:val="20"/>
          <w:szCs w:val="20"/>
        </w:rPr>
      </w:pPr>
      <w:r w:rsidRPr="00F0348F">
        <w:rPr>
          <w:rFonts w:cs="Arial"/>
          <w:bCs/>
          <w:iCs/>
          <w:sz w:val="20"/>
          <w:szCs w:val="20"/>
        </w:rPr>
        <w:t>The</w:t>
      </w:r>
      <w:r w:rsidR="00F0348F">
        <w:rPr>
          <w:rFonts w:cs="Arial"/>
          <w:bCs/>
          <w:iCs/>
          <w:sz w:val="20"/>
          <w:szCs w:val="20"/>
        </w:rPr>
        <w:t xml:space="preserve"> </w:t>
      </w:r>
      <w:r w:rsidR="006B5616">
        <w:rPr>
          <w:rFonts w:cs="Arial"/>
          <w:bCs/>
          <w:iCs/>
          <w:sz w:val="20"/>
          <w:szCs w:val="20"/>
        </w:rPr>
        <w:t xml:space="preserve">IFRS AU Taxonomy </w:t>
      </w:r>
      <w:r w:rsidRPr="00F0348F">
        <w:rPr>
          <w:rFonts w:cs="Arial"/>
          <w:bCs/>
          <w:iCs/>
          <w:sz w:val="20"/>
          <w:szCs w:val="20"/>
        </w:rPr>
        <w:t xml:space="preserve">implementation of dimensional hypercubes uses </w:t>
      </w:r>
      <w:r w:rsidR="0081641D">
        <w:rPr>
          <w:rFonts w:cs="Arial"/>
          <w:bCs/>
          <w:iCs/>
          <w:sz w:val="20"/>
          <w:szCs w:val="20"/>
        </w:rPr>
        <w:t xml:space="preserve">only </w:t>
      </w:r>
      <w:r w:rsidRPr="00F0348F">
        <w:rPr>
          <w:rFonts w:cs="Arial"/>
          <w:bCs/>
          <w:iCs/>
          <w:sz w:val="20"/>
          <w:szCs w:val="20"/>
        </w:rPr>
        <w:t>positive hypercubes</w:t>
      </w:r>
      <w:r w:rsidR="0081641D">
        <w:rPr>
          <w:rFonts w:cs="Arial"/>
          <w:bCs/>
          <w:iCs/>
          <w:sz w:val="20"/>
          <w:szCs w:val="20"/>
        </w:rPr>
        <w:t xml:space="preserve"> for consistency with the approach used in the IFRS Taxonomy design</w:t>
      </w:r>
      <w:r w:rsidR="00F0348F">
        <w:rPr>
          <w:rFonts w:cs="Arial"/>
          <w:bCs/>
          <w:iCs/>
          <w:sz w:val="20"/>
          <w:szCs w:val="20"/>
        </w:rPr>
        <w:t>.</w:t>
      </w:r>
    </w:p>
    <w:p w14:paraId="00EA29DE" w14:textId="77777777" w:rsidR="00AC4873" w:rsidRPr="00F0348F" w:rsidRDefault="00AC4873" w:rsidP="00AC4873">
      <w:pPr>
        <w:rPr>
          <w:rFonts w:cs="Arial"/>
          <w:bCs/>
          <w:iCs/>
          <w:sz w:val="20"/>
          <w:szCs w:val="20"/>
        </w:rPr>
      </w:pPr>
    </w:p>
    <w:p w14:paraId="3254CD77" w14:textId="648BE0D1" w:rsidR="00AC4873" w:rsidRPr="00F0348F" w:rsidRDefault="00AC4873" w:rsidP="00AC4873">
      <w:pPr>
        <w:rPr>
          <w:sz w:val="20"/>
          <w:szCs w:val="20"/>
        </w:rPr>
      </w:pPr>
      <w:r w:rsidRPr="00F0348F">
        <w:rPr>
          <w:sz w:val="20"/>
          <w:szCs w:val="20"/>
        </w:rPr>
        <w:t xml:space="preserve">The </w:t>
      </w:r>
      <w:r w:rsidR="00FC3CEC">
        <w:rPr>
          <w:sz w:val="20"/>
          <w:szCs w:val="20"/>
        </w:rPr>
        <w:t xml:space="preserve">IFRS Taxonomy </w:t>
      </w:r>
      <w:r w:rsidR="00442B0D">
        <w:rPr>
          <w:sz w:val="20"/>
          <w:szCs w:val="20"/>
        </w:rPr>
        <w:t>2025</w:t>
      </w:r>
      <w:r w:rsidRPr="00F0348F">
        <w:rPr>
          <w:sz w:val="20"/>
          <w:szCs w:val="20"/>
        </w:rPr>
        <w:t xml:space="preserve"> contains two types of dimensions – 'applied' dimension/axis, and 'for application' dimensions/axis. All dimensions in the </w:t>
      </w:r>
      <w:r w:rsidR="00FC3CEC">
        <w:rPr>
          <w:sz w:val="20"/>
          <w:szCs w:val="20"/>
        </w:rPr>
        <w:t xml:space="preserve">IFRS AU Taxonomy </w:t>
      </w:r>
      <w:r w:rsidR="00442B0D">
        <w:rPr>
          <w:sz w:val="20"/>
          <w:szCs w:val="20"/>
        </w:rPr>
        <w:t>2025</w:t>
      </w:r>
      <w:r w:rsidR="00753C7B" w:rsidRPr="00F0348F">
        <w:rPr>
          <w:sz w:val="20"/>
          <w:szCs w:val="20"/>
        </w:rPr>
        <w:t xml:space="preserve"> </w:t>
      </w:r>
      <w:r w:rsidRPr="00F0348F">
        <w:rPr>
          <w:sz w:val="20"/>
          <w:szCs w:val="20"/>
        </w:rPr>
        <w:t>are 'applied' dimensions</w:t>
      </w:r>
      <w:r w:rsidR="009D34E6" w:rsidRPr="00F0348F">
        <w:rPr>
          <w:sz w:val="20"/>
          <w:szCs w:val="20"/>
        </w:rPr>
        <w:t xml:space="preserve">. The dimensions 'for application' </w:t>
      </w:r>
      <w:r w:rsidRPr="00F0348F">
        <w:rPr>
          <w:sz w:val="20"/>
          <w:szCs w:val="20"/>
        </w:rPr>
        <w:t>are not supported</w:t>
      </w:r>
      <w:r w:rsidR="00F0348F">
        <w:rPr>
          <w:sz w:val="20"/>
          <w:szCs w:val="20"/>
        </w:rPr>
        <w:t xml:space="preserve"> in the Australian extension</w:t>
      </w:r>
      <w:r w:rsidRPr="00F0348F">
        <w:rPr>
          <w:sz w:val="20"/>
          <w:szCs w:val="20"/>
        </w:rPr>
        <w:t xml:space="preserve"> due to </w:t>
      </w:r>
      <w:r w:rsidR="00517C8E">
        <w:rPr>
          <w:sz w:val="20"/>
          <w:szCs w:val="20"/>
        </w:rPr>
        <w:t xml:space="preserve">the fact that the </w:t>
      </w:r>
      <w:r w:rsidR="003479AC">
        <w:rPr>
          <w:sz w:val="20"/>
          <w:szCs w:val="20"/>
        </w:rPr>
        <w:t>preparer extensions</w:t>
      </w:r>
      <w:r w:rsidR="009D34E6" w:rsidRPr="00F0348F">
        <w:rPr>
          <w:sz w:val="20"/>
          <w:szCs w:val="20"/>
        </w:rPr>
        <w:t xml:space="preserve"> </w:t>
      </w:r>
      <w:r w:rsidR="00517C8E">
        <w:rPr>
          <w:sz w:val="20"/>
          <w:szCs w:val="20"/>
        </w:rPr>
        <w:t xml:space="preserve">are not </w:t>
      </w:r>
      <w:r w:rsidR="009D34E6" w:rsidRPr="00F0348F">
        <w:rPr>
          <w:sz w:val="20"/>
          <w:szCs w:val="20"/>
        </w:rPr>
        <w:t>allowed at this time</w:t>
      </w:r>
      <w:r w:rsidR="0081641D">
        <w:rPr>
          <w:sz w:val="20"/>
          <w:szCs w:val="20"/>
        </w:rPr>
        <w:t xml:space="preserve"> and therefore it would not be possible to create new tables to apply those dimensions.</w:t>
      </w:r>
    </w:p>
    <w:p w14:paraId="7A5B2153" w14:textId="77777777" w:rsidR="00AC4873" w:rsidRPr="00F0348F" w:rsidRDefault="00AC4873" w:rsidP="00AC4873">
      <w:pPr>
        <w:rPr>
          <w:b/>
        </w:rPr>
      </w:pPr>
    </w:p>
    <w:p w14:paraId="151A635B" w14:textId="77777777" w:rsidR="00AC4873" w:rsidRPr="00E231F2" w:rsidRDefault="00AC4873" w:rsidP="00E231F2">
      <w:pPr>
        <w:pStyle w:val="Head3"/>
      </w:pPr>
      <w:bookmarkStart w:id="186" w:name="_Toc205457972"/>
      <w:r w:rsidRPr="00E231F2">
        <w:t>"Applied" dimensions</w:t>
      </w:r>
      <w:bookmarkEnd w:id="186"/>
    </w:p>
    <w:p w14:paraId="30624F09" w14:textId="4288FAF0" w:rsidR="00AC4873" w:rsidRPr="007E3E0D" w:rsidRDefault="004E6E28" w:rsidP="00AC4873">
      <w:pPr>
        <w:rPr>
          <w:sz w:val="20"/>
          <w:szCs w:val="20"/>
        </w:rPr>
      </w:pPr>
      <w:r>
        <w:rPr>
          <w:sz w:val="20"/>
          <w:szCs w:val="20"/>
        </w:rPr>
        <w:t xml:space="preserve">The </w:t>
      </w:r>
      <w:r w:rsidR="00FC3CEC">
        <w:rPr>
          <w:sz w:val="20"/>
          <w:szCs w:val="20"/>
        </w:rPr>
        <w:t xml:space="preserve">IFRS AU Taxonomy </w:t>
      </w:r>
      <w:r w:rsidR="00442B0D">
        <w:rPr>
          <w:sz w:val="20"/>
          <w:szCs w:val="20"/>
        </w:rPr>
        <w:t>2025</w:t>
      </w:r>
      <w:r w:rsidR="00753C7B">
        <w:rPr>
          <w:sz w:val="20"/>
          <w:szCs w:val="20"/>
        </w:rPr>
        <w:t xml:space="preserve"> </w:t>
      </w:r>
      <w:r w:rsidR="00517C8E">
        <w:rPr>
          <w:sz w:val="20"/>
          <w:szCs w:val="20"/>
        </w:rPr>
        <w:t>has implemented all of the ‘applied’ dimensions available in</w:t>
      </w:r>
      <w:r>
        <w:rPr>
          <w:sz w:val="20"/>
          <w:szCs w:val="20"/>
        </w:rPr>
        <w:t xml:space="preserve"> the</w:t>
      </w:r>
      <w:r w:rsidR="00517C8E">
        <w:rPr>
          <w:sz w:val="20"/>
          <w:szCs w:val="20"/>
        </w:rPr>
        <w:t xml:space="preserve"> IFRS Taxonomy. </w:t>
      </w:r>
      <w:r w:rsidR="00C53FD2">
        <w:rPr>
          <w:sz w:val="20"/>
          <w:szCs w:val="20"/>
        </w:rPr>
        <w:t>However,</w:t>
      </w:r>
      <w:r w:rsidR="00120D59">
        <w:rPr>
          <w:sz w:val="20"/>
          <w:szCs w:val="20"/>
        </w:rPr>
        <w:t xml:space="preserve"> it is recognised that </w:t>
      </w:r>
      <w:r w:rsidR="00870088">
        <w:rPr>
          <w:sz w:val="20"/>
          <w:szCs w:val="20"/>
        </w:rPr>
        <w:t xml:space="preserve">some 'applied' dimensions provided in </w:t>
      </w:r>
      <w:r w:rsidR="00FC3CEC">
        <w:rPr>
          <w:sz w:val="20"/>
          <w:szCs w:val="20"/>
        </w:rPr>
        <w:t xml:space="preserve">IFRS Taxonomy </w:t>
      </w:r>
      <w:r w:rsidR="00442B0D">
        <w:rPr>
          <w:sz w:val="20"/>
          <w:szCs w:val="20"/>
        </w:rPr>
        <w:t>2025</w:t>
      </w:r>
      <w:r w:rsidR="00753C7B">
        <w:rPr>
          <w:sz w:val="20"/>
          <w:szCs w:val="20"/>
        </w:rPr>
        <w:t xml:space="preserve"> </w:t>
      </w:r>
      <w:r w:rsidR="00AC4873" w:rsidRPr="00F0348F">
        <w:rPr>
          <w:sz w:val="20"/>
          <w:szCs w:val="20"/>
        </w:rPr>
        <w:t xml:space="preserve">have to be extended by entities in order to be effectively used. </w:t>
      </w:r>
      <w:r w:rsidR="00570127">
        <w:rPr>
          <w:sz w:val="20"/>
          <w:szCs w:val="20"/>
        </w:rPr>
        <w:t>Examples</w:t>
      </w:r>
      <w:r w:rsidR="00946F23" w:rsidRPr="00F0348F">
        <w:rPr>
          <w:sz w:val="20"/>
          <w:szCs w:val="20"/>
        </w:rPr>
        <w:t xml:space="preserve"> </w:t>
      </w:r>
      <w:r w:rsidR="00AC4873" w:rsidRPr="00F0348F">
        <w:rPr>
          <w:sz w:val="20"/>
          <w:szCs w:val="20"/>
        </w:rPr>
        <w:t xml:space="preserve">of </w:t>
      </w:r>
      <w:r w:rsidR="00120D59">
        <w:rPr>
          <w:sz w:val="20"/>
          <w:szCs w:val="20"/>
        </w:rPr>
        <w:t xml:space="preserve">‘applied’ </w:t>
      </w:r>
      <w:r w:rsidR="00AC4873" w:rsidRPr="00F0348F">
        <w:rPr>
          <w:sz w:val="20"/>
          <w:szCs w:val="20"/>
        </w:rPr>
        <w:t xml:space="preserve">dimensions </w:t>
      </w:r>
      <w:r w:rsidR="00120D59">
        <w:rPr>
          <w:sz w:val="20"/>
          <w:szCs w:val="20"/>
        </w:rPr>
        <w:t xml:space="preserve">that </w:t>
      </w:r>
      <w:r w:rsidR="00870088">
        <w:rPr>
          <w:sz w:val="20"/>
          <w:szCs w:val="20"/>
        </w:rPr>
        <w:t>may</w:t>
      </w:r>
      <w:r w:rsidR="00120D59">
        <w:rPr>
          <w:sz w:val="20"/>
          <w:szCs w:val="20"/>
        </w:rPr>
        <w:t xml:space="preserve"> require </w:t>
      </w:r>
      <w:r w:rsidR="003479AC">
        <w:rPr>
          <w:sz w:val="20"/>
          <w:szCs w:val="20"/>
        </w:rPr>
        <w:t>preparer extensions</w:t>
      </w:r>
      <w:r w:rsidR="00120D59">
        <w:rPr>
          <w:sz w:val="20"/>
          <w:szCs w:val="20"/>
        </w:rPr>
        <w:t xml:space="preserve"> and the</w:t>
      </w:r>
      <w:r w:rsidR="00AC4873" w:rsidRPr="00F0348F">
        <w:rPr>
          <w:sz w:val="20"/>
          <w:szCs w:val="20"/>
        </w:rPr>
        <w:t xml:space="preserve"> rationale for extending</w:t>
      </w:r>
      <w:r w:rsidR="00BE29B7">
        <w:rPr>
          <w:sz w:val="20"/>
          <w:szCs w:val="20"/>
        </w:rPr>
        <w:t xml:space="preserve"> </w:t>
      </w:r>
      <w:r w:rsidR="00870088">
        <w:rPr>
          <w:sz w:val="20"/>
          <w:szCs w:val="20"/>
        </w:rPr>
        <w:t>is provided</w:t>
      </w:r>
      <w:r w:rsidR="00BE29B7">
        <w:rPr>
          <w:sz w:val="20"/>
          <w:szCs w:val="20"/>
        </w:rPr>
        <w:t xml:space="preserve"> in Table </w:t>
      </w:r>
      <w:r w:rsidR="00384BF5">
        <w:rPr>
          <w:sz w:val="20"/>
          <w:szCs w:val="20"/>
        </w:rPr>
        <w:t>8</w:t>
      </w:r>
      <w:r w:rsidR="0093318D">
        <w:rPr>
          <w:sz w:val="20"/>
          <w:szCs w:val="20"/>
        </w:rPr>
        <w:t xml:space="preserve"> </w:t>
      </w:r>
      <w:r w:rsidR="00BE29B7">
        <w:rPr>
          <w:sz w:val="20"/>
          <w:szCs w:val="20"/>
        </w:rPr>
        <w:t>below.</w:t>
      </w:r>
    </w:p>
    <w:p w14:paraId="467ECFDB" w14:textId="77777777" w:rsidR="00BE29B7" w:rsidRPr="00BE29B7" w:rsidRDefault="00BE29B7" w:rsidP="00BE29B7">
      <w:pPr>
        <w:rPr>
          <w:rStyle w:val="Emphasis"/>
          <w:b w:val="0"/>
          <w:bCs w:val="0"/>
        </w:rPr>
      </w:pPr>
    </w:p>
    <w:p w14:paraId="09F8D842" w14:textId="77777777" w:rsidR="009B77C1" w:rsidRDefault="00BE29B7" w:rsidP="00F069A2">
      <w:pPr>
        <w:pStyle w:val="ListParagraph"/>
        <w:numPr>
          <w:ilvl w:val="0"/>
          <w:numId w:val="28"/>
        </w:numPr>
        <w:autoSpaceDE w:val="0"/>
        <w:autoSpaceDN w:val="0"/>
        <w:adjustRightInd w:val="0"/>
        <w:ind w:left="851" w:hanging="851"/>
      </w:pPr>
      <w:r>
        <w:rPr>
          <w:rStyle w:val="Emphasis"/>
          <w:bCs w:val="0"/>
          <w:sz w:val="18"/>
          <w:szCs w:val="18"/>
        </w:rPr>
        <w:t>Examples of ‘applied’ dimensions requiring extensions</w:t>
      </w:r>
    </w:p>
    <w:tbl>
      <w:tblPr>
        <w:tblW w:w="9420"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100"/>
        <w:gridCol w:w="2840"/>
        <w:gridCol w:w="4480"/>
      </w:tblGrid>
      <w:tr w:rsidR="00AC4873" w:rsidRPr="00764F8E" w14:paraId="5637EDDD" w14:textId="77777777" w:rsidTr="00764F8E">
        <w:trPr>
          <w:trHeight w:val="480"/>
          <w:tblHeader/>
        </w:trPr>
        <w:tc>
          <w:tcPr>
            <w:tcW w:w="2100" w:type="dxa"/>
            <w:shd w:val="clear" w:color="auto" w:fill="DBE5F1" w:themeFill="accent1" w:themeFillTint="33"/>
            <w:hideMark/>
          </w:tcPr>
          <w:p w14:paraId="2A8D0B55" w14:textId="77777777" w:rsidR="00AC4873" w:rsidRPr="00764F8E" w:rsidRDefault="007E3E0D" w:rsidP="00AC4873">
            <w:pPr>
              <w:rPr>
                <w:rFonts w:cs="Arial"/>
                <w:b/>
                <w:bCs/>
                <w:sz w:val="18"/>
                <w:szCs w:val="18"/>
              </w:rPr>
            </w:pPr>
            <w:r w:rsidRPr="00764F8E">
              <w:rPr>
                <w:rFonts w:cs="Arial"/>
                <w:b/>
                <w:bCs/>
                <w:sz w:val="18"/>
                <w:szCs w:val="18"/>
                <w:lang w:val="en-US"/>
              </w:rPr>
              <w:t>Extended Link Role</w:t>
            </w:r>
            <w:r w:rsidR="00410354">
              <w:rPr>
                <w:rFonts w:cs="Arial"/>
                <w:b/>
                <w:bCs/>
                <w:sz w:val="18"/>
                <w:szCs w:val="18"/>
                <w:lang w:val="en-US"/>
              </w:rPr>
              <w:t xml:space="preserve"> in the IFRS definition linkbase</w:t>
            </w:r>
          </w:p>
        </w:tc>
        <w:tc>
          <w:tcPr>
            <w:tcW w:w="2840" w:type="dxa"/>
            <w:shd w:val="clear" w:color="auto" w:fill="DBE5F1" w:themeFill="accent1" w:themeFillTint="33"/>
            <w:hideMark/>
          </w:tcPr>
          <w:p w14:paraId="7FF88DEC" w14:textId="77777777" w:rsidR="00AC4873" w:rsidRPr="00764F8E" w:rsidRDefault="00AC4873" w:rsidP="00AC4873">
            <w:pPr>
              <w:rPr>
                <w:rFonts w:cs="Arial"/>
                <w:b/>
                <w:bCs/>
                <w:sz w:val="18"/>
                <w:szCs w:val="18"/>
              </w:rPr>
            </w:pPr>
            <w:r w:rsidRPr="00764F8E">
              <w:rPr>
                <w:rFonts w:cs="Arial"/>
                <w:b/>
                <w:bCs/>
                <w:sz w:val="18"/>
                <w:szCs w:val="18"/>
                <w:lang w:val="en-US"/>
              </w:rPr>
              <w:t>[Member] that requires extending</w:t>
            </w:r>
          </w:p>
        </w:tc>
        <w:tc>
          <w:tcPr>
            <w:tcW w:w="4480" w:type="dxa"/>
            <w:shd w:val="clear" w:color="auto" w:fill="DBE5F1" w:themeFill="accent1" w:themeFillTint="33"/>
            <w:hideMark/>
          </w:tcPr>
          <w:p w14:paraId="7D6992F6" w14:textId="77777777" w:rsidR="00AC4873" w:rsidRPr="00764F8E" w:rsidRDefault="00AC4873" w:rsidP="00AC4873">
            <w:pPr>
              <w:rPr>
                <w:rFonts w:cs="Arial"/>
                <w:b/>
                <w:bCs/>
                <w:sz w:val="18"/>
                <w:szCs w:val="18"/>
              </w:rPr>
            </w:pPr>
            <w:r w:rsidRPr="00764F8E">
              <w:rPr>
                <w:rFonts w:cs="Arial"/>
                <w:b/>
                <w:bCs/>
                <w:sz w:val="18"/>
                <w:szCs w:val="18"/>
                <w:lang w:val="en-US"/>
              </w:rPr>
              <w:t>Reasons for extending</w:t>
            </w:r>
          </w:p>
        </w:tc>
      </w:tr>
      <w:tr w:rsidR="00410354" w:rsidRPr="00764F8E" w14:paraId="1D771618" w14:textId="77777777" w:rsidTr="00AF3F39">
        <w:trPr>
          <w:trHeight w:val="1030"/>
        </w:trPr>
        <w:tc>
          <w:tcPr>
            <w:tcW w:w="2100" w:type="dxa"/>
            <w:shd w:val="clear" w:color="auto" w:fill="auto"/>
            <w:hideMark/>
          </w:tcPr>
          <w:p w14:paraId="3AAD12EC" w14:textId="77777777" w:rsidR="00410354" w:rsidRPr="00764F8E" w:rsidRDefault="00410354" w:rsidP="00D67ACC">
            <w:pPr>
              <w:rPr>
                <w:rFonts w:cs="Arial"/>
                <w:sz w:val="18"/>
                <w:szCs w:val="18"/>
              </w:rPr>
            </w:pPr>
            <w:r w:rsidRPr="00764F8E">
              <w:rPr>
                <w:rFonts w:cs="Arial"/>
                <w:sz w:val="18"/>
                <w:szCs w:val="18"/>
                <w:lang w:val="en-US"/>
              </w:rPr>
              <w:t>[817</w:t>
            </w:r>
            <w:r>
              <w:rPr>
                <w:rFonts w:cs="Arial"/>
                <w:sz w:val="18"/>
                <w:szCs w:val="18"/>
                <w:lang w:val="en-US"/>
              </w:rPr>
              <w:t>0</w:t>
            </w:r>
            <w:r w:rsidRPr="00764F8E">
              <w:rPr>
                <w:rFonts w:cs="Arial"/>
                <w:sz w:val="18"/>
                <w:szCs w:val="18"/>
                <w:lang w:val="en-US"/>
              </w:rPr>
              <w:t>00] Notes - Business Combinations</w:t>
            </w:r>
          </w:p>
        </w:tc>
        <w:tc>
          <w:tcPr>
            <w:tcW w:w="2840" w:type="dxa"/>
            <w:shd w:val="clear" w:color="auto" w:fill="auto"/>
            <w:hideMark/>
          </w:tcPr>
          <w:p w14:paraId="1CBBC732" w14:textId="77777777" w:rsidR="00410354" w:rsidRPr="00764F8E" w:rsidRDefault="00410354" w:rsidP="00AC4873">
            <w:pPr>
              <w:rPr>
                <w:rFonts w:cs="Arial"/>
                <w:color w:val="000000" w:themeColor="text1"/>
                <w:sz w:val="18"/>
                <w:szCs w:val="18"/>
              </w:rPr>
            </w:pPr>
            <w:r w:rsidRPr="00764F8E">
              <w:rPr>
                <w:rFonts w:cs="Arial"/>
                <w:color w:val="000000" w:themeColor="text1"/>
                <w:sz w:val="18"/>
                <w:szCs w:val="18"/>
                <w:lang w:val="en-US"/>
              </w:rPr>
              <w:t>Business combinations [member]</w:t>
            </w:r>
          </w:p>
        </w:tc>
        <w:tc>
          <w:tcPr>
            <w:tcW w:w="4480" w:type="dxa"/>
            <w:shd w:val="clear" w:color="auto" w:fill="auto"/>
            <w:hideMark/>
          </w:tcPr>
          <w:p w14:paraId="6AD58C5F" w14:textId="77777777" w:rsidR="00410354" w:rsidRPr="00764F8E" w:rsidRDefault="00410354" w:rsidP="00AC4873">
            <w:pPr>
              <w:rPr>
                <w:rFonts w:cs="Arial"/>
                <w:sz w:val="18"/>
                <w:szCs w:val="18"/>
              </w:rPr>
            </w:pPr>
            <w:r w:rsidRPr="00764F8E">
              <w:rPr>
                <w:rFonts w:cs="Arial"/>
                <w:sz w:val="18"/>
                <w:szCs w:val="18"/>
                <w:lang w:val="en-US"/>
              </w:rPr>
              <w:t>The information about business combination, reconciliation of changes in goodwill, acquired receivables, acquired contingent liabilities etc is required under AASB 3.B64</w:t>
            </w:r>
            <w:r>
              <w:rPr>
                <w:rFonts w:cs="Arial"/>
                <w:sz w:val="18"/>
                <w:szCs w:val="18"/>
                <w:lang w:val="en-US"/>
              </w:rPr>
              <w:t>a</w:t>
            </w:r>
            <w:r w:rsidRPr="00764F8E">
              <w:rPr>
                <w:rFonts w:cs="Arial"/>
                <w:sz w:val="18"/>
                <w:szCs w:val="18"/>
                <w:lang w:val="en-US"/>
              </w:rPr>
              <w:t xml:space="preserve"> for each material business combination.</w:t>
            </w:r>
          </w:p>
        </w:tc>
      </w:tr>
      <w:tr w:rsidR="0007795A" w:rsidRPr="00764F8E" w14:paraId="4BE96AED" w14:textId="77777777" w:rsidTr="0007795A">
        <w:trPr>
          <w:trHeight w:val="1046"/>
        </w:trPr>
        <w:tc>
          <w:tcPr>
            <w:tcW w:w="2100" w:type="dxa"/>
            <w:shd w:val="clear" w:color="auto" w:fill="auto"/>
            <w:hideMark/>
          </w:tcPr>
          <w:p w14:paraId="7C975AAD" w14:textId="77777777" w:rsidR="0007795A" w:rsidRPr="00764F8E" w:rsidRDefault="0007795A" w:rsidP="00AC4873">
            <w:pPr>
              <w:rPr>
                <w:rFonts w:cs="Arial"/>
                <w:sz w:val="18"/>
                <w:szCs w:val="18"/>
              </w:rPr>
            </w:pPr>
            <w:r w:rsidRPr="00764F8E">
              <w:rPr>
                <w:rFonts w:cs="Arial"/>
                <w:sz w:val="18"/>
                <w:szCs w:val="18"/>
                <w:lang w:val="en-US"/>
              </w:rPr>
              <w:t>[871100</w:t>
            </w:r>
            <w:r>
              <w:rPr>
                <w:rFonts w:cs="Arial"/>
                <w:sz w:val="18"/>
                <w:szCs w:val="18"/>
                <w:lang w:val="en-US"/>
              </w:rPr>
              <w:t>a</w:t>
            </w:r>
            <w:r w:rsidRPr="00764F8E">
              <w:rPr>
                <w:rFonts w:cs="Arial"/>
                <w:sz w:val="18"/>
                <w:szCs w:val="18"/>
                <w:lang w:val="en-US"/>
              </w:rPr>
              <w:t>] Notes - Operating segments</w:t>
            </w:r>
          </w:p>
        </w:tc>
        <w:tc>
          <w:tcPr>
            <w:tcW w:w="2840" w:type="dxa"/>
            <w:shd w:val="clear" w:color="auto" w:fill="auto"/>
            <w:hideMark/>
          </w:tcPr>
          <w:p w14:paraId="557E9562" w14:textId="77777777" w:rsidR="0007795A" w:rsidRPr="00764F8E" w:rsidRDefault="0007795A" w:rsidP="00570127">
            <w:pPr>
              <w:rPr>
                <w:rFonts w:cs="Arial"/>
                <w:color w:val="000000" w:themeColor="text1"/>
                <w:sz w:val="18"/>
                <w:szCs w:val="18"/>
              </w:rPr>
            </w:pPr>
            <w:r>
              <w:rPr>
                <w:rFonts w:cs="Arial"/>
                <w:color w:val="000000" w:themeColor="text1"/>
                <w:sz w:val="18"/>
                <w:szCs w:val="18"/>
                <w:lang w:val="en-US"/>
              </w:rPr>
              <w:t>Reportable</w:t>
            </w:r>
            <w:r w:rsidRPr="00764F8E">
              <w:rPr>
                <w:rFonts w:cs="Arial"/>
                <w:color w:val="000000" w:themeColor="text1"/>
                <w:sz w:val="18"/>
                <w:szCs w:val="18"/>
                <w:lang w:val="en-US"/>
              </w:rPr>
              <w:t xml:space="preserve"> segments [member]</w:t>
            </w:r>
          </w:p>
        </w:tc>
        <w:tc>
          <w:tcPr>
            <w:tcW w:w="4480" w:type="dxa"/>
            <w:shd w:val="clear" w:color="auto" w:fill="auto"/>
            <w:hideMark/>
          </w:tcPr>
          <w:p w14:paraId="7435B839" w14:textId="77777777" w:rsidR="0007795A" w:rsidRPr="00764F8E" w:rsidRDefault="0007795A" w:rsidP="00AC4873">
            <w:pPr>
              <w:rPr>
                <w:rFonts w:cs="Arial"/>
                <w:sz w:val="18"/>
                <w:szCs w:val="18"/>
              </w:rPr>
            </w:pPr>
            <w:r w:rsidRPr="00764F8E">
              <w:rPr>
                <w:rFonts w:cs="Arial"/>
                <w:sz w:val="18"/>
                <w:szCs w:val="18"/>
                <w:lang w:val="en-US"/>
              </w:rPr>
              <w:t>AASB 8 requires certain disclosure for all reportable segments individually, for each group of similar products and services, by individual foreign countries and significant customers.</w:t>
            </w:r>
          </w:p>
        </w:tc>
      </w:tr>
      <w:tr w:rsidR="001A1C13" w:rsidRPr="00764F8E" w14:paraId="761C72CE" w14:textId="77777777" w:rsidTr="00AD6431">
        <w:trPr>
          <w:trHeight w:val="985"/>
        </w:trPr>
        <w:tc>
          <w:tcPr>
            <w:tcW w:w="2100" w:type="dxa"/>
            <w:shd w:val="clear" w:color="auto" w:fill="auto"/>
            <w:hideMark/>
          </w:tcPr>
          <w:p w14:paraId="54B7E8A1" w14:textId="77777777" w:rsidR="001A1C13" w:rsidRPr="00764F8E" w:rsidRDefault="001A1C13" w:rsidP="00AC4873">
            <w:pPr>
              <w:rPr>
                <w:rFonts w:cs="Arial"/>
                <w:sz w:val="18"/>
                <w:szCs w:val="18"/>
              </w:rPr>
            </w:pPr>
            <w:r w:rsidRPr="00764F8E">
              <w:rPr>
                <w:rFonts w:cs="Arial"/>
                <w:sz w:val="18"/>
                <w:szCs w:val="18"/>
                <w:lang w:val="en-US"/>
              </w:rPr>
              <w:t>[832410</w:t>
            </w:r>
            <w:r>
              <w:rPr>
                <w:rFonts w:cs="Arial"/>
                <w:sz w:val="18"/>
                <w:szCs w:val="18"/>
                <w:lang w:val="en-US"/>
              </w:rPr>
              <w:t>c</w:t>
            </w:r>
            <w:r w:rsidRPr="00764F8E">
              <w:rPr>
                <w:rFonts w:cs="Arial"/>
                <w:sz w:val="18"/>
                <w:szCs w:val="18"/>
                <w:lang w:val="en-US"/>
              </w:rPr>
              <w:t>] Notes - Impairment of assets</w:t>
            </w:r>
          </w:p>
        </w:tc>
        <w:tc>
          <w:tcPr>
            <w:tcW w:w="2840" w:type="dxa"/>
            <w:shd w:val="clear" w:color="auto" w:fill="auto"/>
            <w:hideMark/>
          </w:tcPr>
          <w:p w14:paraId="2E643CDC" w14:textId="77777777" w:rsidR="001A1C13" w:rsidRPr="00764F8E" w:rsidRDefault="001A1C13" w:rsidP="00AC4873">
            <w:pPr>
              <w:rPr>
                <w:rFonts w:cs="Arial"/>
                <w:sz w:val="18"/>
                <w:szCs w:val="18"/>
              </w:rPr>
            </w:pPr>
            <w:r>
              <w:rPr>
                <w:rFonts w:cs="Arial"/>
                <w:sz w:val="18"/>
                <w:szCs w:val="18"/>
                <w:lang w:val="en-US"/>
              </w:rPr>
              <w:t>Cash</w:t>
            </w:r>
            <w:r w:rsidRPr="00764F8E">
              <w:rPr>
                <w:rFonts w:cs="Arial"/>
                <w:sz w:val="18"/>
                <w:szCs w:val="18"/>
                <w:lang w:val="en-US"/>
              </w:rPr>
              <w:t xml:space="preserve"> generating units [member]</w:t>
            </w:r>
          </w:p>
        </w:tc>
        <w:tc>
          <w:tcPr>
            <w:tcW w:w="4480" w:type="dxa"/>
            <w:shd w:val="clear" w:color="auto" w:fill="auto"/>
            <w:hideMark/>
          </w:tcPr>
          <w:p w14:paraId="567F8BA1" w14:textId="77777777" w:rsidR="001A1C13" w:rsidRPr="00764F8E" w:rsidRDefault="001A1C13" w:rsidP="00AC4873">
            <w:pPr>
              <w:rPr>
                <w:rFonts w:cs="Arial"/>
                <w:sz w:val="18"/>
                <w:szCs w:val="18"/>
              </w:rPr>
            </w:pPr>
            <w:r w:rsidRPr="00764F8E">
              <w:rPr>
                <w:rFonts w:cs="Arial"/>
                <w:sz w:val="18"/>
                <w:szCs w:val="18"/>
                <w:lang w:val="en-US"/>
              </w:rPr>
              <w:t>AASB 136.130 requires this information for each impairment loss, including the disclosure of individual cash-generating units for each material impairment loss.</w:t>
            </w:r>
          </w:p>
        </w:tc>
      </w:tr>
    </w:tbl>
    <w:p w14:paraId="3C6D4870" w14:textId="77777777" w:rsidR="00AC4873" w:rsidRPr="00764F8E" w:rsidRDefault="00AC4873" w:rsidP="00AC4873">
      <w:pPr>
        <w:rPr>
          <w:rFonts w:cs="Arial"/>
          <w:sz w:val="18"/>
          <w:szCs w:val="18"/>
        </w:rPr>
      </w:pPr>
      <w:r w:rsidRPr="00764F8E">
        <w:rPr>
          <w:rFonts w:cs="Arial"/>
          <w:sz w:val="18"/>
          <w:szCs w:val="18"/>
        </w:rPr>
        <w:t xml:space="preserve"> </w:t>
      </w:r>
    </w:p>
    <w:p w14:paraId="4780D76A" w14:textId="1741E946" w:rsidR="00AC4873" w:rsidRPr="007E3E0D" w:rsidRDefault="00AC4873" w:rsidP="00AC4873">
      <w:pPr>
        <w:rPr>
          <w:sz w:val="20"/>
          <w:szCs w:val="20"/>
        </w:rPr>
      </w:pPr>
      <w:r w:rsidRPr="00F0348F">
        <w:rPr>
          <w:sz w:val="20"/>
          <w:szCs w:val="20"/>
        </w:rPr>
        <w:t xml:space="preserve">Given that </w:t>
      </w:r>
      <w:r w:rsidR="00FC3CEC">
        <w:rPr>
          <w:sz w:val="20"/>
          <w:szCs w:val="20"/>
        </w:rPr>
        <w:t xml:space="preserve">IFRS AU Taxonomy </w:t>
      </w:r>
      <w:r w:rsidR="009A4824">
        <w:rPr>
          <w:sz w:val="20"/>
          <w:szCs w:val="20"/>
        </w:rPr>
        <w:t>2025</w:t>
      </w:r>
      <w:r w:rsidR="00E23EAD">
        <w:rPr>
          <w:sz w:val="20"/>
          <w:szCs w:val="20"/>
        </w:rPr>
        <w:t xml:space="preserve"> cannot be extended</w:t>
      </w:r>
      <w:r w:rsidR="00770854">
        <w:rPr>
          <w:sz w:val="20"/>
          <w:szCs w:val="20"/>
        </w:rPr>
        <w:t>/customised</w:t>
      </w:r>
      <w:r w:rsidR="00E23EAD">
        <w:rPr>
          <w:sz w:val="20"/>
          <w:szCs w:val="20"/>
        </w:rPr>
        <w:t xml:space="preserve"> by </w:t>
      </w:r>
      <w:r w:rsidR="003479AC">
        <w:rPr>
          <w:sz w:val="20"/>
          <w:szCs w:val="20"/>
        </w:rPr>
        <w:t xml:space="preserve">preparers </w:t>
      </w:r>
      <w:r w:rsidR="004E6E28">
        <w:rPr>
          <w:sz w:val="20"/>
          <w:szCs w:val="20"/>
        </w:rPr>
        <w:t>(see 3.1.</w:t>
      </w:r>
      <w:r w:rsidR="00B9541F">
        <w:rPr>
          <w:sz w:val="20"/>
          <w:szCs w:val="20"/>
        </w:rPr>
        <w:t>4</w:t>
      </w:r>
      <w:r w:rsidR="004E6E28">
        <w:rPr>
          <w:sz w:val="20"/>
          <w:szCs w:val="20"/>
        </w:rPr>
        <w:t>)</w:t>
      </w:r>
      <w:r w:rsidRPr="00F0348F">
        <w:rPr>
          <w:sz w:val="20"/>
          <w:szCs w:val="20"/>
        </w:rPr>
        <w:t>, whe</w:t>
      </w:r>
      <w:r w:rsidR="00E23EAD">
        <w:rPr>
          <w:sz w:val="20"/>
          <w:szCs w:val="20"/>
        </w:rPr>
        <w:t>n</w:t>
      </w:r>
      <w:r w:rsidRPr="00F0348F">
        <w:rPr>
          <w:sz w:val="20"/>
          <w:szCs w:val="20"/>
        </w:rPr>
        <w:t xml:space="preserve"> a dimension cannot be effectively used</w:t>
      </w:r>
      <w:r w:rsidR="00DB37FE">
        <w:rPr>
          <w:sz w:val="20"/>
          <w:szCs w:val="20"/>
        </w:rPr>
        <w:t xml:space="preserve"> without extension</w:t>
      </w:r>
      <w:r w:rsidR="003479AC">
        <w:rPr>
          <w:sz w:val="20"/>
          <w:szCs w:val="20"/>
        </w:rPr>
        <w:t xml:space="preserve"> or customisation</w:t>
      </w:r>
      <w:r w:rsidRPr="00F0348F">
        <w:rPr>
          <w:sz w:val="20"/>
          <w:szCs w:val="20"/>
        </w:rPr>
        <w:t xml:space="preserve">, the </w:t>
      </w:r>
      <w:r w:rsidR="00B372C6">
        <w:rPr>
          <w:sz w:val="20"/>
          <w:szCs w:val="20"/>
        </w:rPr>
        <w:t>preparers</w:t>
      </w:r>
      <w:r w:rsidRPr="00F0348F">
        <w:rPr>
          <w:sz w:val="20"/>
          <w:szCs w:val="20"/>
        </w:rPr>
        <w:t xml:space="preserve"> are advised to block-tag the relevant information using </w:t>
      </w:r>
      <w:r w:rsidR="0007795A">
        <w:rPr>
          <w:sz w:val="20"/>
          <w:szCs w:val="20"/>
        </w:rPr>
        <w:t>the specific</w:t>
      </w:r>
      <w:r w:rsidR="0007795A" w:rsidRPr="00F0348F">
        <w:rPr>
          <w:sz w:val="20"/>
          <w:szCs w:val="20"/>
        </w:rPr>
        <w:t xml:space="preserve"> </w:t>
      </w:r>
      <w:r w:rsidRPr="00F0348F">
        <w:rPr>
          <w:sz w:val="20"/>
          <w:szCs w:val="20"/>
        </w:rPr>
        <w:t>[text block] concept</w:t>
      </w:r>
      <w:r w:rsidR="00DB37FE">
        <w:rPr>
          <w:sz w:val="20"/>
          <w:szCs w:val="20"/>
        </w:rPr>
        <w:t>s provided in the taxonomy</w:t>
      </w:r>
      <w:r w:rsidR="0007795A">
        <w:rPr>
          <w:sz w:val="20"/>
          <w:szCs w:val="20"/>
        </w:rPr>
        <w:t xml:space="preserve"> for </w:t>
      </w:r>
      <w:r w:rsidR="002E20DE">
        <w:rPr>
          <w:sz w:val="20"/>
          <w:szCs w:val="20"/>
        </w:rPr>
        <w:t xml:space="preserve">each </w:t>
      </w:r>
      <w:r w:rsidR="0007795A">
        <w:rPr>
          <w:sz w:val="20"/>
          <w:szCs w:val="20"/>
        </w:rPr>
        <w:t>corresponding dimension</w:t>
      </w:r>
      <w:r w:rsidRPr="00F0348F">
        <w:rPr>
          <w:sz w:val="20"/>
          <w:szCs w:val="20"/>
        </w:rPr>
        <w:t>. Table</w:t>
      </w:r>
      <w:r w:rsidR="00396989">
        <w:rPr>
          <w:sz w:val="20"/>
          <w:szCs w:val="20"/>
        </w:rPr>
        <w:t xml:space="preserve"> </w:t>
      </w:r>
      <w:r w:rsidR="0093318D">
        <w:rPr>
          <w:sz w:val="20"/>
          <w:szCs w:val="20"/>
        </w:rPr>
        <w:t>10</w:t>
      </w:r>
      <w:r w:rsidR="0093318D" w:rsidRPr="00F0348F">
        <w:rPr>
          <w:sz w:val="20"/>
          <w:szCs w:val="20"/>
        </w:rPr>
        <w:t xml:space="preserve"> </w:t>
      </w:r>
      <w:r w:rsidRPr="00F0348F">
        <w:rPr>
          <w:sz w:val="20"/>
          <w:szCs w:val="20"/>
        </w:rPr>
        <w:t xml:space="preserve">below shows </w:t>
      </w:r>
      <w:r w:rsidR="0007795A">
        <w:rPr>
          <w:sz w:val="20"/>
          <w:szCs w:val="20"/>
        </w:rPr>
        <w:t xml:space="preserve">example of </w:t>
      </w:r>
      <w:r w:rsidRPr="00F0348F">
        <w:rPr>
          <w:sz w:val="20"/>
          <w:szCs w:val="20"/>
        </w:rPr>
        <w:t xml:space="preserve">the </w:t>
      </w:r>
      <w:r w:rsidR="0007795A">
        <w:rPr>
          <w:sz w:val="20"/>
          <w:szCs w:val="20"/>
        </w:rPr>
        <w:t xml:space="preserve">[text block] </w:t>
      </w:r>
      <w:r w:rsidRPr="00F0348F">
        <w:rPr>
          <w:sz w:val="20"/>
          <w:szCs w:val="20"/>
        </w:rPr>
        <w:t>concept</w:t>
      </w:r>
      <w:r w:rsidR="0007795A">
        <w:rPr>
          <w:sz w:val="20"/>
          <w:szCs w:val="20"/>
        </w:rPr>
        <w:t>s</w:t>
      </w:r>
      <w:r w:rsidRPr="00F0348F">
        <w:rPr>
          <w:sz w:val="20"/>
          <w:szCs w:val="20"/>
        </w:rPr>
        <w:t xml:space="preserve"> </w:t>
      </w:r>
      <w:r w:rsidR="0007795A">
        <w:rPr>
          <w:sz w:val="20"/>
          <w:szCs w:val="20"/>
        </w:rPr>
        <w:t>corresponding to the dimensions in the table</w:t>
      </w:r>
      <w:r w:rsidR="002E20DE">
        <w:rPr>
          <w:sz w:val="20"/>
          <w:szCs w:val="20"/>
        </w:rPr>
        <w:t xml:space="preserve"> 9</w:t>
      </w:r>
      <w:r w:rsidR="00992699" w:rsidRPr="00F0348F">
        <w:rPr>
          <w:sz w:val="20"/>
          <w:szCs w:val="20"/>
        </w:rPr>
        <w:t xml:space="preserve">. </w:t>
      </w:r>
    </w:p>
    <w:p w14:paraId="569D10FB" w14:textId="77777777" w:rsidR="00AC4873" w:rsidRDefault="00AC4873" w:rsidP="00AC4873"/>
    <w:p w14:paraId="62A1461F" w14:textId="4B60BC01" w:rsidR="00A32A54" w:rsidRDefault="003479AC" w:rsidP="003479AC">
      <w:pPr>
        <w:rPr>
          <w:sz w:val="20"/>
          <w:szCs w:val="20"/>
          <w:lang w:val="en-US"/>
        </w:rPr>
      </w:pPr>
      <w:r>
        <w:rPr>
          <w:sz w:val="20"/>
          <w:szCs w:val="20"/>
          <w:lang w:val="en-US"/>
        </w:rPr>
        <w:t xml:space="preserve">The </w:t>
      </w:r>
      <w:r w:rsidR="00FC3CEC">
        <w:rPr>
          <w:sz w:val="20"/>
          <w:szCs w:val="20"/>
          <w:lang w:val="en-US"/>
        </w:rPr>
        <w:t xml:space="preserve">IFRS AU Taxonomy </w:t>
      </w:r>
      <w:r w:rsidR="009A4824">
        <w:rPr>
          <w:sz w:val="20"/>
          <w:szCs w:val="20"/>
          <w:lang w:val="en-US"/>
        </w:rPr>
        <w:t>2025</w:t>
      </w:r>
      <w:r w:rsidRPr="00F0348F">
        <w:rPr>
          <w:sz w:val="20"/>
          <w:szCs w:val="20"/>
          <w:lang w:val="en-US"/>
        </w:rPr>
        <w:t xml:space="preserve"> provides</w:t>
      </w:r>
      <w:r w:rsidR="001A1C13">
        <w:rPr>
          <w:i/>
          <w:sz w:val="20"/>
          <w:szCs w:val="20"/>
          <w:lang w:val="en-US"/>
        </w:rPr>
        <w:t xml:space="preserve"> </w:t>
      </w:r>
      <w:r w:rsidR="001A1C13">
        <w:rPr>
          <w:sz w:val="20"/>
          <w:szCs w:val="20"/>
          <w:lang w:val="en-US"/>
        </w:rPr>
        <w:t xml:space="preserve">the ELR [833000] Notes </w:t>
      </w:r>
      <w:r w:rsidR="00A32A54">
        <w:rPr>
          <w:sz w:val="20"/>
          <w:szCs w:val="20"/>
          <w:lang w:val="en-US"/>
        </w:rPr>
        <w:t xml:space="preserve">– Parent entity disclosure containing a </w:t>
      </w:r>
      <w:r w:rsidRPr="00F0348F">
        <w:rPr>
          <w:sz w:val="20"/>
          <w:szCs w:val="20"/>
          <w:lang w:val="en-US"/>
        </w:rPr>
        <w:t xml:space="preserve">dimension </w:t>
      </w:r>
      <w:r w:rsidR="00A32A54">
        <w:rPr>
          <w:sz w:val="20"/>
          <w:szCs w:val="20"/>
          <w:lang w:val="en-US"/>
        </w:rPr>
        <w:t xml:space="preserve">which </w:t>
      </w:r>
      <w:r w:rsidRPr="00F0348F">
        <w:rPr>
          <w:sz w:val="20"/>
          <w:szCs w:val="20"/>
          <w:lang w:val="en-US"/>
        </w:rPr>
        <w:t xml:space="preserve">is </w:t>
      </w:r>
      <w:r w:rsidR="00A32A54">
        <w:rPr>
          <w:sz w:val="20"/>
          <w:szCs w:val="20"/>
          <w:lang w:val="en-US"/>
        </w:rPr>
        <w:t xml:space="preserve">used to disclose information about parent entities.  Required monetary information must be populated using the Separate [member] since the Consolidated [member], although available, should not be used for the purpose of this disclosure. </w:t>
      </w:r>
    </w:p>
    <w:p w14:paraId="6D2E8C48" w14:textId="77777777" w:rsidR="003479AC" w:rsidRDefault="003479AC" w:rsidP="003479AC">
      <w:pPr>
        <w:rPr>
          <w:sz w:val="20"/>
          <w:szCs w:val="20"/>
          <w:lang w:val="en-US"/>
        </w:rPr>
      </w:pPr>
    </w:p>
    <w:p w14:paraId="2DC89C2B" w14:textId="706AB060" w:rsidR="003479AC" w:rsidRPr="004E43A0" w:rsidRDefault="00F45F5B" w:rsidP="003479AC">
      <w:pPr>
        <w:rPr>
          <w:sz w:val="20"/>
          <w:szCs w:val="20"/>
          <w:lang w:val="en-US"/>
        </w:rPr>
      </w:pPr>
      <w:r>
        <w:rPr>
          <w:sz w:val="20"/>
          <w:szCs w:val="20"/>
          <w:lang w:val="en-US"/>
        </w:rPr>
        <w:t>I</w:t>
      </w:r>
      <w:r w:rsidRPr="00F0348F">
        <w:rPr>
          <w:sz w:val="20"/>
          <w:szCs w:val="20"/>
          <w:lang w:val="en-US"/>
        </w:rPr>
        <w:t xml:space="preserve">nformation </w:t>
      </w:r>
      <w:r w:rsidR="003479AC" w:rsidRPr="00F0348F">
        <w:rPr>
          <w:sz w:val="20"/>
          <w:szCs w:val="20"/>
          <w:lang w:val="en-US"/>
        </w:rPr>
        <w:t>about parent entities required to be disclose</w:t>
      </w:r>
      <w:r w:rsidR="003479AC">
        <w:rPr>
          <w:sz w:val="20"/>
          <w:szCs w:val="20"/>
          <w:lang w:val="en-US"/>
        </w:rPr>
        <w:t>d</w:t>
      </w:r>
      <w:r w:rsidR="003479AC" w:rsidRPr="00F0348F">
        <w:rPr>
          <w:sz w:val="20"/>
          <w:szCs w:val="20"/>
          <w:lang w:val="en-US"/>
        </w:rPr>
        <w:t xml:space="preserve"> in the consolidated financial statements </w:t>
      </w:r>
      <w:r w:rsidR="003479AC">
        <w:rPr>
          <w:sz w:val="20"/>
          <w:szCs w:val="20"/>
          <w:lang w:val="en-US"/>
        </w:rPr>
        <w:t xml:space="preserve">is grouped in the ELR [833000] </w:t>
      </w:r>
      <w:r w:rsidR="003479AC" w:rsidRPr="004E43A0">
        <w:rPr>
          <w:sz w:val="20"/>
          <w:szCs w:val="20"/>
          <w:lang w:val="en-US"/>
        </w:rPr>
        <w:t xml:space="preserve">Notes - Parent entity disclosure </w:t>
      </w:r>
      <w:r w:rsidR="003479AC">
        <w:rPr>
          <w:sz w:val="20"/>
          <w:szCs w:val="20"/>
          <w:lang w:val="en-US"/>
        </w:rPr>
        <w:t>which</w:t>
      </w:r>
      <w:r>
        <w:rPr>
          <w:sz w:val="20"/>
          <w:szCs w:val="20"/>
          <w:lang w:val="en-US"/>
        </w:rPr>
        <w:t>,</w:t>
      </w:r>
      <w:r w:rsidR="003479AC">
        <w:rPr>
          <w:sz w:val="20"/>
          <w:szCs w:val="20"/>
          <w:lang w:val="en-US"/>
        </w:rPr>
        <w:t xml:space="preserve"> in addition to Australian specific requirements</w:t>
      </w:r>
      <w:r>
        <w:rPr>
          <w:sz w:val="20"/>
          <w:szCs w:val="20"/>
          <w:lang w:val="en-US"/>
        </w:rPr>
        <w:t>,</w:t>
      </w:r>
      <w:r w:rsidR="003479AC">
        <w:rPr>
          <w:sz w:val="20"/>
          <w:szCs w:val="20"/>
          <w:lang w:val="en-US"/>
        </w:rPr>
        <w:t xml:space="preserve"> reuses concepts from the IFRS Taxonomy listed in the Table </w:t>
      </w:r>
      <w:r w:rsidR="00384BF5">
        <w:rPr>
          <w:sz w:val="20"/>
          <w:szCs w:val="20"/>
          <w:lang w:val="en-US"/>
        </w:rPr>
        <w:t>9</w:t>
      </w:r>
      <w:r w:rsidR="003479AC">
        <w:rPr>
          <w:sz w:val="20"/>
          <w:szCs w:val="20"/>
          <w:lang w:val="en-US"/>
        </w:rPr>
        <w:t xml:space="preserve"> below. </w:t>
      </w:r>
    </w:p>
    <w:p w14:paraId="041BFAC3" w14:textId="77777777" w:rsidR="003479AC" w:rsidRPr="00F0348F" w:rsidRDefault="003479AC" w:rsidP="003479AC">
      <w:pPr>
        <w:rPr>
          <w:sz w:val="20"/>
          <w:szCs w:val="20"/>
          <w:lang w:val="en-US"/>
        </w:rPr>
      </w:pPr>
    </w:p>
    <w:p w14:paraId="18A029B7" w14:textId="77777777" w:rsidR="003479AC" w:rsidRDefault="003479AC" w:rsidP="00F069A2">
      <w:pPr>
        <w:pStyle w:val="ListParagraph"/>
        <w:numPr>
          <w:ilvl w:val="0"/>
          <w:numId w:val="28"/>
        </w:numPr>
        <w:autoSpaceDE w:val="0"/>
        <w:autoSpaceDN w:val="0"/>
        <w:adjustRightInd w:val="0"/>
        <w:ind w:left="851" w:hanging="851"/>
      </w:pPr>
      <w:r>
        <w:rPr>
          <w:rStyle w:val="Emphasis"/>
          <w:bCs w:val="0"/>
          <w:sz w:val="18"/>
          <w:szCs w:val="18"/>
        </w:rPr>
        <w:t>Tagging of monetary information for parent entities</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3998"/>
        <w:gridCol w:w="4003"/>
        <w:gridCol w:w="1667"/>
      </w:tblGrid>
      <w:tr w:rsidR="003479AC" w:rsidRPr="00764F8E" w14:paraId="0B7D1992" w14:textId="77777777" w:rsidTr="00384BF5">
        <w:trPr>
          <w:trHeight w:val="435"/>
        </w:trPr>
        <w:tc>
          <w:tcPr>
            <w:tcW w:w="3998" w:type="dxa"/>
            <w:shd w:val="clear" w:color="000000" w:fill="DBE5F1" w:themeFill="accent1" w:themeFillTint="33"/>
            <w:hideMark/>
          </w:tcPr>
          <w:p w14:paraId="536D09D3" w14:textId="77777777" w:rsidR="003479AC" w:rsidRPr="00764F8E" w:rsidRDefault="003479AC" w:rsidP="00AF3F39">
            <w:pPr>
              <w:rPr>
                <w:rFonts w:cs="Arial"/>
                <w:b/>
                <w:sz w:val="18"/>
                <w:szCs w:val="18"/>
              </w:rPr>
            </w:pPr>
            <w:r w:rsidRPr="00764F8E">
              <w:rPr>
                <w:rFonts w:cs="Arial"/>
                <w:b/>
                <w:sz w:val="18"/>
                <w:szCs w:val="18"/>
              </w:rPr>
              <w:t xml:space="preserve">Required information </w:t>
            </w:r>
          </w:p>
        </w:tc>
        <w:tc>
          <w:tcPr>
            <w:tcW w:w="4003" w:type="dxa"/>
            <w:shd w:val="clear" w:color="000000" w:fill="DBE5F1" w:themeFill="accent1" w:themeFillTint="33"/>
          </w:tcPr>
          <w:p w14:paraId="191ED446" w14:textId="77777777" w:rsidR="003479AC" w:rsidRPr="00764F8E" w:rsidRDefault="003479AC" w:rsidP="00AF3F39">
            <w:pPr>
              <w:rPr>
                <w:rFonts w:cs="Arial"/>
                <w:b/>
                <w:sz w:val="18"/>
                <w:szCs w:val="18"/>
              </w:rPr>
            </w:pPr>
            <w:r w:rsidRPr="00764F8E">
              <w:rPr>
                <w:rFonts w:cs="Arial"/>
                <w:b/>
                <w:sz w:val="18"/>
                <w:szCs w:val="18"/>
              </w:rPr>
              <w:t>IFRS AU Concept Id</w:t>
            </w:r>
          </w:p>
        </w:tc>
        <w:tc>
          <w:tcPr>
            <w:tcW w:w="1667" w:type="dxa"/>
            <w:shd w:val="clear" w:color="000000" w:fill="DBE5F1" w:themeFill="accent1" w:themeFillTint="33"/>
          </w:tcPr>
          <w:p w14:paraId="4EC23521" w14:textId="77777777" w:rsidR="003479AC" w:rsidRPr="00764F8E" w:rsidRDefault="003479AC" w:rsidP="00AF3F39">
            <w:pPr>
              <w:rPr>
                <w:rFonts w:cs="Arial"/>
                <w:b/>
                <w:sz w:val="18"/>
                <w:szCs w:val="18"/>
              </w:rPr>
            </w:pPr>
            <w:r>
              <w:rPr>
                <w:rFonts w:cs="Arial"/>
                <w:b/>
                <w:sz w:val="18"/>
                <w:szCs w:val="18"/>
              </w:rPr>
              <w:t>IFRS AU label</w:t>
            </w:r>
          </w:p>
        </w:tc>
      </w:tr>
      <w:tr w:rsidR="003479AC" w:rsidRPr="00F0348F" w14:paraId="1CE41882" w14:textId="77777777" w:rsidTr="00384BF5">
        <w:trPr>
          <w:trHeight w:val="435"/>
        </w:trPr>
        <w:tc>
          <w:tcPr>
            <w:tcW w:w="3998" w:type="dxa"/>
            <w:shd w:val="clear" w:color="000000" w:fill="auto"/>
            <w:hideMark/>
          </w:tcPr>
          <w:p w14:paraId="594A9CB3" w14:textId="77777777" w:rsidR="003479AC" w:rsidRPr="00764F8E" w:rsidRDefault="003479AC" w:rsidP="00AF3F39">
            <w:pPr>
              <w:rPr>
                <w:rFonts w:cs="Arial"/>
                <w:sz w:val="18"/>
                <w:szCs w:val="18"/>
              </w:rPr>
            </w:pPr>
            <w:r w:rsidRPr="00764F8E">
              <w:rPr>
                <w:rFonts w:cs="Arial"/>
                <w:sz w:val="18"/>
                <w:szCs w:val="18"/>
              </w:rPr>
              <w:t>Total current assets of the parent entity</w:t>
            </w:r>
          </w:p>
        </w:tc>
        <w:tc>
          <w:tcPr>
            <w:tcW w:w="4003" w:type="dxa"/>
            <w:shd w:val="clear" w:color="000000" w:fill="auto"/>
          </w:tcPr>
          <w:p w14:paraId="1E6A74BE" w14:textId="77777777"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_CurrentAssets</w:t>
            </w:r>
          </w:p>
        </w:tc>
        <w:tc>
          <w:tcPr>
            <w:tcW w:w="1667" w:type="dxa"/>
            <w:shd w:val="clear" w:color="000000" w:fill="auto"/>
          </w:tcPr>
          <w:p w14:paraId="750D5E35" w14:textId="77777777" w:rsidR="003479AC" w:rsidRPr="00764F8E" w:rsidRDefault="003479AC" w:rsidP="00AF3F39">
            <w:pPr>
              <w:rPr>
                <w:rFonts w:cs="Arial"/>
                <w:sz w:val="18"/>
                <w:szCs w:val="18"/>
              </w:rPr>
            </w:pPr>
            <w:r>
              <w:rPr>
                <w:rFonts w:cs="Arial"/>
                <w:sz w:val="18"/>
                <w:szCs w:val="18"/>
              </w:rPr>
              <w:t>Current assets</w:t>
            </w:r>
          </w:p>
        </w:tc>
      </w:tr>
      <w:tr w:rsidR="003479AC" w:rsidRPr="00F0348F" w14:paraId="7D339F95" w14:textId="77777777" w:rsidTr="00384BF5">
        <w:trPr>
          <w:trHeight w:val="459"/>
        </w:trPr>
        <w:tc>
          <w:tcPr>
            <w:tcW w:w="3998" w:type="dxa"/>
            <w:shd w:val="clear" w:color="000000" w:fill="auto"/>
            <w:hideMark/>
          </w:tcPr>
          <w:p w14:paraId="758CF370" w14:textId="77777777" w:rsidR="003479AC" w:rsidRPr="00764F8E" w:rsidRDefault="003479AC" w:rsidP="00AF3F39">
            <w:pPr>
              <w:rPr>
                <w:rFonts w:cs="Arial"/>
                <w:sz w:val="18"/>
                <w:szCs w:val="18"/>
              </w:rPr>
            </w:pPr>
            <w:r w:rsidRPr="00764F8E">
              <w:rPr>
                <w:rFonts w:cs="Arial"/>
                <w:sz w:val="18"/>
                <w:szCs w:val="18"/>
              </w:rPr>
              <w:t>Total assets of the parent entity</w:t>
            </w:r>
          </w:p>
        </w:tc>
        <w:tc>
          <w:tcPr>
            <w:tcW w:w="4003" w:type="dxa"/>
            <w:shd w:val="clear" w:color="000000" w:fill="auto"/>
          </w:tcPr>
          <w:p w14:paraId="3B640314" w14:textId="77777777"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_Assets</w:t>
            </w:r>
          </w:p>
        </w:tc>
        <w:tc>
          <w:tcPr>
            <w:tcW w:w="1667" w:type="dxa"/>
            <w:shd w:val="clear" w:color="000000" w:fill="auto"/>
          </w:tcPr>
          <w:p w14:paraId="06D6E59E" w14:textId="77777777" w:rsidR="003479AC" w:rsidRPr="00764F8E" w:rsidRDefault="003479AC" w:rsidP="00AF3F39">
            <w:pPr>
              <w:rPr>
                <w:rFonts w:cs="Arial"/>
                <w:sz w:val="18"/>
                <w:szCs w:val="18"/>
              </w:rPr>
            </w:pPr>
            <w:r>
              <w:rPr>
                <w:rFonts w:cs="Arial"/>
                <w:sz w:val="18"/>
                <w:szCs w:val="18"/>
              </w:rPr>
              <w:t>Total assets</w:t>
            </w:r>
          </w:p>
        </w:tc>
      </w:tr>
      <w:tr w:rsidR="003479AC" w:rsidRPr="00F0348F" w14:paraId="6E5FE4FD" w14:textId="77777777" w:rsidTr="00384BF5">
        <w:trPr>
          <w:trHeight w:val="435"/>
        </w:trPr>
        <w:tc>
          <w:tcPr>
            <w:tcW w:w="3998" w:type="dxa"/>
            <w:shd w:val="clear" w:color="000000" w:fill="auto"/>
            <w:hideMark/>
          </w:tcPr>
          <w:p w14:paraId="407E1861" w14:textId="77777777" w:rsidR="003479AC" w:rsidRPr="00764F8E" w:rsidRDefault="003479AC" w:rsidP="00AF3F39">
            <w:pPr>
              <w:rPr>
                <w:rFonts w:cs="Arial"/>
                <w:sz w:val="18"/>
                <w:szCs w:val="18"/>
              </w:rPr>
            </w:pPr>
            <w:r w:rsidRPr="00764F8E">
              <w:rPr>
                <w:rFonts w:cs="Arial"/>
                <w:sz w:val="18"/>
                <w:szCs w:val="18"/>
              </w:rPr>
              <w:t>Total current liabilities of the parent entity</w:t>
            </w:r>
          </w:p>
        </w:tc>
        <w:tc>
          <w:tcPr>
            <w:tcW w:w="4003" w:type="dxa"/>
            <w:shd w:val="clear" w:color="000000" w:fill="auto"/>
          </w:tcPr>
          <w:p w14:paraId="407A27D1" w14:textId="77777777"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_CurrentLiabilities</w:t>
            </w:r>
          </w:p>
        </w:tc>
        <w:tc>
          <w:tcPr>
            <w:tcW w:w="1667" w:type="dxa"/>
            <w:shd w:val="clear" w:color="000000" w:fill="auto"/>
          </w:tcPr>
          <w:p w14:paraId="295649F4" w14:textId="77777777" w:rsidR="003479AC" w:rsidRPr="00764F8E" w:rsidRDefault="003479AC" w:rsidP="00AF3F39">
            <w:pPr>
              <w:rPr>
                <w:rFonts w:cs="Arial"/>
                <w:sz w:val="18"/>
                <w:szCs w:val="18"/>
              </w:rPr>
            </w:pPr>
            <w:r>
              <w:rPr>
                <w:rFonts w:cs="Arial"/>
                <w:sz w:val="18"/>
                <w:szCs w:val="18"/>
              </w:rPr>
              <w:t>Current liabilities</w:t>
            </w:r>
          </w:p>
        </w:tc>
      </w:tr>
      <w:tr w:rsidR="003479AC" w:rsidRPr="00F0348F" w14:paraId="477B3B1C" w14:textId="77777777" w:rsidTr="00384BF5">
        <w:trPr>
          <w:trHeight w:val="855"/>
        </w:trPr>
        <w:tc>
          <w:tcPr>
            <w:tcW w:w="3998" w:type="dxa"/>
            <w:shd w:val="clear" w:color="000000" w:fill="auto"/>
            <w:hideMark/>
          </w:tcPr>
          <w:p w14:paraId="6FE0A575" w14:textId="77777777" w:rsidR="003479AC" w:rsidRPr="00764F8E" w:rsidRDefault="003479AC" w:rsidP="00AF3F39">
            <w:pPr>
              <w:rPr>
                <w:rFonts w:cs="Arial"/>
                <w:sz w:val="18"/>
                <w:szCs w:val="18"/>
              </w:rPr>
            </w:pPr>
            <w:r w:rsidRPr="00764F8E">
              <w:rPr>
                <w:rFonts w:cs="Arial"/>
                <w:sz w:val="18"/>
                <w:szCs w:val="18"/>
              </w:rPr>
              <w:t>Total liabilities of the parent entity</w:t>
            </w:r>
          </w:p>
        </w:tc>
        <w:tc>
          <w:tcPr>
            <w:tcW w:w="4003" w:type="dxa"/>
            <w:shd w:val="clear" w:color="000000" w:fill="auto"/>
          </w:tcPr>
          <w:p w14:paraId="18387AE8" w14:textId="77777777"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_Liabilities</w:t>
            </w:r>
          </w:p>
        </w:tc>
        <w:tc>
          <w:tcPr>
            <w:tcW w:w="1667" w:type="dxa"/>
            <w:shd w:val="clear" w:color="000000" w:fill="auto"/>
          </w:tcPr>
          <w:p w14:paraId="49CFE46E" w14:textId="77777777" w:rsidR="003479AC" w:rsidRPr="00764F8E" w:rsidRDefault="003479AC" w:rsidP="00AF3F39">
            <w:pPr>
              <w:rPr>
                <w:rFonts w:cs="Arial"/>
                <w:sz w:val="18"/>
                <w:szCs w:val="18"/>
              </w:rPr>
            </w:pPr>
            <w:r>
              <w:rPr>
                <w:rFonts w:cs="Arial"/>
                <w:sz w:val="18"/>
                <w:szCs w:val="18"/>
              </w:rPr>
              <w:t>Total liabilities</w:t>
            </w:r>
          </w:p>
        </w:tc>
      </w:tr>
      <w:tr w:rsidR="003479AC" w:rsidRPr="00F0348F" w14:paraId="5CF5404C" w14:textId="77777777" w:rsidTr="00384BF5">
        <w:trPr>
          <w:trHeight w:val="435"/>
        </w:trPr>
        <w:tc>
          <w:tcPr>
            <w:tcW w:w="3998" w:type="dxa"/>
            <w:shd w:val="clear" w:color="000000" w:fill="auto"/>
            <w:hideMark/>
          </w:tcPr>
          <w:p w14:paraId="5D977145" w14:textId="77777777" w:rsidR="003479AC" w:rsidRPr="00764F8E" w:rsidRDefault="003479AC" w:rsidP="00AF3F39">
            <w:pPr>
              <w:rPr>
                <w:rFonts w:cs="Arial"/>
                <w:sz w:val="18"/>
                <w:szCs w:val="18"/>
              </w:rPr>
            </w:pPr>
            <w:r>
              <w:rPr>
                <w:rFonts w:cs="Arial"/>
                <w:sz w:val="18"/>
                <w:szCs w:val="18"/>
              </w:rPr>
              <w:t>Shareholders equity of the parent entity separately showing issued capital and each reserve</w:t>
            </w:r>
          </w:p>
        </w:tc>
        <w:tc>
          <w:tcPr>
            <w:tcW w:w="4003" w:type="dxa"/>
            <w:shd w:val="clear" w:color="000000" w:fill="auto"/>
          </w:tcPr>
          <w:p w14:paraId="15E14494" w14:textId="77777777" w:rsidR="003479AC" w:rsidRPr="00764F8E" w:rsidRDefault="003479AC" w:rsidP="00AF3F39">
            <w:pPr>
              <w:rPr>
                <w:rFonts w:cs="Arial"/>
                <w:sz w:val="18"/>
                <w:szCs w:val="18"/>
              </w:rPr>
            </w:pPr>
            <w:r>
              <w:rPr>
                <w:rFonts w:cs="Arial"/>
                <w:sz w:val="18"/>
                <w:szCs w:val="18"/>
              </w:rPr>
              <w:t>ifrs-full_Equity</w:t>
            </w:r>
          </w:p>
        </w:tc>
        <w:tc>
          <w:tcPr>
            <w:tcW w:w="1667" w:type="dxa"/>
            <w:shd w:val="clear" w:color="000000" w:fill="auto"/>
          </w:tcPr>
          <w:p w14:paraId="7E109371" w14:textId="77777777" w:rsidR="003479AC" w:rsidRPr="00764F8E" w:rsidRDefault="003479AC" w:rsidP="00AF3F39">
            <w:pPr>
              <w:rPr>
                <w:rFonts w:cs="Arial"/>
                <w:sz w:val="18"/>
                <w:szCs w:val="18"/>
              </w:rPr>
            </w:pPr>
            <w:r>
              <w:rPr>
                <w:rFonts w:cs="Arial"/>
                <w:sz w:val="18"/>
                <w:szCs w:val="18"/>
              </w:rPr>
              <w:t>Total equity</w:t>
            </w:r>
          </w:p>
        </w:tc>
      </w:tr>
      <w:tr w:rsidR="003479AC" w:rsidRPr="00F0348F" w14:paraId="2B76020E" w14:textId="77777777" w:rsidTr="00384BF5">
        <w:trPr>
          <w:trHeight w:val="435"/>
        </w:trPr>
        <w:tc>
          <w:tcPr>
            <w:tcW w:w="3998" w:type="dxa"/>
            <w:shd w:val="clear" w:color="000000" w:fill="auto"/>
            <w:hideMark/>
          </w:tcPr>
          <w:p w14:paraId="47B09354" w14:textId="77777777" w:rsidR="003479AC" w:rsidRPr="00764F8E" w:rsidRDefault="003479AC" w:rsidP="00AF3F39">
            <w:pPr>
              <w:rPr>
                <w:rFonts w:cs="Arial"/>
                <w:sz w:val="18"/>
                <w:szCs w:val="18"/>
              </w:rPr>
            </w:pPr>
            <w:r w:rsidRPr="00764F8E">
              <w:rPr>
                <w:rFonts w:cs="Arial"/>
                <w:sz w:val="18"/>
                <w:szCs w:val="18"/>
              </w:rPr>
              <w:t xml:space="preserve">Issued capital </w:t>
            </w:r>
          </w:p>
        </w:tc>
        <w:tc>
          <w:tcPr>
            <w:tcW w:w="4003" w:type="dxa"/>
            <w:shd w:val="clear" w:color="000000" w:fill="auto"/>
          </w:tcPr>
          <w:p w14:paraId="5C10D0AF" w14:textId="77777777"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_IssuedCapital</w:t>
            </w:r>
          </w:p>
        </w:tc>
        <w:tc>
          <w:tcPr>
            <w:tcW w:w="1667" w:type="dxa"/>
            <w:shd w:val="clear" w:color="000000" w:fill="auto"/>
          </w:tcPr>
          <w:p w14:paraId="0C22BB3E" w14:textId="77777777" w:rsidR="003479AC" w:rsidRPr="00764F8E" w:rsidRDefault="003479AC" w:rsidP="00AF3F39">
            <w:pPr>
              <w:rPr>
                <w:rFonts w:cs="Arial"/>
                <w:sz w:val="18"/>
                <w:szCs w:val="18"/>
              </w:rPr>
            </w:pPr>
            <w:r>
              <w:rPr>
                <w:rFonts w:cs="Arial"/>
                <w:sz w:val="18"/>
                <w:szCs w:val="18"/>
              </w:rPr>
              <w:t>Issued capital</w:t>
            </w:r>
          </w:p>
        </w:tc>
      </w:tr>
      <w:tr w:rsidR="003479AC" w:rsidRPr="00F0348F" w14:paraId="74823262" w14:textId="77777777" w:rsidTr="00384BF5">
        <w:trPr>
          <w:trHeight w:val="435"/>
        </w:trPr>
        <w:tc>
          <w:tcPr>
            <w:tcW w:w="3998" w:type="dxa"/>
            <w:shd w:val="clear" w:color="000000" w:fill="auto"/>
            <w:hideMark/>
          </w:tcPr>
          <w:p w14:paraId="6939A654" w14:textId="77777777" w:rsidR="003479AC" w:rsidRPr="00764F8E" w:rsidRDefault="003479AC" w:rsidP="00AF3F39">
            <w:pPr>
              <w:rPr>
                <w:rFonts w:cs="Arial"/>
                <w:sz w:val="18"/>
                <w:szCs w:val="18"/>
              </w:rPr>
            </w:pPr>
            <w:r w:rsidRPr="00764F8E">
              <w:rPr>
                <w:rFonts w:cs="Arial"/>
                <w:sz w:val="18"/>
                <w:szCs w:val="18"/>
              </w:rPr>
              <w:t>Retained earnings</w:t>
            </w:r>
          </w:p>
        </w:tc>
        <w:tc>
          <w:tcPr>
            <w:tcW w:w="4003" w:type="dxa"/>
            <w:shd w:val="clear" w:color="000000" w:fill="auto"/>
          </w:tcPr>
          <w:p w14:paraId="63AEDD26" w14:textId="77777777"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_RetainedEarnings</w:t>
            </w:r>
          </w:p>
        </w:tc>
        <w:tc>
          <w:tcPr>
            <w:tcW w:w="1667" w:type="dxa"/>
            <w:shd w:val="clear" w:color="000000" w:fill="auto"/>
          </w:tcPr>
          <w:p w14:paraId="4666E594" w14:textId="77777777" w:rsidR="003479AC" w:rsidRPr="00764F8E" w:rsidRDefault="003479AC" w:rsidP="00AF3F39">
            <w:pPr>
              <w:rPr>
                <w:rFonts w:cs="Arial"/>
                <w:sz w:val="18"/>
                <w:szCs w:val="18"/>
              </w:rPr>
            </w:pPr>
            <w:r>
              <w:rPr>
                <w:rFonts w:cs="Arial"/>
                <w:sz w:val="18"/>
                <w:szCs w:val="18"/>
              </w:rPr>
              <w:t>Retained earnings</w:t>
            </w:r>
          </w:p>
        </w:tc>
      </w:tr>
      <w:tr w:rsidR="003479AC" w:rsidRPr="00F0348F" w14:paraId="546B78A7" w14:textId="77777777" w:rsidTr="00384BF5">
        <w:trPr>
          <w:trHeight w:val="435"/>
        </w:trPr>
        <w:tc>
          <w:tcPr>
            <w:tcW w:w="3998" w:type="dxa"/>
            <w:shd w:val="clear" w:color="000000" w:fill="auto"/>
            <w:hideMark/>
          </w:tcPr>
          <w:p w14:paraId="41D3CEB7" w14:textId="77777777" w:rsidR="003479AC" w:rsidRPr="00764F8E" w:rsidRDefault="003479AC" w:rsidP="00AF3F39">
            <w:pPr>
              <w:rPr>
                <w:rFonts w:cs="Arial"/>
                <w:sz w:val="18"/>
                <w:szCs w:val="18"/>
              </w:rPr>
            </w:pPr>
            <w:r>
              <w:rPr>
                <w:rFonts w:cs="Arial"/>
                <w:sz w:val="18"/>
                <w:szCs w:val="18"/>
              </w:rPr>
              <w:t>Share premium</w:t>
            </w:r>
          </w:p>
        </w:tc>
        <w:tc>
          <w:tcPr>
            <w:tcW w:w="4003" w:type="dxa"/>
            <w:shd w:val="clear" w:color="000000" w:fill="auto"/>
          </w:tcPr>
          <w:p w14:paraId="75AE18B8" w14:textId="77777777"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w:t>
            </w:r>
            <w:r>
              <w:rPr>
                <w:rFonts w:cs="Arial"/>
                <w:sz w:val="18"/>
                <w:szCs w:val="18"/>
              </w:rPr>
              <w:t>SharePremium</w:t>
            </w:r>
          </w:p>
        </w:tc>
        <w:tc>
          <w:tcPr>
            <w:tcW w:w="1667" w:type="dxa"/>
            <w:shd w:val="clear" w:color="000000" w:fill="auto"/>
          </w:tcPr>
          <w:p w14:paraId="32F74DAB" w14:textId="77777777" w:rsidR="003479AC" w:rsidRPr="00764F8E" w:rsidRDefault="003479AC" w:rsidP="00AF3F39">
            <w:pPr>
              <w:rPr>
                <w:rFonts w:cs="Arial"/>
                <w:sz w:val="18"/>
                <w:szCs w:val="18"/>
              </w:rPr>
            </w:pPr>
            <w:r>
              <w:rPr>
                <w:rFonts w:cs="Arial"/>
                <w:sz w:val="18"/>
                <w:szCs w:val="18"/>
              </w:rPr>
              <w:t>Share premium</w:t>
            </w:r>
          </w:p>
        </w:tc>
      </w:tr>
      <w:tr w:rsidR="003479AC" w:rsidRPr="00F0348F" w14:paraId="28CE1394" w14:textId="77777777" w:rsidTr="00384BF5">
        <w:trPr>
          <w:trHeight w:val="435"/>
        </w:trPr>
        <w:tc>
          <w:tcPr>
            <w:tcW w:w="3998" w:type="dxa"/>
            <w:shd w:val="clear" w:color="000000" w:fill="auto"/>
            <w:hideMark/>
          </w:tcPr>
          <w:p w14:paraId="3A008F36" w14:textId="77777777" w:rsidR="003479AC" w:rsidRPr="00764F8E" w:rsidRDefault="003479AC" w:rsidP="00AF3F39">
            <w:pPr>
              <w:rPr>
                <w:rFonts w:cs="Arial"/>
                <w:sz w:val="18"/>
                <w:szCs w:val="18"/>
              </w:rPr>
            </w:pPr>
            <w:r>
              <w:rPr>
                <w:rFonts w:cs="Arial"/>
                <w:sz w:val="18"/>
                <w:szCs w:val="18"/>
              </w:rPr>
              <w:t>Treasury shares</w:t>
            </w:r>
          </w:p>
        </w:tc>
        <w:tc>
          <w:tcPr>
            <w:tcW w:w="4003" w:type="dxa"/>
            <w:shd w:val="clear" w:color="000000" w:fill="auto"/>
          </w:tcPr>
          <w:p w14:paraId="4282DDB6" w14:textId="77777777"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w:t>
            </w:r>
            <w:r>
              <w:rPr>
                <w:rFonts w:cs="Arial"/>
                <w:sz w:val="18"/>
                <w:szCs w:val="18"/>
              </w:rPr>
              <w:t>TreasuryShares</w:t>
            </w:r>
          </w:p>
        </w:tc>
        <w:tc>
          <w:tcPr>
            <w:tcW w:w="1667" w:type="dxa"/>
            <w:shd w:val="clear" w:color="000000" w:fill="auto"/>
          </w:tcPr>
          <w:p w14:paraId="318079D1" w14:textId="77777777" w:rsidR="003479AC" w:rsidRPr="00764F8E" w:rsidRDefault="003479AC" w:rsidP="00AF3F39">
            <w:pPr>
              <w:rPr>
                <w:rFonts w:cs="Arial"/>
                <w:sz w:val="18"/>
                <w:szCs w:val="18"/>
              </w:rPr>
            </w:pPr>
            <w:r>
              <w:rPr>
                <w:rFonts w:cs="Arial"/>
                <w:sz w:val="18"/>
                <w:szCs w:val="18"/>
              </w:rPr>
              <w:t>Treasury shares</w:t>
            </w:r>
          </w:p>
        </w:tc>
      </w:tr>
      <w:tr w:rsidR="003479AC" w:rsidRPr="00F0348F" w14:paraId="2BB7D9C6" w14:textId="77777777" w:rsidTr="00384BF5">
        <w:trPr>
          <w:trHeight w:val="435"/>
        </w:trPr>
        <w:tc>
          <w:tcPr>
            <w:tcW w:w="3998" w:type="dxa"/>
            <w:shd w:val="clear" w:color="000000" w:fill="auto"/>
            <w:hideMark/>
          </w:tcPr>
          <w:p w14:paraId="04D1E7A4" w14:textId="77777777" w:rsidR="003479AC" w:rsidRPr="00764F8E" w:rsidRDefault="003479AC" w:rsidP="00AF3F39">
            <w:pPr>
              <w:rPr>
                <w:rFonts w:cs="Arial"/>
                <w:sz w:val="18"/>
                <w:szCs w:val="18"/>
              </w:rPr>
            </w:pPr>
            <w:r>
              <w:rPr>
                <w:rFonts w:cs="Arial"/>
                <w:sz w:val="18"/>
                <w:szCs w:val="18"/>
              </w:rPr>
              <w:t>Other equity interest</w:t>
            </w:r>
          </w:p>
        </w:tc>
        <w:tc>
          <w:tcPr>
            <w:tcW w:w="4003" w:type="dxa"/>
            <w:shd w:val="clear" w:color="000000" w:fill="auto"/>
          </w:tcPr>
          <w:p w14:paraId="03B02E03" w14:textId="77777777" w:rsidR="003479AC" w:rsidRPr="00764F8E" w:rsidRDefault="003479AC" w:rsidP="00AF3F39">
            <w:pPr>
              <w:rPr>
                <w:rFonts w:cs="Arial"/>
                <w:sz w:val="18"/>
                <w:szCs w:val="18"/>
              </w:rPr>
            </w:pPr>
            <w:r>
              <w:rPr>
                <w:rFonts w:cs="Arial"/>
                <w:sz w:val="18"/>
                <w:szCs w:val="18"/>
              </w:rPr>
              <w:t>ifrs-full_otherEquityInterest</w:t>
            </w:r>
          </w:p>
        </w:tc>
        <w:tc>
          <w:tcPr>
            <w:tcW w:w="1667" w:type="dxa"/>
            <w:shd w:val="clear" w:color="000000" w:fill="auto"/>
          </w:tcPr>
          <w:p w14:paraId="18E1DBBE" w14:textId="77777777" w:rsidR="003479AC" w:rsidRDefault="003479AC" w:rsidP="00AF3F39">
            <w:pPr>
              <w:rPr>
                <w:rFonts w:cs="Arial"/>
                <w:sz w:val="18"/>
                <w:szCs w:val="18"/>
              </w:rPr>
            </w:pPr>
            <w:r>
              <w:rPr>
                <w:rFonts w:cs="Arial"/>
                <w:sz w:val="18"/>
                <w:szCs w:val="18"/>
              </w:rPr>
              <w:t>Other equity interest</w:t>
            </w:r>
          </w:p>
        </w:tc>
      </w:tr>
      <w:tr w:rsidR="003479AC" w:rsidRPr="00F0348F" w14:paraId="6398C345" w14:textId="77777777" w:rsidTr="00384BF5">
        <w:trPr>
          <w:trHeight w:val="399"/>
        </w:trPr>
        <w:tc>
          <w:tcPr>
            <w:tcW w:w="3998" w:type="dxa"/>
            <w:shd w:val="clear" w:color="000000" w:fill="auto"/>
            <w:hideMark/>
          </w:tcPr>
          <w:p w14:paraId="472A3AED" w14:textId="77777777" w:rsidR="003479AC" w:rsidRPr="00764F8E" w:rsidRDefault="003479AC" w:rsidP="00AF3F39">
            <w:pPr>
              <w:rPr>
                <w:rFonts w:cs="Arial"/>
                <w:sz w:val="18"/>
                <w:szCs w:val="18"/>
              </w:rPr>
            </w:pPr>
            <w:r>
              <w:rPr>
                <w:rFonts w:cs="Arial"/>
                <w:sz w:val="18"/>
                <w:szCs w:val="18"/>
              </w:rPr>
              <w:t>Other reserves</w:t>
            </w:r>
          </w:p>
        </w:tc>
        <w:tc>
          <w:tcPr>
            <w:tcW w:w="4003" w:type="dxa"/>
            <w:shd w:val="clear" w:color="000000" w:fill="auto"/>
          </w:tcPr>
          <w:p w14:paraId="3A236034" w14:textId="77777777" w:rsidR="003479AC" w:rsidRPr="00764F8E" w:rsidRDefault="003479AC" w:rsidP="00AF3F39">
            <w:pPr>
              <w:rPr>
                <w:rFonts w:cs="Arial"/>
                <w:sz w:val="18"/>
                <w:szCs w:val="18"/>
              </w:rPr>
            </w:pPr>
            <w:r>
              <w:rPr>
                <w:rFonts w:cs="Arial"/>
                <w:sz w:val="18"/>
                <w:szCs w:val="18"/>
              </w:rPr>
              <w:t>ifrs-full_OtherReserves</w:t>
            </w:r>
          </w:p>
        </w:tc>
        <w:tc>
          <w:tcPr>
            <w:tcW w:w="1667" w:type="dxa"/>
            <w:shd w:val="clear" w:color="000000" w:fill="auto"/>
          </w:tcPr>
          <w:p w14:paraId="7A2E7704" w14:textId="77777777" w:rsidR="003479AC" w:rsidRPr="00764F8E" w:rsidRDefault="003479AC" w:rsidP="00AF3F39">
            <w:pPr>
              <w:rPr>
                <w:rFonts w:cs="Arial"/>
                <w:sz w:val="18"/>
                <w:szCs w:val="18"/>
              </w:rPr>
            </w:pPr>
            <w:r>
              <w:rPr>
                <w:rFonts w:cs="Arial"/>
                <w:sz w:val="18"/>
                <w:szCs w:val="18"/>
              </w:rPr>
              <w:t>Other reserves</w:t>
            </w:r>
          </w:p>
        </w:tc>
      </w:tr>
      <w:tr w:rsidR="003479AC" w:rsidRPr="00F0348F" w14:paraId="18386632" w14:textId="77777777" w:rsidTr="00384BF5">
        <w:trPr>
          <w:trHeight w:val="399"/>
        </w:trPr>
        <w:tc>
          <w:tcPr>
            <w:tcW w:w="3998" w:type="dxa"/>
            <w:shd w:val="clear" w:color="000000" w:fill="auto"/>
            <w:hideMark/>
          </w:tcPr>
          <w:p w14:paraId="768820C7" w14:textId="77777777" w:rsidR="003479AC" w:rsidRPr="00764F8E" w:rsidRDefault="003479AC" w:rsidP="00AF3F39">
            <w:pPr>
              <w:rPr>
                <w:rFonts w:cs="Arial"/>
                <w:sz w:val="18"/>
                <w:szCs w:val="18"/>
              </w:rPr>
            </w:pPr>
            <w:r w:rsidRPr="00764F8E">
              <w:rPr>
                <w:rFonts w:cs="Arial"/>
                <w:sz w:val="18"/>
                <w:szCs w:val="18"/>
              </w:rPr>
              <w:t>Profit (loss)</w:t>
            </w:r>
          </w:p>
        </w:tc>
        <w:tc>
          <w:tcPr>
            <w:tcW w:w="4003" w:type="dxa"/>
            <w:shd w:val="clear" w:color="000000" w:fill="auto"/>
          </w:tcPr>
          <w:p w14:paraId="5F5E7604" w14:textId="77777777"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_ProfitLoss</w:t>
            </w:r>
          </w:p>
        </w:tc>
        <w:tc>
          <w:tcPr>
            <w:tcW w:w="1667" w:type="dxa"/>
            <w:shd w:val="clear" w:color="000000" w:fill="auto"/>
          </w:tcPr>
          <w:p w14:paraId="45E25DE1" w14:textId="77777777" w:rsidR="003479AC" w:rsidRPr="00764F8E" w:rsidRDefault="003479AC" w:rsidP="00AF3F39">
            <w:pPr>
              <w:rPr>
                <w:rFonts w:cs="Arial"/>
                <w:sz w:val="18"/>
                <w:szCs w:val="18"/>
              </w:rPr>
            </w:pPr>
            <w:r>
              <w:rPr>
                <w:rFonts w:cs="Arial"/>
                <w:sz w:val="18"/>
                <w:szCs w:val="18"/>
              </w:rPr>
              <w:t>Profit (loss)</w:t>
            </w:r>
          </w:p>
        </w:tc>
      </w:tr>
      <w:tr w:rsidR="003479AC" w:rsidRPr="00F0348F" w14:paraId="12AA33B9" w14:textId="77777777" w:rsidTr="00384BF5">
        <w:trPr>
          <w:trHeight w:val="435"/>
        </w:trPr>
        <w:tc>
          <w:tcPr>
            <w:tcW w:w="3998" w:type="dxa"/>
            <w:shd w:val="clear" w:color="000000" w:fill="auto"/>
            <w:hideMark/>
          </w:tcPr>
          <w:p w14:paraId="46B53D64" w14:textId="77777777" w:rsidR="003479AC" w:rsidRPr="00764F8E" w:rsidRDefault="003479AC" w:rsidP="00AF3F39">
            <w:pPr>
              <w:rPr>
                <w:rFonts w:cs="Arial"/>
                <w:sz w:val="18"/>
                <w:szCs w:val="18"/>
              </w:rPr>
            </w:pPr>
            <w:r w:rsidRPr="00764F8E">
              <w:rPr>
                <w:rFonts w:cs="Arial"/>
                <w:sz w:val="18"/>
                <w:szCs w:val="18"/>
              </w:rPr>
              <w:t>Total comprehensive income</w:t>
            </w:r>
          </w:p>
        </w:tc>
        <w:tc>
          <w:tcPr>
            <w:tcW w:w="4003" w:type="dxa"/>
            <w:shd w:val="clear" w:color="000000" w:fill="auto"/>
          </w:tcPr>
          <w:p w14:paraId="32010C22" w14:textId="77777777" w:rsidR="003479AC" w:rsidRPr="00764F8E" w:rsidRDefault="003479AC" w:rsidP="00AF3F39">
            <w:pPr>
              <w:rPr>
                <w:rFonts w:cs="Arial"/>
                <w:sz w:val="18"/>
                <w:szCs w:val="18"/>
              </w:rPr>
            </w:pPr>
            <w:r>
              <w:rPr>
                <w:rFonts w:cs="Arial"/>
                <w:sz w:val="18"/>
                <w:szCs w:val="18"/>
              </w:rPr>
              <w:t>i</w:t>
            </w:r>
            <w:r w:rsidRPr="00764F8E">
              <w:rPr>
                <w:rFonts w:cs="Arial"/>
                <w:sz w:val="18"/>
                <w:szCs w:val="18"/>
              </w:rPr>
              <w:t>frs</w:t>
            </w:r>
            <w:r>
              <w:rPr>
                <w:rFonts w:cs="Arial"/>
                <w:sz w:val="18"/>
                <w:szCs w:val="18"/>
              </w:rPr>
              <w:t>-full</w:t>
            </w:r>
            <w:r w:rsidRPr="00764F8E">
              <w:rPr>
                <w:rFonts w:cs="Arial"/>
                <w:sz w:val="18"/>
                <w:szCs w:val="18"/>
              </w:rPr>
              <w:t>_ComprehensiveIncome</w:t>
            </w:r>
          </w:p>
        </w:tc>
        <w:tc>
          <w:tcPr>
            <w:tcW w:w="1667" w:type="dxa"/>
            <w:shd w:val="clear" w:color="000000" w:fill="auto"/>
          </w:tcPr>
          <w:p w14:paraId="6D3B2FEB" w14:textId="77777777" w:rsidR="003479AC" w:rsidRPr="00764F8E" w:rsidRDefault="003479AC" w:rsidP="00AF3F39">
            <w:pPr>
              <w:rPr>
                <w:rFonts w:cs="Arial"/>
                <w:sz w:val="18"/>
                <w:szCs w:val="18"/>
              </w:rPr>
            </w:pPr>
            <w:r>
              <w:rPr>
                <w:rFonts w:cs="Arial"/>
                <w:sz w:val="18"/>
                <w:szCs w:val="18"/>
              </w:rPr>
              <w:t>Total comprehensive income</w:t>
            </w:r>
          </w:p>
        </w:tc>
      </w:tr>
      <w:tr w:rsidR="003479AC" w:rsidRPr="00FB5556" w14:paraId="66345E92" w14:textId="77777777" w:rsidTr="00384BF5">
        <w:trPr>
          <w:trHeight w:val="435"/>
        </w:trPr>
        <w:tc>
          <w:tcPr>
            <w:tcW w:w="3998" w:type="dxa"/>
            <w:shd w:val="clear" w:color="000000" w:fill="auto"/>
          </w:tcPr>
          <w:p w14:paraId="268F02AC" w14:textId="77777777" w:rsidR="003479AC" w:rsidRPr="00FB5556" w:rsidRDefault="003479AC" w:rsidP="00AF3F39">
            <w:pPr>
              <w:rPr>
                <w:rFonts w:cs="Arial"/>
                <w:sz w:val="18"/>
                <w:szCs w:val="18"/>
              </w:rPr>
            </w:pPr>
            <w:r w:rsidRPr="00FB5556">
              <w:rPr>
                <w:rFonts w:cs="Arial"/>
                <w:sz w:val="18"/>
                <w:szCs w:val="18"/>
              </w:rPr>
              <w:t>Details of any guarantees entered into by parent entity in relation to debts of its subsidiaries</w:t>
            </w:r>
          </w:p>
        </w:tc>
        <w:tc>
          <w:tcPr>
            <w:tcW w:w="4003" w:type="dxa"/>
            <w:shd w:val="clear" w:color="000000" w:fill="auto"/>
          </w:tcPr>
          <w:p w14:paraId="57663861" w14:textId="77777777" w:rsidR="003479AC" w:rsidRPr="00FB5556" w:rsidRDefault="003479AC" w:rsidP="00AF3F39">
            <w:pPr>
              <w:rPr>
                <w:rFonts w:cs="Arial"/>
                <w:sz w:val="18"/>
                <w:szCs w:val="18"/>
                <w:lang w:val="en-US"/>
              </w:rPr>
            </w:pPr>
            <w:r w:rsidRPr="00FB5556">
              <w:rPr>
                <w:rFonts w:cs="Arial"/>
                <w:sz w:val="18"/>
                <w:szCs w:val="18"/>
                <w:lang w:val="en-US"/>
              </w:rPr>
              <w:t>ifrs_au-full_DisclosureOfDetailsOfAnyGuaranteesEnteredIntoByParentEntityInRelationToDebtsOfItsSubsidiaries</w:t>
            </w:r>
          </w:p>
        </w:tc>
        <w:tc>
          <w:tcPr>
            <w:tcW w:w="1667" w:type="dxa"/>
            <w:shd w:val="clear" w:color="000000" w:fill="auto"/>
          </w:tcPr>
          <w:p w14:paraId="078DCE6A" w14:textId="77777777" w:rsidR="003479AC" w:rsidRPr="00FB5556" w:rsidRDefault="003479AC" w:rsidP="00AF3F39">
            <w:pPr>
              <w:rPr>
                <w:rFonts w:cs="Arial"/>
                <w:sz w:val="18"/>
                <w:szCs w:val="18"/>
              </w:rPr>
            </w:pPr>
            <w:r w:rsidRPr="00FB5556">
              <w:rPr>
                <w:rFonts w:cs="Arial"/>
                <w:sz w:val="18"/>
                <w:szCs w:val="18"/>
              </w:rPr>
              <w:t>Details of any guarantees entered into by parent entity in relation to debts of its subsidiaries</w:t>
            </w:r>
          </w:p>
        </w:tc>
      </w:tr>
      <w:tr w:rsidR="003479AC" w:rsidRPr="00FB5556" w14:paraId="239C5B63" w14:textId="77777777" w:rsidTr="00384BF5">
        <w:trPr>
          <w:trHeight w:val="435"/>
        </w:trPr>
        <w:tc>
          <w:tcPr>
            <w:tcW w:w="3998" w:type="dxa"/>
            <w:shd w:val="clear" w:color="000000" w:fill="auto"/>
          </w:tcPr>
          <w:p w14:paraId="021CEB5F" w14:textId="77777777" w:rsidR="003479AC" w:rsidRPr="00FB5556" w:rsidRDefault="003479AC" w:rsidP="00AF3F39">
            <w:pPr>
              <w:rPr>
                <w:rFonts w:cs="Arial"/>
                <w:sz w:val="18"/>
                <w:szCs w:val="18"/>
              </w:rPr>
            </w:pPr>
            <w:r w:rsidRPr="00FB5556">
              <w:rPr>
                <w:rFonts w:cs="Arial"/>
                <w:sz w:val="18"/>
                <w:szCs w:val="18"/>
              </w:rPr>
              <w:t>Details of any contingent liabilities of parent entity</w:t>
            </w:r>
          </w:p>
        </w:tc>
        <w:tc>
          <w:tcPr>
            <w:tcW w:w="4003" w:type="dxa"/>
            <w:shd w:val="clear" w:color="000000" w:fill="auto"/>
          </w:tcPr>
          <w:p w14:paraId="2A7E574E" w14:textId="77777777" w:rsidR="003479AC" w:rsidRPr="00FB5556" w:rsidRDefault="003479AC" w:rsidP="00AF3F39">
            <w:pPr>
              <w:rPr>
                <w:rFonts w:cs="Arial"/>
                <w:sz w:val="18"/>
                <w:szCs w:val="18"/>
                <w:lang w:val="en-US"/>
              </w:rPr>
            </w:pPr>
            <w:r w:rsidRPr="00FB5556">
              <w:rPr>
                <w:rFonts w:cs="Arial"/>
                <w:sz w:val="18"/>
                <w:szCs w:val="18"/>
                <w:lang w:val="en-US"/>
              </w:rPr>
              <w:t>ifrs_au-full_DisclosureOfContingentLiabilitiesOfParentEntity</w:t>
            </w:r>
          </w:p>
        </w:tc>
        <w:tc>
          <w:tcPr>
            <w:tcW w:w="1667" w:type="dxa"/>
            <w:shd w:val="clear" w:color="000000" w:fill="auto"/>
          </w:tcPr>
          <w:p w14:paraId="4BE8233B" w14:textId="77777777" w:rsidR="003479AC" w:rsidRPr="00FB5556" w:rsidRDefault="003479AC" w:rsidP="00AF3F39">
            <w:pPr>
              <w:rPr>
                <w:rFonts w:cs="Arial"/>
                <w:sz w:val="18"/>
                <w:szCs w:val="18"/>
              </w:rPr>
            </w:pPr>
            <w:r w:rsidRPr="00FB5556">
              <w:rPr>
                <w:rFonts w:cs="Arial"/>
                <w:sz w:val="18"/>
                <w:szCs w:val="18"/>
              </w:rPr>
              <w:t>Details of any contingent liabilities of parent entity</w:t>
            </w:r>
          </w:p>
        </w:tc>
      </w:tr>
      <w:tr w:rsidR="003479AC" w:rsidRPr="00F0348F" w14:paraId="329AF1E7" w14:textId="77777777" w:rsidTr="00384BF5">
        <w:trPr>
          <w:trHeight w:val="435"/>
        </w:trPr>
        <w:tc>
          <w:tcPr>
            <w:tcW w:w="3998" w:type="dxa"/>
            <w:shd w:val="clear" w:color="000000" w:fill="auto"/>
          </w:tcPr>
          <w:p w14:paraId="406AAD59" w14:textId="77777777" w:rsidR="003479AC" w:rsidRPr="00FB5556" w:rsidRDefault="003479AC" w:rsidP="00AF3F39">
            <w:pPr>
              <w:rPr>
                <w:rFonts w:cs="Arial"/>
                <w:sz w:val="18"/>
                <w:szCs w:val="18"/>
              </w:rPr>
            </w:pPr>
            <w:r w:rsidRPr="00FB5556">
              <w:rPr>
                <w:rFonts w:cs="Arial"/>
                <w:sz w:val="18"/>
                <w:szCs w:val="18"/>
              </w:rPr>
              <w:t>Details of any contractual commitments by parent entity for acquisition of property plant and equipment</w:t>
            </w:r>
          </w:p>
        </w:tc>
        <w:tc>
          <w:tcPr>
            <w:tcW w:w="4003" w:type="dxa"/>
            <w:shd w:val="clear" w:color="000000" w:fill="auto"/>
          </w:tcPr>
          <w:p w14:paraId="5788F4A4" w14:textId="77777777" w:rsidR="003479AC" w:rsidRPr="00FB5556" w:rsidRDefault="003479AC" w:rsidP="00AF3F39">
            <w:pPr>
              <w:rPr>
                <w:rFonts w:cs="Arial"/>
                <w:sz w:val="18"/>
                <w:szCs w:val="18"/>
                <w:lang w:val="en-US"/>
              </w:rPr>
            </w:pPr>
            <w:r w:rsidRPr="00FB5556">
              <w:rPr>
                <w:rFonts w:cs="Arial"/>
                <w:sz w:val="18"/>
                <w:szCs w:val="18"/>
                <w:lang w:val="en-US"/>
              </w:rPr>
              <w:t>ifrs_au-full_DisclosureOfContractualCommitmentsByParentEntityForAcquisitionOfPropertyPlantAndEquipment</w:t>
            </w:r>
          </w:p>
          <w:p w14:paraId="3C1E1218" w14:textId="77777777" w:rsidR="003479AC" w:rsidRPr="00FB5556" w:rsidRDefault="003479AC" w:rsidP="00AF3F39">
            <w:pPr>
              <w:rPr>
                <w:rFonts w:cs="Arial"/>
                <w:sz w:val="18"/>
                <w:szCs w:val="18"/>
                <w:lang w:val="en-US"/>
              </w:rPr>
            </w:pPr>
          </w:p>
        </w:tc>
        <w:tc>
          <w:tcPr>
            <w:tcW w:w="1667" w:type="dxa"/>
            <w:shd w:val="clear" w:color="000000" w:fill="auto"/>
          </w:tcPr>
          <w:p w14:paraId="68A8E660" w14:textId="77777777" w:rsidR="003479AC" w:rsidRPr="00764F8E" w:rsidRDefault="003479AC" w:rsidP="00AF3F39">
            <w:pPr>
              <w:rPr>
                <w:rFonts w:cs="Arial"/>
                <w:sz w:val="18"/>
                <w:szCs w:val="18"/>
              </w:rPr>
            </w:pPr>
            <w:r w:rsidRPr="00FB5556">
              <w:rPr>
                <w:rFonts w:cs="Arial"/>
                <w:sz w:val="18"/>
                <w:szCs w:val="18"/>
              </w:rPr>
              <w:t>Details of any contractual commitments by parent entity for acquisition of property plant and equipment</w:t>
            </w:r>
          </w:p>
        </w:tc>
      </w:tr>
    </w:tbl>
    <w:p w14:paraId="1DFDA8A3" w14:textId="7983051C" w:rsidR="00396989" w:rsidRDefault="00396989" w:rsidP="00806FAD">
      <w:pPr>
        <w:pStyle w:val="ListParagraph"/>
        <w:rPr>
          <w:rFonts w:cs="Arial"/>
          <w:bCs/>
          <w:iCs/>
          <w:sz w:val="20"/>
          <w:szCs w:val="20"/>
        </w:rPr>
      </w:pPr>
    </w:p>
    <w:p w14:paraId="273B4397" w14:textId="77777777" w:rsidR="003A2E43" w:rsidRDefault="00CB1DB5" w:rsidP="00B94070">
      <w:pPr>
        <w:pStyle w:val="Head1"/>
        <w:tabs>
          <w:tab w:val="clear" w:pos="1928"/>
          <w:tab w:val="num" w:pos="709"/>
        </w:tabs>
        <w:ind w:left="709" w:hanging="709"/>
      </w:pPr>
      <w:r>
        <w:tab/>
      </w:r>
      <w:bookmarkStart w:id="187" w:name="_Toc205457973"/>
      <w:r w:rsidR="00D07281">
        <w:t>P</w:t>
      </w:r>
      <w:r w:rsidR="003A2E43">
        <w:t>reparer's guide</w:t>
      </w:r>
      <w:bookmarkEnd w:id="187"/>
    </w:p>
    <w:p w14:paraId="461FAB98" w14:textId="6E06F801" w:rsidR="00C14BFD" w:rsidRPr="00384BF5" w:rsidRDefault="00A074C1" w:rsidP="00384BF5">
      <w:pPr>
        <w:pStyle w:val="Heading5"/>
        <w:numPr>
          <w:ilvl w:val="0"/>
          <w:numId w:val="0"/>
        </w:numPr>
        <w:ind w:left="4"/>
        <w:jc w:val="both"/>
        <w:rPr>
          <w:rFonts w:cs="Arial"/>
          <w:b w:val="0"/>
          <w:i w:val="0"/>
          <w:szCs w:val="20"/>
        </w:rPr>
      </w:pPr>
      <w:r w:rsidRPr="00B3139D">
        <w:rPr>
          <w:rFonts w:cs="Arial"/>
          <w:b w:val="0"/>
          <w:i w:val="0"/>
          <w:szCs w:val="20"/>
        </w:rPr>
        <w:t xml:space="preserve">This section outlines how to prepare an instance document in terms of specifics of the </w:t>
      </w:r>
      <w:r w:rsidR="00BF1609">
        <w:rPr>
          <w:rFonts w:cs="Arial"/>
          <w:b w:val="0"/>
          <w:i w:val="0"/>
          <w:szCs w:val="20"/>
        </w:rPr>
        <w:t>IFRS</w:t>
      </w:r>
      <w:r w:rsidR="00FB1E0E">
        <w:rPr>
          <w:rFonts w:cs="Arial"/>
          <w:b w:val="0"/>
          <w:i w:val="0"/>
          <w:szCs w:val="20"/>
        </w:rPr>
        <w:t xml:space="preserve"> AU</w:t>
      </w:r>
      <w:r w:rsidR="00BF1609">
        <w:rPr>
          <w:rFonts w:cs="Arial"/>
          <w:b w:val="0"/>
          <w:i w:val="0"/>
          <w:szCs w:val="20"/>
        </w:rPr>
        <w:t xml:space="preserve"> </w:t>
      </w:r>
      <w:r w:rsidR="001C121E" w:rsidRPr="00B3139D">
        <w:rPr>
          <w:rFonts w:cs="Arial"/>
          <w:b w:val="0"/>
          <w:i w:val="0"/>
          <w:szCs w:val="20"/>
        </w:rPr>
        <w:t>context</w:t>
      </w:r>
      <w:r w:rsidR="008317F2" w:rsidRPr="00B3139D">
        <w:rPr>
          <w:rFonts w:cs="Arial"/>
          <w:b w:val="0"/>
          <w:i w:val="0"/>
          <w:szCs w:val="20"/>
        </w:rPr>
        <w:t>s</w:t>
      </w:r>
      <w:r w:rsidR="0082589B">
        <w:rPr>
          <w:rFonts w:cs="Arial"/>
          <w:b w:val="0"/>
          <w:i w:val="0"/>
          <w:szCs w:val="20"/>
        </w:rPr>
        <w:t xml:space="preserve"> and dimensions used, </w:t>
      </w:r>
      <w:r w:rsidR="003E7D7D" w:rsidRPr="00B3139D">
        <w:rPr>
          <w:rFonts w:cs="Arial"/>
          <w:b w:val="0"/>
          <w:i w:val="0"/>
          <w:szCs w:val="20"/>
        </w:rPr>
        <w:t>units and facts</w:t>
      </w:r>
      <w:r w:rsidR="003E7D7D" w:rsidRPr="00B3139D">
        <w:rPr>
          <w:rFonts w:cs="Arial"/>
          <w:szCs w:val="20"/>
        </w:rPr>
        <w:t xml:space="preserve"> </w:t>
      </w:r>
      <w:r w:rsidR="001C121E" w:rsidRPr="00B3139D">
        <w:rPr>
          <w:rFonts w:cs="Arial"/>
          <w:b w:val="0"/>
          <w:i w:val="0"/>
          <w:szCs w:val="20"/>
        </w:rPr>
        <w:t>required to be supplied within the instance document</w:t>
      </w:r>
      <w:r w:rsidRPr="00B3139D">
        <w:rPr>
          <w:rFonts w:cs="Arial"/>
          <w:b w:val="0"/>
          <w:i w:val="0"/>
          <w:szCs w:val="20"/>
        </w:rPr>
        <w:t xml:space="preserve">. </w:t>
      </w:r>
    </w:p>
    <w:p w14:paraId="4806C7DA" w14:textId="77777777" w:rsidR="00C14BFD" w:rsidRDefault="00C14BFD" w:rsidP="00C14BFD">
      <w:pPr>
        <w:pStyle w:val="CommentText"/>
      </w:pPr>
    </w:p>
    <w:p w14:paraId="6B0C39C4" w14:textId="0CA01269" w:rsidR="005A00C6" w:rsidRDefault="00FB1E0E" w:rsidP="00767ABB">
      <w:pPr>
        <w:pStyle w:val="Head2"/>
        <w:tabs>
          <w:tab w:val="clear" w:pos="1144"/>
          <w:tab w:val="num" w:pos="709"/>
        </w:tabs>
        <w:ind w:hanging="1144"/>
      </w:pPr>
      <w:bookmarkStart w:id="188" w:name="_Toc261425832"/>
      <w:bookmarkStart w:id="189" w:name="_Toc262111471"/>
      <w:bookmarkStart w:id="190" w:name="_Toc262121438"/>
      <w:bookmarkStart w:id="191" w:name="_Toc261425833"/>
      <w:bookmarkStart w:id="192" w:name="_Toc262111472"/>
      <w:bookmarkStart w:id="193" w:name="_Toc262121439"/>
      <w:bookmarkStart w:id="194" w:name="_Toc261425834"/>
      <w:bookmarkStart w:id="195" w:name="_Toc262111473"/>
      <w:bookmarkStart w:id="196" w:name="_Toc262121440"/>
      <w:bookmarkStart w:id="197" w:name="_Toc261425835"/>
      <w:bookmarkStart w:id="198" w:name="_Toc262111474"/>
      <w:bookmarkStart w:id="199" w:name="_Toc262121441"/>
      <w:bookmarkStart w:id="200" w:name="_Toc261425836"/>
      <w:bookmarkStart w:id="201" w:name="_Toc262111475"/>
      <w:bookmarkStart w:id="202" w:name="_Toc262121442"/>
      <w:bookmarkStart w:id="203" w:name="_Toc261425837"/>
      <w:bookmarkStart w:id="204" w:name="_Toc262111476"/>
      <w:bookmarkStart w:id="205" w:name="_Toc262121443"/>
      <w:bookmarkStart w:id="206" w:name="_Toc261425838"/>
      <w:bookmarkStart w:id="207" w:name="_Toc262111477"/>
      <w:bookmarkStart w:id="208" w:name="_Toc262121444"/>
      <w:bookmarkStart w:id="209" w:name="_Toc205457974"/>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t xml:space="preserve">Mapping to </w:t>
      </w:r>
      <w:r w:rsidR="00163040">
        <w:t xml:space="preserve">THE </w:t>
      </w:r>
      <w:r w:rsidR="00FC3CEC">
        <w:t xml:space="preserve">IFRS AU Taxonomy </w:t>
      </w:r>
      <w:r w:rsidR="009A4824">
        <w:t>2025</w:t>
      </w:r>
      <w:bookmarkEnd w:id="209"/>
    </w:p>
    <w:p w14:paraId="4F110E09" w14:textId="45C856F5" w:rsidR="005A00C6" w:rsidRDefault="005A00C6" w:rsidP="00F63F40">
      <w:pPr>
        <w:jc w:val="both"/>
        <w:rPr>
          <w:rFonts w:cs="Arial"/>
          <w:bCs/>
          <w:iCs/>
          <w:sz w:val="20"/>
          <w:szCs w:val="20"/>
        </w:rPr>
      </w:pPr>
      <w:r w:rsidRPr="005A00C6">
        <w:rPr>
          <w:rFonts w:cs="Arial"/>
          <w:bCs/>
          <w:iCs/>
          <w:sz w:val="20"/>
          <w:szCs w:val="20"/>
        </w:rPr>
        <w:t>The first step</w:t>
      </w:r>
      <w:r>
        <w:rPr>
          <w:rFonts w:cs="Arial"/>
          <w:bCs/>
          <w:iCs/>
          <w:sz w:val="20"/>
          <w:szCs w:val="20"/>
        </w:rPr>
        <w:t xml:space="preserve"> required for mapping the financial statements to the </w:t>
      </w:r>
      <w:r w:rsidR="00FC3CEC">
        <w:rPr>
          <w:rFonts w:cs="Arial"/>
          <w:bCs/>
          <w:iCs/>
          <w:sz w:val="20"/>
          <w:szCs w:val="20"/>
        </w:rPr>
        <w:t xml:space="preserve">IFRS AU Taxonomy </w:t>
      </w:r>
      <w:r w:rsidR="009A4824">
        <w:rPr>
          <w:rFonts w:cs="Arial"/>
          <w:bCs/>
          <w:iCs/>
          <w:sz w:val="20"/>
          <w:szCs w:val="20"/>
        </w:rPr>
        <w:t>2025</w:t>
      </w:r>
      <w:r w:rsidR="00753C7B" w:rsidRPr="005A00C6">
        <w:rPr>
          <w:rFonts w:cs="Arial"/>
          <w:bCs/>
          <w:iCs/>
          <w:sz w:val="20"/>
          <w:szCs w:val="20"/>
        </w:rPr>
        <w:t xml:space="preserve"> </w:t>
      </w:r>
      <w:r w:rsidRPr="005A00C6">
        <w:rPr>
          <w:rFonts w:cs="Arial"/>
          <w:bCs/>
          <w:iCs/>
          <w:sz w:val="20"/>
          <w:szCs w:val="20"/>
        </w:rPr>
        <w:t>is</w:t>
      </w:r>
      <w:r>
        <w:rPr>
          <w:rFonts w:cs="Arial"/>
          <w:bCs/>
          <w:iCs/>
          <w:sz w:val="20"/>
          <w:szCs w:val="20"/>
        </w:rPr>
        <w:t xml:space="preserve"> to </w:t>
      </w:r>
      <w:r w:rsidR="006C75F2">
        <w:rPr>
          <w:rFonts w:cs="Arial"/>
          <w:bCs/>
          <w:iCs/>
          <w:sz w:val="20"/>
          <w:szCs w:val="20"/>
        </w:rPr>
        <w:t>understand</w:t>
      </w:r>
      <w:r w:rsidRPr="005A00C6">
        <w:rPr>
          <w:rFonts w:cs="Arial"/>
          <w:bCs/>
          <w:iCs/>
          <w:sz w:val="20"/>
          <w:szCs w:val="20"/>
        </w:rPr>
        <w:t xml:space="preserve"> how the IFRS Taxonomy reflects the IFRSs </w:t>
      </w:r>
      <w:r w:rsidR="006C75F2">
        <w:rPr>
          <w:rFonts w:cs="Arial"/>
          <w:bCs/>
          <w:iCs/>
          <w:sz w:val="20"/>
          <w:szCs w:val="20"/>
        </w:rPr>
        <w:t>for</w:t>
      </w:r>
      <w:r w:rsidRPr="005A00C6">
        <w:rPr>
          <w:rFonts w:cs="Arial"/>
          <w:bCs/>
          <w:iCs/>
          <w:sz w:val="20"/>
          <w:szCs w:val="20"/>
        </w:rPr>
        <w:t xml:space="preserve"> financial reporting. </w:t>
      </w:r>
      <w:r w:rsidR="00E23EAD">
        <w:rPr>
          <w:rFonts w:cs="Arial"/>
          <w:bCs/>
          <w:iCs/>
          <w:sz w:val="20"/>
          <w:szCs w:val="20"/>
        </w:rPr>
        <w:t>One</w:t>
      </w:r>
      <w:r w:rsidRPr="005A00C6">
        <w:rPr>
          <w:rFonts w:cs="Arial"/>
          <w:bCs/>
          <w:iCs/>
          <w:sz w:val="20"/>
          <w:szCs w:val="20"/>
        </w:rPr>
        <w:t xml:space="preserve"> way to learn about the structure and content of the</w:t>
      </w:r>
      <w:r w:rsidR="00767ABB">
        <w:rPr>
          <w:rFonts w:cs="Arial"/>
          <w:bCs/>
          <w:iCs/>
          <w:sz w:val="20"/>
          <w:szCs w:val="20"/>
        </w:rPr>
        <w:t xml:space="preserve"> </w:t>
      </w:r>
      <w:r w:rsidR="00FC3CEC">
        <w:rPr>
          <w:rFonts w:cs="Arial"/>
          <w:bCs/>
          <w:iCs/>
          <w:sz w:val="20"/>
          <w:szCs w:val="20"/>
        </w:rPr>
        <w:t xml:space="preserve">IFRS AU Taxonomy </w:t>
      </w:r>
      <w:r w:rsidR="009A4824">
        <w:rPr>
          <w:rFonts w:cs="Arial"/>
          <w:bCs/>
          <w:iCs/>
          <w:sz w:val="20"/>
          <w:szCs w:val="20"/>
        </w:rPr>
        <w:t>2025</w:t>
      </w:r>
      <w:r w:rsidR="00753C7B" w:rsidRPr="005A00C6">
        <w:rPr>
          <w:rFonts w:cs="Arial"/>
          <w:bCs/>
          <w:iCs/>
          <w:sz w:val="20"/>
          <w:szCs w:val="20"/>
        </w:rPr>
        <w:t xml:space="preserve"> </w:t>
      </w:r>
      <w:r w:rsidRPr="005A00C6">
        <w:rPr>
          <w:rFonts w:cs="Arial"/>
          <w:bCs/>
          <w:iCs/>
          <w:sz w:val="20"/>
          <w:szCs w:val="20"/>
        </w:rPr>
        <w:t xml:space="preserve">is to use </w:t>
      </w:r>
      <w:r w:rsidR="00767ABB">
        <w:rPr>
          <w:rFonts w:cs="Arial"/>
          <w:bCs/>
          <w:iCs/>
          <w:sz w:val="20"/>
          <w:szCs w:val="20"/>
        </w:rPr>
        <w:t>t</w:t>
      </w:r>
      <w:r w:rsidRPr="005A00C6">
        <w:rPr>
          <w:rFonts w:cs="Arial"/>
          <w:bCs/>
          <w:iCs/>
          <w:sz w:val="20"/>
          <w:szCs w:val="20"/>
        </w:rPr>
        <w:t>he</w:t>
      </w:r>
      <w:r w:rsidR="00767ABB">
        <w:rPr>
          <w:rFonts w:cs="Arial"/>
          <w:bCs/>
          <w:iCs/>
          <w:sz w:val="20"/>
          <w:szCs w:val="20"/>
        </w:rPr>
        <w:t xml:space="preserve"> </w:t>
      </w:r>
      <w:r w:rsidR="00FC3CEC">
        <w:rPr>
          <w:rFonts w:cs="Arial"/>
          <w:bCs/>
          <w:iCs/>
          <w:sz w:val="20"/>
          <w:szCs w:val="20"/>
        </w:rPr>
        <w:t xml:space="preserve">IFRS AU Taxonomy </w:t>
      </w:r>
      <w:r w:rsidR="009A4824">
        <w:rPr>
          <w:rFonts w:cs="Arial"/>
          <w:bCs/>
          <w:iCs/>
          <w:sz w:val="20"/>
          <w:szCs w:val="20"/>
        </w:rPr>
        <w:t>2025</w:t>
      </w:r>
      <w:r w:rsidR="00753C7B">
        <w:rPr>
          <w:rFonts w:cs="Arial"/>
          <w:bCs/>
          <w:iCs/>
          <w:sz w:val="20"/>
          <w:szCs w:val="20"/>
        </w:rPr>
        <w:t xml:space="preserve"> </w:t>
      </w:r>
      <w:r w:rsidRPr="005A00C6">
        <w:rPr>
          <w:rFonts w:cs="Arial"/>
          <w:bCs/>
          <w:iCs/>
          <w:sz w:val="20"/>
          <w:szCs w:val="20"/>
        </w:rPr>
        <w:t>Illustrated</w:t>
      </w:r>
      <w:r w:rsidR="00767ABB">
        <w:rPr>
          <w:rFonts w:cs="Arial"/>
          <w:bCs/>
          <w:iCs/>
          <w:sz w:val="20"/>
          <w:szCs w:val="20"/>
        </w:rPr>
        <w:t xml:space="preserve"> – see Appendix A </w:t>
      </w:r>
      <w:r w:rsidRPr="005A00C6">
        <w:rPr>
          <w:rFonts w:cs="Arial"/>
          <w:bCs/>
          <w:iCs/>
          <w:sz w:val="20"/>
          <w:szCs w:val="20"/>
        </w:rPr>
        <w:t xml:space="preserve">or to navigate the taxonomy using an XBRL tool. </w:t>
      </w:r>
      <w:r w:rsidR="002534BC">
        <w:rPr>
          <w:rFonts w:cs="Arial"/>
          <w:bCs/>
          <w:iCs/>
          <w:sz w:val="20"/>
          <w:szCs w:val="20"/>
        </w:rPr>
        <w:t xml:space="preserve">The illustration in Appendix A shows the presentation linkbase of entry point </w:t>
      </w:r>
      <w:r w:rsidR="00770854">
        <w:rPr>
          <w:rFonts w:cs="Arial"/>
          <w:bCs/>
          <w:iCs/>
          <w:sz w:val="20"/>
          <w:szCs w:val="20"/>
        </w:rPr>
        <w:t>one</w:t>
      </w:r>
      <w:r w:rsidR="002534BC">
        <w:rPr>
          <w:rFonts w:cs="Arial"/>
          <w:bCs/>
          <w:iCs/>
          <w:sz w:val="20"/>
          <w:szCs w:val="20"/>
        </w:rPr>
        <w:t>.</w:t>
      </w:r>
    </w:p>
    <w:p w14:paraId="5C545698" w14:textId="77777777" w:rsidR="005A7962" w:rsidRDefault="005A7962" w:rsidP="00F63F40">
      <w:pPr>
        <w:jc w:val="both"/>
        <w:rPr>
          <w:rFonts w:cs="Arial"/>
          <w:bCs/>
          <w:iCs/>
          <w:sz w:val="20"/>
          <w:szCs w:val="20"/>
        </w:rPr>
      </w:pPr>
    </w:p>
    <w:p w14:paraId="2A8AF191" w14:textId="77777777" w:rsidR="0037599B" w:rsidRDefault="0037599B" w:rsidP="00F63F40">
      <w:pPr>
        <w:jc w:val="both"/>
        <w:rPr>
          <w:rFonts w:cs="Arial"/>
          <w:bCs/>
          <w:iCs/>
          <w:sz w:val="20"/>
          <w:szCs w:val="20"/>
        </w:rPr>
      </w:pPr>
      <w:r>
        <w:rPr>
          <w:rFonts w:cs="Arial"/>
          <w:bCs/>
          <w:iCs/>
          <w:sz w:val="20"/>
          <w:szCs w:val="20"/>
        </w:rPr>
        <w:t>During the mapping p</w:t>
      </w:r>
      <w:r w:rsidR="002B7E4A">
        <w:rPr>
          <w:rFonts w:cs="Arial"/>
          <w:bCs/>
          <w:iCs/>
          <w:sz w:val="20"/>
          <w:szCs w:val="20"/>
        </w:rPr>
        <w:t xml:space="preserve">hase, an entity must choose the line items and axis in accordance with their particular circumstances. </w:t>
      </w:r>
    </w:p>
    <w:p w14:paraId="6525B0F9" w14:textId="77777777" w:rsidR="00D26EA2" w:rsidRPr="00D26EA2" w:rsidRDefault="00D26EA2" w:rsidP="00024EAF">
      <w:pPr>
        <w:pStyle w:val="Head2"/>
        <w:tabs>
          <w:tab w:val="clear" w:pos="1144"/>
          <w:tab w:val="num" w:pos="709"/>
        </w:tabs>
        <w:ind w:hanging="1144"/>
      </w:pPr>
      <w:bookmarkStart w:id="210" w:name="_Toc205457975"/>
      <w:r w:rsidRPr="00D26EA2">
        <w:t>Context Specifications</w:t>
      </w:r>
      <w:bookmarkEnd w:id="210"/>
    </w:p>
    <w:p w14:paraId="72033F15" w14:textId="3E0E4A09" w:rsidR="00767ABB" w:rsidRDefault="00767ABB" w:rsidP="00767ABB">
      <w:pPr>
        <w:rPr>
          <w:rFonts w:cs="Arial"/>
          <w:bCs/>
          <w:iCs/>
          <w:sz w:val="20"/>
          <w:szCs w:val="20"/>
        </w:rPr>
      </w:pPr>
      <w:r w:rsidRPr="00A3693F">
        <w:rPr>
          <w:rFonts w:cs="Arial"/>
          <w:bCs/>
          <w:iCs/>
          <w:sz w:val="20"/>
          <w:szCs w:val="20"/>
        </w:rPr>
        <w:t xml:space="preserve">The context </w:t>
      </w:r>
      <w:r w:rsidR="00770854">
        <w:rPr>
          <w:rFonts w:cs="Arial"/>
          <w:bCs/>
          <w:iCs/>
          <w:sz w:val="20"/>
          <w:szCs w:val="20"/>
        </w:rPr>
        <w:t>should</w:t>
      </w:r>
      <w:r w:rsidR="00770854" w:rsidRPr="00A3693F">
        <w:rPr>
          <w:rFonts w:cs="Arial"/>
          <w:bCs/>
          <w:iCs/>
          <w:sz w:val="20"/>
          <w:szCs w:val="20"/>
        </w:rPr>
        <w:t xml:space="preserve"> </w:t>
      </w:r>
      <w:r w:rsidRPr="00A3693F">
        <w:rPr>
          <w:rFonts w:cs="Arial"/>
          <w:bCs/>
          <w:iCs/>
          <w:sz w:val="20"/>
          <w:szCs w:val="20"/>
        </w:rPr>
        <w:t xml:space="preserve">contain entity specific information such as </w:t>
      </w:r>
      <w:r w:rsidR="00191926">
        <w:rPr>
          <w:rFonts w:cs="Arial"/>
          <w:bCs/>
          <w:iCs/>
          <w:sz w:val="20"/>
          <w:szCs w:val="20"/>
        </w:rPr>
        <w:t>entity</w:t>
      </w:r>
      <w:r w:rsidRPr="00A3693F">
        <w:rPr>
          <w:rFonts w:cs="Arial"/>
          <w:bCs/>
          <w:iCs/>
          <w:sz w:val="20"/>
          <w:szCs w:val="20"/>
        </w:rPr>
        <w:t xml:space="preserve"> id</w:t>
      </w:r>
      <w:r>
        <w:rPr>
          <w:rFonts w:cs="Arial"/>
          <w:bCs/>
          <w:iCs/>
          <w:sz w:val="20"/>
          <w:szCs w:val="20"/>
        </w:rPr>
        <w:t xml:space="preserve">entifier, the reporting period, </w:t>
      </w:r>
      <w:r w:rsidR="00F63F40" w:rsidRPr="00A3693F">
        <w:rPr>
          <w:rFonts w:cs="Arial"/>
          <w:bCs/>
          <w:iCs/>
          <w:sz w:val="20"/>
          <w:szCs w:val="20"/>
        </w:rPr>
        <w:t>whether</w:t>
      </w:r>
      <w:r w:rsidRPr="00A3693F">
        <w:rPr>
          <w:rFonts w:cs="Arial"/>
          <w:bCs/>
          <w:iCs/>
          <w:sz w:val="20"/>
          <w:szCs w:val="20"/>
        </w:rPr>
        <w:t xml:space="preserve"> the information is consolidated, restated and so forth.</w:t>
      </w:r>
    </w:p>
    <w:p w14:paraId="019807C9" w14:textId="77777777" w:rsidR="002C2B96" w:rsidRDefault="002C2B96" w:rsidP="00767ABB">
      <w:pPr>
        <w:rPr>
          <w:rFonts w:cs="Arial"/>
          <w:bCs/>
          <w:iCs/>
          <w:sz w:val="20"/>
          <w:szCs w:val="20"/>
        </w:rPr>
      </w:pPr>
    </w:p>
    <w:p w14:paraId="406F66F0" w14:textId="5F270AAD" w:rsidR="00390F4F" w:rsidRDefault="00D26EA2" w:rsidP="00D26EA2">
      <w:pPr>
        <w:rPr>
          <w:rFonts w:cs="Arial"/>
          <w:bCs/>
          <w:iCs/>
          <w:sz w:val="20"/>
          <w:szCs w:val="20"/>
        </w:rPr>
      </w:pPr>
      <w:r w:rsidRPr="00A3693F">
        <w:rPr>
          <w:rFonts w:cs="Arial"/>
          <w:bCs/>
          <w:iCs/>
          <w:sz w:val="20"/>
          <w:szCs w:val="20"/>
        </w:rPr>
        <w:t xml:space="preserve">The Financial Report </w:t>
      </w:r>
      <w:r w:rsidR="00390F4F">
        <w:rPr>
          <w:rFonts w:cs="Arial"/>
          <w:bCs/>
          <w:iCs/>
          <w:sz w:val="20"/>
          <w:szCs w:val="20"/>
        </w:rPr>
        <w:t>will</w:t>
      </w:r>
      <w:r w:rsidRPr="00A3693F">
        <w:rPr>
          <w:rFonts w:cs="Arial"/>
          <w:bCs/>
          <w:iCs/>
          <w:sz w:val="20"/>
          <w:szCs w:val="20"/>
        </w:rPr>
        <w:t xml:space="preserve"> contain many context declarations and </w:t>
      </w:r>
      <w:r w:rsidR="00611431">
        <w:rPr>
          <w:rFonts w:cs="Arial"/>
          <w:bCs/>
          <w:iCs/>
          <w:sz w:val="20"/>
          <w:szCs w:val="20"/>
        </w:rPr>
        <w:t xml:space="preserve">this section will </w:t>
      </w:r>
      <w:r w:rsidR="00FB1E0E">
        <w:rPr>
          <w:rFonts w:cs="Arial"/>
          <w:bCs/>
          <w:iCs/>
          <w:sz w:val="20"/>
          <w:szCs w:val="20"/>
        </w:rPr>
        <w:t>specify</w:t>
      </w:r>
      <w:r w:rsidR="00611431">
        <w:rPr>
          <w:rFonts w:cs="Arial"/>
          <w:bCs/>
          <w:iCs/>
          <w:sz w:val="20"/>
          <w:szCs w:val="20"/>
        </w:rPr>
        <w:t xml:space="preserve"> the</w:t>
      </w:r>
      <w:r w:rsidRPr="00A3693F">
        <w:rPr>
          <w:rFonts w:cs="Arial"/>
          <w:bCs/>
          <w:iCs/>
          <w:sz w:val="20"/>
          <w:szCs w:val="20"/>
        </w:rPr>
        <w:t xml:space="preserve"> context elements which are common across all contexts</w:t>
      </w:r>
      <w:r w:rsidR="00767ABB">
        <w:rPr>
          <w:rFonts w:cs="Arial"/>
          <w:bCs/>
          <w:iCs/>
          <w:sz w:val="20"/>
          <w:szCs w:val="20"/>
        </w:rPr>
        <w:t xml:space="preserve"> and their </w:t>
      </w:r>
      <w:r w:rsidR="00770854">
        <w:rPr>
          <w:rFonts w:cs="Arial"/>
          <w:bCs/>
          <w:iCs/>
          <w:sz w:val="20"/>
          <w:szCs w:val="20"/>
        </w:rPr>
        <w:t xml:space="preserve">valid </w:t>
      </w:r>
      <w:r w:rsidR="00767ABB">
        <w:rPr>
          <w:rFonts w:cs="Arial"/>
          <w:bCs/>
          <w:iCs/>
          <w:sz w:val="20"/>
          <w:szCs w:val="20"/>
        </w:rPr>
        <w:t>values.</w:t>
      </w:r>
    </w:p>
    <w:p w14:paraId="0CCCD285" w14:textId="77777777" w:rsidR="002C2B96" w:rsidRPr="00A3693F" w:rsidRDefault="002C2B96" w:rsidP="00D26EA2">
      <w:pPr>
        <w:rPr>
          <w:rFonts w:cs="Arial"/>
          <w:bCs/>
          <w:iCs/>
          <w:sz w:val="20"/>
          <w:szCs w:val="20"/>
        </w:rPr>
      </w:pPr>
    </w:p>
    <w:p w14:paraId="28B4E247" w14:textId="77777777" w:rsidR="007E2546" w:rsidRDefault="007E2546" w:rsidP="007E2546">
      <w:pPr>
        <w:rPr>
          <w:rFonts w:cs="Arial"/>
          <w:bCs/>
          <w:iCs/>
          <w:sz w:val="20"/>
          <w:szCs w:val="20"/>
        </w:rPr>
      </w:pPr>
      <w:r w:rsidRPr="00A3693F">
        <w:rPr>
          <w:rFonts w:cs="Arial"/>
          <w:bCs/>
          <w:iCs/>
          <w:sz w:val="20"/>
          <w:szCs w:val="20"/>
        </w:rPr>
        <w:t xml:space="preserve">When producing </w:t>
      </w:r>
      <w:r w:rsidR="00392F25">
        <w:rPr>
          <w:rFonts w:cs="Arial"/>
          <w:bCs/>
          <w:iCs/>
          <w:sz w:val="20"/>
          <w:szCs w:val="20"/>
        </w:rPr>
        <w:t xml:space="preserve">the </w:t>
      </w:r>
      <w:r w:rsidRPr="00A3693F">
        <w:rPr>
          <w:rFonts w:cs="Arial"/>
          <w:bCs/>
          <w:iCs/>
          <w:sz w:val="20"/>
          <w:szCs w:val="20"/>
        </w:rPr>
        <w:t xml:space="preserve">instance document each element is required to have a context assigned which identifies the period and entity that the reported data relates to. </w:t>
      </w:r>
      <w:r w:rsidR="00390F4F">
        <w:rPr>
          <w:rFonts w:cs="Arial"/>
          <w:bCs/>
          <w:iCs/>
          <w:sz w:val="20"/>
          <w:szCs w:val="20"/>
        </w:rPr>
        <w:t xml:space="preserve">The entity is uniquely identified by the combination of the identifier and the scheme. </w:t>
      </w:r>
      <w:r w:rsidR="008974B6">
        <w:rPr>
          <w:rFonts w:cs="Arial"/>
          <w:bCs/>
          <w:iCs/>
          <w:sz w:val="20"/>
          <w:szCs w:val="20"/>
        </w:rPr>
        <w:t>The segment part of a context is not used; the scenario part of it is where all the information regarding the dimensions (axis) and dimension members is contained.</w:t>
      </w:r>
    </w:p>
    <w:p w14:paraId="3E598CD8" w14:textId="77777777" w:rsidR="00C66002" w:rsidRPr="00767ABB" w:rsidRDefault="00C66002" w:rsidP="00C66002">
      <w:pPr>
        <w:autoSpaceDE w:val="0"/>
        <w:autoSpaceDN w:val="0"/>
        <w:adjustRightInd w:val="0"/>
        <w:rPr>
          <w:rFonts w:cs="Arial"/>
          <w:bCs/>
          <w:iCs/>
          <w:sz w:val="20"/>
          <w:szCs w:val="20"/>
        </w:rPr>
      </w:pPr>
    </w:p>
    <w:p w14:paraId="0C7D0626" w14:textId="1F76D918" w:rsidR="00C66002" w:rsidRDefault="00C66002" w:rsidP="00C66002">
      <w:pPr>
        <w:autoSpaceDE w:val="0"/>
        <w:autoSpaceDN w:val="0"/>
        <w:adjustRightInd w:val="0"/>
        <w:rPr>
          <w:rFonts w:cs="Arial"/>
          <w:bCs/>
          <w:iCs/>
          <w:sz w:val="20"/>
          <w:szCs w:val="20"/>
        </w:rPr>
      </w:pPr>
      <w:r w:rsidRPr="00C66002">
        <w:rPr>
          <w:rFonts w:cs="Arial"/>
          <w:bCs/>
          <w:iCs/>
          <w:sz w:val="20"/>
          <w:szCs w:val="20"/>
        </w:rPr>
        <w:t>The dimensional features are addressed in instance documents using scenario elements in the context, thereby giving</w:t>
      </w:r>
      <w:r>
        <w:rPr>
          <w:rFonts w:cs="Arial"/>
          <w:bCs/>
          <w:iCs/>
          <w:sz w:val="20"/>
          <w:szCs w:val="20"/>
        </w:rPr>
        <w:t xml:space="preserve"> </w:t>
      </w:r>
      <w:r w:rsidRPr="00C66002">
        <w:rPr>
          <w:rFonts w:cs="Arial"/>
          <w:bCs/>
          <w:iCs/>
          <w:sz w:val="20"/>
          <w:szCs w:val="20"/>
        </w:rPr>
        <w:t xml:space="preserve">the reported facts a dimensional structure. </w:t>
      </w:r>
      <w:r w:rsidR="00A50F67">
        <w:rPr>
          <w:rFonts w:cs="Arial"/>
          <w:bCs/>
          <w:iCs/>
          <w:sz w:val="20"/>
          <w:szCs w:val="20"/>
        </w:rPr>
        <w:t xml:space="preserve">The </w:t>
      </w:r>
      <w:r w:rsidR="00FC3CEC">
        <w:rPr>
          <w:rFonts w:cs="Arial"/>
          <w:bCs/>
          <w:iCs/>
          <w:sz w:val="20"/>
          <w:szCs w:val="20"/>
        </w:rPr>
        <w:t xml:space="preserve">IFRS AU Taxonomy </w:t>
      </w:r>
      <w:r w:rsidR="009A4824">
        <w:rPr>
          <w:rFonts w:cs="Arial"/>
          <w:bCs/>
          <w:iCs/>
          <w:sz w:val="20"/>
          <w:szCs w:val="20"/>
        </w:rPr>
        <w:t>2025</w:t>
      </w:r>
      <w:r>
        <w:rPr>
          <w:rFonts w:cs="Arial"/>
          <w:bCs/>
          <w:iCs/>
          <w:sz w:val="20"/>
          <w:szCs w:val="20"/>
        </w:rPr>
        <w:t xml:space="preserve"> is using</w:t>
      </w:r>
      <w:r w:rsidR="00163040">
        <w:rPr>
          <w:rFonts w:cs="Arial"/>
          <w:bCs/>
          <w:iCs/>
          <w:sz w:val="20"/>
          <w:szCs w:val="20"/>
        </w:rPr>
        <w:t xml:space="preserve"> only</w:t>
      </w:r>
      <w:r>
        <w:rPr>
          <w:rFonts w:cs="Arial"/>
          <w:bCs/>
          <w:iCs/>
          <w:sz w:val="20"/>
          <w:szCs w:val="20"/>
        </w:rPr>
        <w:t xml:space="preserve"> explicit dimensions </w:t>
      </w:r>
      <w:r w:rsidRPr="00C66002">
        <w:rPr>
          <w:rFonts w:cs="Arial"/>
          <w:bCs/>
          <w:iCs/>
          <w:sz w:val="20"/>
          <w:szCs w:val="20"/>
        </w:rPr>
        <w:t>an</w:t>
      </w:r>
      <w:r>
        <w:rPr>
          <w:rFonts w:cs="Arial"/>
          <w:bCs/>
          <w:iCs/>
          <w:sz w:val="20"/>
          <w:szCs w:val="20"/>
        </w:rPr>
        <w:t>d the</w:t>
      </w:r>
      <w:r w:rsidRPr="00C66002">
        <w:rPr>
          <w:rFonts w:cs="Arial"/>
          <w:bCs/>
          <w:iCs/>
          <w:sz w:val="20"/>
          <w:szCs w:val="20"/>
        </w:rPr>
        <w:t xml:space="preserve"> instance document </w:t>
      </w:r>
      <w:r>
        <w:rPr>
          <w:rFonts w:cs="Arial"/>
          <w:bCs/>
          <w:iCs/>
          <w:sz w:val="20"/>
          <w:szCs w:val="20"/>
        </w:rPr>
        <w:t>should refer</w:t>
      </w:r>
      <w:r w:rsidRPr="00C66002">
        <w:rPr>
          <w:rFonts w:cs="Arial"/>
          <w:bCs/>
          <w:iCs/>
          <w:sz w:val="20"/>
          <w:szCs w:val="20"/>
        </w:rPr>
        <w:t xml:space="preserve"> to the members or</w:t>
      </w:r>
      <w:r>
        <w:rPr>
          <w:rFonts w:cs="Arial"/>
          <w:bCs/>
          <w:iCs/>
          <w:sz w:val="20"/>
          <w:szCs w:val="20"/>
        </w:rPr>
        <w:t xml:space="preserve"> </w:t>
      </w:r>
      <w:r w:rsidRPr="00C66002">
        <w:rPr>
          <w:rFonts w:cs="Arial"/>
          <w:bCs/>
          <w:iCs/>
          <w:sz w:val="20"/>
          <w:szCs w:val="20"/>
        </w:rPr>
        <w:t xml:space="preserve">their combinations defined </w:t>
      </w:r>
      <w:r>
        <w:rPr>
          <w:rFonts w:cs="Arial"/>
          <w:bCs/>
          <w:iCs/>
          <w:sz w:val="20"/>
          <w:szCs w:val="20"/>
        </w:rPr>
        <w:t>below</w:t>
      </w:r>
      <w:r w:rsidRPr="00C66002">
        <w:rPr>
          <w:rFonts w:cs="Arial"/>
          <w:bCs/>
          <w:iCs/>
          <w:sz w:val="20"/>
          <w:szCs w:val="20"/>
        </w:rPr>
        <w:t>.</w:t>
      </w:r>
    </w:p>
    <w:p w14:paraId="3361A4D1" w14:textId="77777777" w:rsidR="00C66002" w:rsidRDefault="00C66002" w:rsidP="007E2546">
      <w:pPr>
        <w:rPr>
          <w:rFonts w:cs="Arial"/>
          <w:bCs/>
          <w:iCs/>
          <w:sz w:val="20"/>
          <w:szCs w:val="20"/>
        </w:rPr>
      </w:pPr>
    </w:p>
    <w:p w14:paraId="43FCA491" w14:textId="77777777" w:rsidR="00C66002" w:rsidRPr="00A3693F" w:rsidRDefault="00C66002" w:rsidP="00C66002">
      <w:pPr>
        <w:autoSpaceDE w:val="0"/>
        <w:autoSpaceDN w:val="0"/>
        <w:adjustRightInd w:val="0"/>
        <w:rPr>
          <w:rFonts w:cs="Arial"/>
          <w:bCs/>
          <w:iCs/>
          <w:sz w:val="20"/>
          <w:szCs w:val="20"/>
        </w:rPr>
      </w:pPr>
      <w:r w:rsidRPr="00A50F67">
        <w:rPr>
          <w:rFonts w:cs="Arial"/>
          <w:bCs/>
          <w:iCs/>
          <w:sz w:val="20"/>
          <w:szCs w:val="20"/>
        </w:rPr>
        <w:t>The IFRS Taxonomy defines default members for each of its axes. When reporting facts for the default member, the scenario element should be empty (the fact should be reported in a base non-dimensional context).</w:t>
      </w:r>
    </w:p>
    <w:p w14:paraId="4E4222D2" w14:textId="77777777" w:rsidR="00F0348F" w:rsidRPr="00A3693F" w:rsidRDefault="00F0348F" w:rsidP="00D26EA2">
      <w:pPr>
        <w:rPr>
          <w:rFonts w:cs="Arial"/>
          <w:bCs/>
          <w:iCs/>
          <w:sz w:val="20"/>
          <w:szCs w:val="20"/>
        </w:rPr>
      </w:pPr>
    </w:p>
    <w:p w14:paraId="5A3EAB74" w14:textId="77D16EE7" w:rsidR="00F0348F" w:rsidRPr="00D26EA2" w:rsidRDefault="00D26EA2" w:rsidP="00F0348F">
      <w:bookmarkStart w:id="211" w:name="_Toc261425840"/>
      <w:bookmarkStart w:id="212" w:name="_Toc262111479"/>
      <w:bookmarkStart w:id="213" w:name="_Toc262121446"/>
      <w:bookmarkStart w:id="214" w:name="_Toc261425841"/>
      <w:bookmarkStart w:id="215" w:name="_Toc262111480"/>
      <w:bookmarkStart w:id="216" w:name="_Toc262121447"/>
      <w:bookmarkStart w:id="217" w:name="_Toc261425842"/>
      <w:bookmarkStart w:id="218" w:name="_Toc262111481"/>
      <w:bookmarkStart w:id="219" w:name="_Toc262121448"/>
      <w:bookmarkStart w:id="220" w:name="_Toc261425843"/>
      <w:bookmarkStart w:id="221" w:name="_Toc262111482"/>
      <w:bookmarkStart w:id="222" w:name="_Toc262121449"/>
      <w:bookmarkStart w:id="223" w:name="_Toc261425844"/>
      <w:bookmarkStart w:id="224" w:name="_Toc262111483"/>
      <w:bookmarkStart w:id="225" w:name="_Toc262121450"/>
      <w:bookmarkStart w:id="226" w:name="_Toc261425845"/>
      <w:bookmarkStart w:id="227" w:name="_Toc262111484"/>
      <w:bookmarkStart w:id="228" w:name="_Toc262121451"/>
      <w:bookmarkStart w:id="229" w:name="_Toc261425846"/>
      <w:bookmarkStart w:id="230" w:name="_Toc262111485"/>
      <w:bookmarkStart w:id="231" w:name="_Toc262121452"/>
      <w:bookmarkStart w:id="232" w:name="_Toc261425847"/>
      <w:bookmarkStart w:id="233" w:name="_Toc262111486"/>
      <w:bookmarkStart w:id="234" w:name="_Toc262121453"/>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A3693F">
        <w:rPr>
          <w:rFonts w:cs="Arial"/>
          <w:bCs/>
          <w:iCs/>
          <w:sz w:val="20"/>
          <w:szCs w:val="20"/>
        </w:rPr>
        <w:t xml:space="preserve">The context elements </w:t>
      </w:r>
      <w:r w:rsidR="00F0348F">
        <w:rPr>
          <w:rFonts w:cs="Arial"/>
          <w:bCs/>
          <w:iCs/>
          <w:sz w:val="20"/>
          <w:szCs w:val="20"/>
        </w:rPr>
        <w:t xml:space="preserve">that </w:t>
      </w:r>
      <w:r w:rsidR="00770854">
        <w:rPr>
          <w:rFonts w:cs="Arial"/>
          <w:bCs/>
          <w:iCs/>
          <w:sz w:val="20"/>
          <w:szCs w:val="20"/>
        </w:rPr>
        <w:t xml:space="preserve">should </w:t>
      </w:r>
      <w:r w:rsidR="00611431">
        <w:rPr>
          <w:rFonts w:cs="Arial"/>
          <w:bCs/>
          <w:iCs/>
          <w:sz w:val="20"/>
          <w:szCs w:val="20"/>
        </w:rPr>
        <w:t>be present</w:t>
      </w:r>
      <w:r w:rsidR="00770854">
        <w:rPr>
          <w:rFonts w:cs="Arial"/>
          <w:bCs/>
          <w:iCs/>
          <w:sz w:val="20"/>
          <w:szCs w:val="20"/>
        </w:rPr>
        <w:t>ed</w:t>
      </w:r>
      <w:r w:rsidR="00611431">
        <w:rPr>
          <w:rFonts w:cs="Arial"/>
          <w:bCs/>
          <w:iCs/>
          <w:sz w:val="20"/>
          <w:szCs w:val="20"/>
        </w:rPr>
        <w:t xml:space="preserve"> </w:t>
      </w:r>
      <w:r w:rsidRPr="00A3693F">
        <w:rPr>
          <w:rFonts w:cs="Arial"/>
          <w:bCs/>
          <w:iCs/>
          <w:sz w:val="20"/>
          <w:szCs w:val="20"/>
        </w:rPr>
        <w:t>across all the possible context instan</w:t>
      </w:r>
      <w:r w:rsidR="00F0348F">
        <w:rPr>
          <w:rFonts w:cs="Arial"/>
          <w:bCs/>
          <w:iCs/>
          <w:sz w:val="20"/>
          <w:szCs w:val="20"/>
        </w:rPr>
        <w:t xml:space="preserve">ces within the Financial Report are listed in the Table below. The ‘Remarks’ column provides additional information required </w:t>
      </w:r>
      <w:r w:rsidR="00F0348F">
        <w:rPr>
          <w:sz w:val="20"/>
          <w:szCs w:val="20"/>
        </w:rPr>
        <w:t>some of</w:t>
      </w:r>
      <w:r w:rsidR="00F0348F" w:rsidRPr="00F0348F">
        <w:rPr>
          <w:sz w:val="20"/>
          <w:szCs w:val="20"/>
        </w:rPr>
        <w:t xml:space="preserve"> </w:t>
      </w:r>
      <w:r w:rsidR="00F0348F">
        <w:rPr>
          <w:sz w:val="20"/>
          <w:szCs w:val="20"/>
        </w:rPr>
        <w:t xml:space="preserve">the </w:t>
      </w:r>
      <w:r w:rsidR="00F0348F" w:rsidRPr="00F0348F">
        <w:rPr>
          <w:sz w:val="20"/>
          <w:szCs w:val="20"/>
        </w:rPr>
        <w:t xml:space="preserve">dimensions which may not be possible to use due to requirement to extend particular </w:t>
      </w:r>
      <w:r w:rsidR="00AF4002">
        <w:rPr>
          <w:sz w:val="20"/>
          <w:szCs w:val="20"/>
        </w:rPr>
        <w:t>domains and</w:t>
      </w:r>
      <w:r w:rsidR="00AF4002" w:rsidRPr="00F0348F">
        <w:rPr>
          <w:sz w:val="20"/>
          <w:szCs w:val="20"/>
        </w:rPr>
        <w:t xml:space="preserve"> </w:t>
      </w:r>
      <w:r w:rsidR="00F0348F" w:rsidRPr="00F0348F">
        <w:rPr>
          <w:sz w:val="20"/>
          <w:szCs w:val="20"/>
        </w:rPr>
        <w:t>provides the recommended text block element to be used instead</w:t>
      </w:r>
      <w:r w:rsidR="00F0348F">
        <w:rPr>
          <w:sz w:val="20"/>
          <w:szCs w:val="20"/>
        </w:rPr>
        <w:t xml:space="preserve"> (as discussed in section </w:t>
      </w:r>
      <w:r w:rsidR="0057724D">
        <w:rPr>
          <w:sz w:val="20"/>
          <w:szCs w:val="20"/>
        </w:rPr>
        <w:fldChar w:fldCharType="begin"/>
      </w:r>
      <w:r w:rsidR="00F0348F">
        <w:rPr>
          <w:sz w:val="20"/>
          <w:szCs w:val="20"/>
        </w:rPr>
        <w:instrText xml:space="preserve"> REF _Ref294704875 \r \h </w:instrText>
      </w:r>
      <w:r w:rsidR="0057724D">
        <w:rPr>
          <w:sz w:val="20"/>
          <w:szCs w:val="20"/>
        </w:rPr>
      </w:r>
      <w:r w:rsidR="0057724D">
        <w:rPr>
          <w:sz w:val="20"/>
          <w:szCs w:val="20"/>
        </w:rPr>
        <w:fldChar w:fldCharType="separate"/>
      </w:r>
      <w:r w:rsidR="00DD4231">
        <w:rPr>
          <w:sz w:val="20"/>
          <w:szCs w:val="20"/>
        </w:rPr>
        <w:t>3.4</w:t>
      </w:r>
      <w:r w:rsidR="0057724D">
        <w:rPr>
          <w:sz w:val="20"/>
          <w:szCs w:val="20"/>
        </w:rPr>
        <w:fldChar w:fldCharType="end"/>
      </w:r>
      <w:r w:rsidR="00F0348F">
        <w:rPr>
          <w:sz w:val="20"/>
          <w:szCs w:val="20"/>
        </w:rPr>
        <w:t>)</w:t>
      </w:r>
    </w:p>
    <w:p w14:paraId="314460D3" w14:textId="77777777" w:rsidR="00F63F40" w:rsidRDefault="00F63F40" w:rsidP="00D26EA2">
      <w:pPr>
        <w:rPr>
          <w:sz w:val="20"/>
          <w:szCs w:val="20"/>
        </w:rPr>
      </w:pPr>
    </w:p>
    <w:p w14:paraId="274356C5" w14:textId="77777777" w:rsidR="00F63F40" w:rsidRDefault="00F63F40" w:rsidP="00D26EA2">
      <w:pPr>
        <w:rPr>
          <w:sz w:val="20"/>
          <w:szCs w:val="20"/>
        </w:rPr>
      </w:pPr>
    </w:p>
    <w:p w14:paraId="5D648E6B" w14:textId="77777777" w:rsidR="007D1D6D" w:rsidRDefault="005005AD" w:rsidP="00F069A2">
      <w:pPr>
        <w:pStyle w:val="ListParagraph"/>
        <w:numPr>
          <w:ilvl w:val="0"/>
          <w:numId w:val="28"/>
        </w:numPr>
        <w:autoSpaceDE w:val="0"/>
        <w:autoSpaceDN w:val="0"/>
        <w:adjustRightInd w:val="0"/>
        <w:ind w:hanging="1070"/>
      </w:pPr>
      <w:r>
        <w:rPr>
          <w:rStyle w:val="Emphasis"/>
          <w:bCs w:val="0"/>
          <w:sz w:val="18"/>
          <w:szCs w:val="18"/>
        </w:rPr>
        <w:t>Context table</w:t>
      </w:r>
    </w:p>
    <w:tbl>
      <w:tblPr>
        <w:tblW w:w="8364" w:type="dxa"/>
        <w:tblInd w:w="108" w:type="dxa"/>
        <w:tblLayout w:type="fixed"/>
        <w:tblLook w:val="0000" w:firstRow="0" w:lastRow="0" w:firstColumn="0" w:lastColumn="0" w:noHBand="0" w:noVBand="0"/>
      </w:tblPr>
      <w:tblGrid>
        <w:gridCol w:w="1276"/>
        <w:gridCol w:w="4111"/>
        <w:gridCol w:w="2977"/>
      </w:tblGrid>
      <w:tr w:rsidR="00273D67" w:rsidRPr="00543DA0" w14:paraId="4E25EDD6" w14:textId="77777777" w:rsidTr="00273D67">
        <w:trPr>
          <w:trHeight w:val="450"/>
          <w:tblHeader/>
        </w:trPr>
        <w:tc>
          <w:tcPr>
            <w:tcW w:w="1276" w:type="dxa"/>
            <w:tcBorders>
              <w:top w:val="single" w:sz="4" w:space="0" w:color="auto"/>
              <w:left w:val="single" w:sz="4" w:space="0" w:color="auto"/>
              <w:bottom w:val="single" w:sz="4" w:space="0" w:color="auto"/>
              <w:right w:val="single" w:sz="6" w:space="0" w:color="auto"/>
            </w:tcBorders>
            <w:shd w:val="clear" w:color="auto" w:fill="C6D9F1"/>
            <w:vAlign w:val="center"/>
          </w:tcPr>
          <w:p w14:paraId="75B88A51" w14:textId="77777777" w:rsidR="00273D67" w:rsidRPr="00543DA0" w:rsidRDefault="00273D67" w:rsidP="00D26EA2">
            <w:pPr>
              <w:rPr>
                <w:b/>
                <w:sz w:val="18"/>
                <w:szCs w:val="18"/>
              </w:rPr>
            </w:pPr>
            <w:r w:rsidRPr="00543DA0">
              <w:rPr>
                <w:b/>
                <w:sz w:val="18"/>
                <w:szCs w:val="18"/>
              </w:rPr>
              <w:t>XBRL Instance Context Data Concept</w:t>
            </w:r>
          </w:p>
        </w:tc>
        <w:tc>
          <w:tcPr>
            <w:tcW w:w="4111" w:type="dxa"/>
            <w:tcBorders>
              <w:top w:val="single" w:sz="4" w:space="0" w:color="auto"/>
              <w:left w:val="single" w:sz="6" w:space="0" w:color="auto"/>
              <w:bottom w:val="single" w:sz="4" w:space="0" w:color="auto"/>
              <w:right w:val="single" w:sz="6" w:space="0" w:color="auto"/>
            </w:tcBorders>
            <w:shd w:val="clear" w:color="auto" w:fill="C6D9F1"/>
            <w:vAlign w:val="center"/>
          </w:tcPr>
          <w:p w14:paraId="4D36E627" w14:textId="77777777" w:rsidR="00273D67" w:rsidRPr="00543DA0" w:rsidRDefault="00273D67" w:rsidP="0012496D">
            <w:pPr>
              <w:rPr>
                <w:b/>
                <w:sz w:val="18"/>
                <w:szCs w:val="18"/>
              </w:rPr>
            </w:pPr>
            <w:r>
              <w:rPr>
                <w:b/>
                <w:sz w:val="18"/>
                <w:szCs w:val="18"/>
              </w:rPr>
              <w:t xml:space="preserve">Description </w:t>
            </w:r>
          </w:p>
        </w:tc>
        <w:tc>
          <w:tcPr>
            <w:tcW w:w="2977" w:type="dxa"/>
            <w:tcBorders>
              <w:top w:val="single" w:sz="4" w:space="0" w:color="auto"/>
              <w:left w:val="single" w:sz="6" w:space="0" w:color="auto"/>
              <w:bottom w:val="single" w:sz="4" w:space="0" w:color="auto"/>
              <w:right w:val="single" w:sz="6" w:space="0" w:color="auto"/>
            </w:tcBorders>
            <w:shd w:val="clear" w:color="auto" w:fill="C6D9F1"/>
          </w:tcPr>
          <w:p w14:paraId="4E2846AD" w14:textId="77777777" w:rsidR="00273D67" w:rsidRDefault="00273D67" w:rsidP="0012496D">
            <w:pPr>
              <w:rPr>
                <w:b/>
                <w:sz w:val="18"/>
                <w:szCs w:val="18"/>
              </w:rPr>
            </w:pPr>
          </w:p>
          <w:p w14:paraId="7A2C32E3" w14:textId="77777777" w:rsidR="00273D67" w:rsidRDefault="00273D67" w:rsidP="0012496D">
            <w:pPr>
              <w:rPr>
                <w:b/>
                <w:sz w:val="18"/>
                <w:szCs w:val="18"/>
              </w:rPr>
            </w:pPr>
          </w:p>
          <w:p w14:paraId="0CA918B7" w14:textId="77777777" w:rsidR="00273D67" w:rsidRPr="00543DA0" w:rsidRDefault="00273D67" w:rsidP="0012496D">
            <w:pPr>
              <w:rPr>
                <w:b/>
                <w:sz w:val="18"/>
                <w:szCs w:val="18"/>
              </w:rPr>
            </w:pPr>
            <w:r>
              <w:rPr>
                <w:b/>
                <w:sz w:val="18"/>
                <w:szCs w:val="18"/>
              </w:rPr>
              <w:t>Remarks</w:t>
            </w:r>
          </w:p>
        </w:tc>
      </w:tr>
      <w:tr w:rsidR="00273D67" w:rsidRPr="00D26EA2" w14:paraId="13271F81" w14:textId="77777777" w:rsidTr="00273D67">
        <w:trPr>
          <w:trHeight w:val="646"/>
        </w:trPr>
        <w:tc>
          <w:tcPr>
            <w:tcW w:w="1276" w:type="dxa"/>
            <w:tcBorders>
              <w:top w:val="single" w:sz="4" w:space="0" w:color="auto"/>
              <w:left w:val="single" w:sz="4" w:space="0" w:color="auto"/>
              <w:bottom w:val="single" w:sz="4" w:space="0" w:color="auto"/>
              <w:right w:val="single" w:sz="4" w:space="0" w:color="auto"/>
            </w:tcBorders>
            <w:noWrap/>
          </w:tcPr>
          <w:p w14:paraId="2021FDEA" w14:textId="77777777" w:rsidR="00273D67" w:rsidRPr="00543DA0" w:rsidRDefault="00273D67" w:rsidP="00D26EA2">
            <w:pPr>
              <w:rPr>
                <w:sz w:val="18"/>
                <w:szCs w:val="18"/>
              </w:rPr>
            </w:pPr>
            <w:r w:rsidRPr="00543DA0">
              <w:rPr>
                <w:sz w:val="18"/>
                <w:szCs w:val="18"/>
              </w:rPr>
              <w:t>Context Identifier</w:t>
            </w:r>
          </w:p>
        </w:tc>
        <w:tc>
          <w:tcPr>
            <w:tcW w:w="4111" w:type="dxa"/>
            <w:tcBorders>
              <w:top w:val="single" w:sz="4" w:space="0" w:color="auto"/>
              <w:left w:val="nil"/>
              <w:bottom w:val="single" w:sz="4" w:space="0" w:color="auto"/>
              <w:right w:val="single" w:sz="4" w:space="0" w:color="auto"/>
            </w:tcBorders>
          </w:tcPr>
          <w:p w14:paraId="2B9C5698" w14:textId="77777777" w:rsidR="00273D67" w:rsidRPr="005005AD" w:rsidRDefault="00273D67" w:rsidP="00060954">
            <w:pPr>
              <w:rPr>
                <w:sz w:val="18"/>
                <w:szCs w:val="18"/>
              </w:rPr>
            </w:pPr>
            <w:r w:rsidRPr="00543DA0">
              <w:rPr>
                <w:sz w:val="18"/>
                <w:szCs w:val="18"/>
              </w:rPr>
              <w:t>This is a unique identifier used to link the data element to a defined XBRL context</w:t>
            </w:r>
            <w:r>
              <w:rPr>
                <w:sz w:val="18"/>
                <w:szCs w:val="18"/>
              </w:rPr>
              <w:t>.</w:t>
            </w:r>
          </w:p>
        </w:tc>
        <w:tc>
          <w:tcPr>
            <w:tcW w:w="2977" w:type="dxa"/>
            <w:tcBorders>
              <w:top w:val="single" w:sz="4" w:space="0" w:color="auto"/>
              <w:left w:val="nil"/>
              <w:bottom w:val="single" w:sz="4" w:space="0" w:color="auto"/>
              <w:right w:val="single" w:sz="4" w:space="0" w:color="auto"/>
            </w:tcBorders>
          </w:tcPr>
          <w:p w14:paraId="27B2D877" w14:textId="61DEA7BC" w:rsidR="00273D67" w:rsidRPr="00543DA0" w:rsidRDefault="00770854" w:rsidP="00D26EA2">
            <w:pPr>
              <w:rPr>
                <w:sz w:val="18"/>
                <w:szCs w:val="18"/>
              </w:rPr>
            </w:pPr>
            <w:r>
              <w:rPr>
                <w:sz w:val="18"/>
                <w:szCs w:val="18"/>
              </w:rPr>
              <w:t>For example,</w:t>
            </w:r>
            <w:r w:rsidRPr="00060954">
              <w:rPr>
                <w:sz w:val="18"/>
                <w:szCs w:val="18"/>
              </w:rPr>
              <w:t xml:space="preserve"> </w:t>
            </w:r>
            <w:r w:rsidR="00273D67" w:rsidRPr="00060954">
              <w:rPr>
                <w:sz w:val="18"/>
                <w:szCs w:val="18"/>
              </w:rPr>
              <w:t>a four character id starting with ‘C’ and a three digit sequential number for each context e.g. C001</w:t>
            </w:r>
          </w:p>
        </w:tc>
      </w:tr>
      <w:tr w:rsidR="00273D67" w:rsidRPr="00D26EA2" w14:paraId="692FF31E" w14:textId="77777777" w:rsidTr="00273D67">
        <w:trPr>
          <w:trHeight w:val="492"/>
        </w:trPr>
        <w:tc>
          <w:tcPr>
            <w:tcW w:w="1276" w:type="dxa"/>
            <w:tcBorders>
              <w:top w:val="nil"/>
              <w:left w:val="single" w:sz="4" w:space="0" w:color="auto"/>
              <w:bottom w:val="single" w:sz="4" w:space="0" w:color="auto"/>
              <w:right w:val="single" w:sz="4" w:space="0" w:color="auto"/>
            </w:tcBorders>
            <w:noWrap/>
          </w:tcPr>
          <w:p w14:paraId="5EF05C45" w14:textId="77777777" w:rsidR="00273D67" w:rsidRPr="00543DA0" w:rsidRDefault="00273D67" w:rsidP="00D26EA2">
            <w:pPr>
              <w:rPr>
                <w:sz w:val="18"/>
                <w:szCs w:val="18"/>
              </w:rPr>
            </w:pPr>
            <w:r w:rsidRPr="00543DA0">
              <w:rPr>
                <w:sz w:val="18"/>
                <w:szCs w:val="18"/>
              </w:rPr>
              <w:t>Entity Identifier</w:t>
            </w:r>
          </w:p>
        </w:tc>
        <w:tc>
          <w:tcPr>
            <w:tcW w:w="4111" w:type="dxa"/>
            <w:tcBorders>
              <w:top w:val="nil"/>
              <w:left w:val="nil"/>
              <w:bottom w:val="single" w:sz="4" w:space="0" w:color="auto"/>
              <w:right w:val="single" w:sz="4" w:space="0" w:color="auto"/>
            </w:tcBorders>
          </w:tcPr>
          <w:p w14:paraId="0B316A7A" w14:textId="77777777" w:rsidR="00273D67" w:rsidRPr="00543DA0" w:rsidRDefault="00273D67" w:rsidP="0037599B">
            <w:pPr>
              <w:rPr>
                <w:sz w:val="18"/>
                <w:szCs w:val="18"/>
              </w:rPr>
            </w:pPr>
            <w:r w:rsidRPr="00543DA0">
              <w:rPr>
                <w:sz w:val="18"/>
                <w:szCs w:val="18"/>
              </w:rPr>
              <w:t>This field must be set to the ACN or ARSN or ARBN</w:t>
            </w:r>
            <w:r>
              <w:rPr>
                <w:sz w:val="18"/>
                <w:szCs w:val="18"/>
              </w:rPr>
              <w:t xml:space="preserve"> or the AFSL Number</w:t>
            </w:r>
            <w:r w:rsidRPr="00543DA0">
              <w:rPr>
                <w:sz w:val="18"/>
                <w:szCs w:val="18"/>
              </w:rPr>
              <w:t xml:space="preserve"> </w:t>
            </w:r>
            <w:r>
              <w:rPr>
                <w:sz w:val="18"/>
                <w:szCs w:val="18"/>
              </w:rPr>
              <w:t>of the entity submitting the financial reports</w:t>
            </w:r>
            <w:r w:rsidRPr="00543DA0">
              <w:rPr>
                <w:sz w:val="18"/>
                <w:szCs w:val="18"/>
              </w:rPr>
              <w:t>.</w:t>
            </w:r>
          </w:p>
        </w:tc>
        <w:tc>
          <w:tcPr>
            <w:tcW w:w="2977" w:type="dxa"/>
            <w:tcBorders>
              <w:top w:val="nil"/>
              <w:left w:val="nil"/>
              <w:bottom w:val="single" w:sz="4" w:space="0" w:color="auto"/>
              <w:right w:val="single" w:sz="4" w:space="0" w:color="auto"/>
            </w:tcBorders>
          </w:tcPr>
          <w:p w14:paraId="01CE7A21" w14:textId="77777777" w:rsidR="00273D67" w:rsidRPr="00543DA0" w:rsidRDefault="00273D67" w:rsidP="0037599B">
            <w:pPr>
              <w:rPr>
                <w:sz w:val="18"/>
                <w:szCs w:val="18"/>
              </w:rPr>
            </w:pPr>
            <w:r>
              <w:rPr>
                <w:sz w:val="18"/>
                <w:szCs w:val="18"/>
              </w:rPr>
              <w:t>The identifier must have same value as the identifier used for the coversheet form.</w:t>
            </w:r>
          </w:p>
        </w:tc>
      </w:tr>
      <w:tr w:rsidR="00273D67" w:rsidRPr="00D26EA2" w14:paraId="19FF5E10" w14:textId="77777777" w:rsidTr="00273D67">
        <w:trPr>
          <w:trHeight w:val="528"/>
        </w:trPr>
        <w:tc>
          <w:tcPr>
            <w:tcW w:w="1276" w:type="dxa"/>
            <w:tcBorders>
              <w:top w:val="nil"/>
              <w:left w:val="single" w:sz="4" w:space="0" w:color="auto"/>
              <w:bottom w:val="single" w:sz="4" w:space="0" w:color="auto"/>
              <w:right w:val="single" w:sz="4" w:space="0" w:color="auto"/>
            </w:tcBorders>
            <w:noWrap/>
          </w:tcPr>
          <w:p w14:paraId="6F8EA967" w14:textId="77777777" w:rsidR="00273D67" w:rsidRPr="00543DA0" w:rsidRDefault="00273D67" w:rsidP="00D26EA2">
            <w:pPr>
              <w:rPr>
                <w:sz w:val="18"/>
                <w:szCs w:val="18"/>
              </w:rPr>
            </w:pPr>
            <w:r w:rsidRPr="00543DA0">
              <w:rPr>
                <w:sz w:val="18"/>
                <w:szCs w:val="18"/>
              </w:rPr>
              <w:t>Entity Identifier Scheme</w:t>
            </w:r>
          </w:p>
        </w:tc>
        <w:tc>
          <w:tcPr>
            <w:tcW w:w="4111" w:type="dxa"/>
            <w:tcBorders>
              <w:top w:val="nil"/>
              <w:left w:val="nil"/>
              <w:bottom w:val="single" w:sz="4" w:space="0" w:color="auto"/>
              <w:right w:val="single" w:sz="4" w:space="0" w:color="auto"/>
            </w:tcBorders>
          </w:tcPr>
          <w:p w14:paraId="2CAF559D" w14:textId="77777777" w:rsidR="00273D67" w:rsidRPr="00543DA0" w:rsidRDefault="00273D67" w:rsidP="00D26EA2">
            <w:pPr>
              <w:rPr>
                <w:sz w:val="18"/>
                <w:szCs w:val="18"/>
              </w:rPr>
            </w:pPr>
            <w:r w:rsidRPr="00543DA0">
              <w:rPr>
                <w:sz w:val="18"/>
                <w:szCs w:val="18"/>
              </w:rPr>
              <w:t>This field must be set to one of the following</w:t>
            </w:r>
            <w:r>
              <w:rPr>
                <w:sz w:val="18"/>
                <w:szCs w:val="18"/>
              </w:rPr>
              <w:t xml:space="preserve"> values in accordance with the type of identifier used as the ‘entity identifier’</w:t>
            </w:r>
            <w:r w:rsidRPr="00543DA0">
              <w:rPr>
                <w:sz w:val="18"/>
                <w:szCs w:val="18"/>
              </w:rPr>
              <w:t>:</w:t>
            </w:r>
          </w:p>
          <w:p w14:paraId="5D74289F" w14:textId="77777777" w:rsidR="00273D67" w:rsidRPr="00543DA0" w:rsidRDefault="009274C1" w:rsidP="00D26EA2">
            <w:pPr>
              <w:rPr>
                <w:sz w:val="18"/>
                <w:szCs w:val="18"/>
              </w:rPr>
            </w:pPr>
            <w:hyperlink r:id="rId39" w:history="1">
              <w:r w:rsidR="00273D67" w:rsidRPr="00543DA0">
                <w:rPr>
                  <w:sz w:val="18"/>
                  <w:szCs w:val="18"/>
                </w:rPr>
                <w:t>http://www.asic.gov.au/ACN</w:t>
              </w:r>
            </w:hyperlink>
          </w:p>
          <w:p w14:paraId="4C474BA1" w14:textId="77777777" w:rsidR="00273D67" w:rsidRPr="00543DA0" w:rsidRDefault="009274C1" w:rsidP="00D26EA2">
            <w:pPr>
              <w:rPr>
                <w:sz w:val="18"/>
                <w:szCs w:val="18"/>
              </w:rPr>
            </w:pPr>
            <w:hyperlink r:id="rId40" w:history="1">
              <w:r w:rsidR="00273D67" w:rsidRPr="00543DA0">
                <w:rPr>
                  <w:sz w:val="18"/>
                  <w:szCs w:val="18"/>
                </w:rPr>
                <w:t>http://www.asic.gov.au/ARSN</w:t>
              </w:r>
            </w:hyperlink>
          </w:p>
          <w:p w14:paraId="662D4098" w14:textId="77777777" w:rsidR="00273D67" w:rsidRPr="00543DA0" w:rsidRDefault="009274C1" w:rsidP="00D26EA2">
            <w:pPr>
              <w:rPr>
                <w:sz w:val="18"/>
                <w:szCs w:val="18"/>
              </w:rPr>
            </w:pPr>
            <w:hyperlink r:id="rId41" w:history="1">
              <w:r w:rsidR="00273D67" w:rsidRPr="00543DA0">
                <w:rPr>
                  <w:sz w:val="18"/>
                  <w:szCs w:val="18"/>
                </w:rPr>
                <w:t>http://www.asic.gov.au/ARBN</w:t>
              </w:r>
            </w:hyperlink>
          </w:p>
          <w:p w14:paraId="7113F0A4" w14:textId="31CDBE78" w:rsidR="00273D67" w:rsidRPr="00770854" w:rsidRDefault="009274C1" w:rsidP="00D26EA2">
            <w:pPr>
              <w:rPr>
                <w:b/>
                <w:bCs/>
                <w:sz w:val="18"/>
                <w:szCs w:val="18"/>
              </w:rPr>
            </w:pPr>
            <w:hyperlink r:id="rId42" w:history="1">
              <w:r w:rsidR="00770854" w:rsidRPr="00770854">
                <w:rPr>
                  <w:rStyle w:val="Hyperlink"/>
                  <w:b w:val="0"/>
                  <w:bCs/>
                  <w:noProof w:val="0"/>
                  <w:color w:val="auto"/>
                  <w:sz w:val="18"/>
                  <w:szCs w:val="18"/>
                </w:rPr>
                <w:t>http://www.asic.gov.au/AFSL</w:t>
              </w:r>
            </w:hyperlink>
          </w:p>
        </w:tc>
        <w:tc>
          <w:tcPr>
            <w:tcW w:w="2977" w:type="dxa"/>
            <w:tcBorders>
              <w:top w:val="nil"/>
              <w:left w:val="nil"/>
              <w:bottom w:val="single" w:sz="4" w:space="0" w:color="auto"/>
              <w:right w:val="single" w:sz="4" w:space="0" w:color="auto"/>
            </w:tcBorders>
          </w:tcPr>
          <w:p w14:paraId="2503B339" w14:textId="77777777" w:rsidR="00273D67" w:rsidRPr="00543DA0" w:rsidRDefault="00273D67" w:rsidP="00D26EA2">
            <w:pPr>
              <w:rPr>
                <w:sz w:val="18"/>
                <w:szCs w:val="18"/>
              </w:rPr>
            </w:pPr>
            <w:r>
              <w:rPr>
                <w:sz w:val="18"/>
                <w:szCs w:val="18"/>
              </w:rPr>
              <w:t>The value selected must match the type of identifier used for ‘entity identifier’</w:t>
            </w:r>
          </w:p>
        </w:tc>
      </w:tr>
      <w:tr w:rsidR="00273D67" w:rsidRPr="00D26EA2" w14:paraId="3B49C06D" w14:textId="77777777" w:rsidTr="00273D67">
        <w:trPr>
          <w:trHeight w:val="528"/>
        </w:trPr>
        <w:tc>
          <w:tcPr>
            <w:tcW w:w="1276" w:type="dxa"/>
            <w:tcBorders>
              <w:top w:val="nil"/>
              <w:left w:val="single" w:sz="4" w:space="0" w:color="auto"/>
              <w:bottom w:val="single" w:sz="4" w:space="0" w:color="auto"/>
              <w:right w:val="single" w:sz="4" w:space="0" w:color="auto"/>
            </w:tcBorders>
            <w:noWrap/>
          </w:tcPr>
          <w:p w14:paraId="3CB929A1" w14:textId="305D2EB3" w:rsidR="00273D67" w:rsidRPr="00543DA0" w:rsidRDefault="00273D67" w:rsidP="004225EF">
            <w:pPr>
              <w:rPr>
                <w:sz w:val="18"/>
                <w:szCs w:val="18"/>
              </w:rPr>
            </w:pPr>
            <w:r>
              <w:rPr>
                <w:sz w:val="18"/>
                <w:szCs w:val="18"/>
              </w:rPr>
              <w:t>Scenario</w:t>
            </w:r>
          </w:p>
        </w:tc>
        <w:tc>
          <w:tcPr>
            <w:tcW w:w="4111" w:type="dxa"/>
            <w:tcBorders>
              <w:top w:val="nil"/>
              <w:left w:val="nil"/>
              <w:bottom w:val="single" w:sz="4" w:space="0" w:color="auto"/>
              <w:right w:val="single" w:sz="4" w:space="0" w:color="auto"/>
            </w:tcBorders>
          </w:tcPr>
          <w:p w14:paraId="6CBD6603" w14:textId="072F4D08" w:rsidR="00273D67" w:rsidRPr="00543DA0" w:rsidRDefault="00273D67" w:rsidP="004225EF">
            <w:pPr>
              <w:rPr>
                <w:sz w:val="18"/>
                <w:szCs w:val="18"/>
              </w:rPr>
            </w:pPr>
            <w:r w:rsidRPr="005005AD">
              <w:rPr>
                <w:sz w:val="18"/>
                <w:szCs w:val="18"/>
                <w:lang w:val="en-US"/>
              </w:rPr>
              <w:t xml:space="preserve"> Consolidated and separate financial statements[axis]</w:t>
            </w:r>
          </w:p>
        </w:tc>
        <w:tc>
          <w:tcPr>
            <w:tcW w:w="2977" w:type="dxa"/>
            <w:tcBorders>
              <w:top w:val="nil"/>
              <w:left w:val="nil"/>
              <w:bottom w:val="single" w:sz="4" w:space="0" w:color="auto"/>
              <w:right w:val="single" w:sz="4" w:space="0" w:color="auto"/>
            </w:tcBorders>
          </w:tcPr>
          <w:p w14:paraId="38FF7574" w14:textId="750A7733" w:rsidR="00273D67" w:rsidRDefault="00273D67" w:rsidP="004225EF">
            <w:pPr>
              <w:rPr>
                <w:sz w:val="18"/>
                <w:szCs w:val="18"/>
              </w:rPr>
            </w:pPr>
            <w:r>
              <w:rPr>
                <w:sz w:val="18"/>
                <w:szCs w:val="18"/>
                <w:lang w:val="en-US"/>
              </w:rPr>
              <w:t>Where only consolidated financial reports are presented, required monetary information for the parent entity must be tagged using "Separate" domain member</w:t>
            </w:r>
          </w:p>
        </w:tc>
      </w:tr>
      <w:tr w:rsidR="00273D67" w:rsidRPr="00D26EA2" w14:paraId="53065790" w14:textId="77777777" w:rsidTr="00273D67">
        <w:trPr>
          <w:trHeight w:val="528"/>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BF9C6C1" w14:textId="77777777" w:rsidR="00273D67" w:rsidRPr="00B3139D" w:rsidRDefault="00273D67" w:rsidP="004225EF">
            <w:pPr>
              <w:rPr>
                <w:sz w:val="20"/>
                <w:szCs w:val="20"/>
              </w:rPr>
            </w:pPr>
            <w:r w:rsidRPr="00B3139D">
              <w:rPr>
                <w:sz w:val="20"/>
                <w:szCs w:val="20"/>
              </w:rPr>
              <w:t>Period</w:t>
            </w:r>
          </w:p>
        </w:tc>
        <w:tc>
          <w:tcPr>
            <w:tcW w:w="4111" w:type="dxa"/>
            <w:tcBorders>
              <w:top w:val="single" w:sz="4" w:space="0" w:color="auto"/>
              <w:left w:val="nil"/>
              <w:bottom w:val="single" w:sz="4" w:space="0" w:color="auto"/>
              <w:right w:val="single" w:sz="4" w:space="0" w:color="auto"/>
            </w:tcBorders>
            <w:shd w:val="clear" w:color="auto" w:fill="auto"/>
          </w:tcPr>
          <w:p w14:paraId="42BE8225" w14:textId="77777777" w:rsidR="00273D67" w:rsidRPr="009D68CB" w:rsidRDefault="00273D67" w:rsidP="004225EF">
            <w:pPr>
              <w:rPr>
                <w:sz w:val="18"/>
                <w:szCs w:val="18"/>
              </w:rPr>
            </w:pPr>
            <w:r w:rsidRPr="009D68CB">
              <w:rPr>
                <w:sz w:val="18"/>
                <w:szCs w:val="18"/>
              </w:rPr>
              <w:t>Must be one of the following:</w:t>
            </w:r>
          </w:p>
          <w:p w14:paraId="21939072" w14:textId="77777777" w:rsidR="00273D67" w:rsidRDefault="00273D67" w:rsidP="00F069A2">
            <w:pPr>
              <w:numPr>
                <w:ilvl w:val="0"/>
                <w:numId w:val="23"/>
              </w:numPr>
              <w:rPr>
                <w:rFonts w:cs="Tahoma"/>
                <w:sz w:val="18"/>
                <w:szCs w:val="18"/>
              </w:rPr>
            </w:pPr>
            <w:r w:rsidRPr="009D68CB">
              <w:rPr>
                <w:sz w:val="18"/>
                <w:szCs w:val="18"/>
              </w:rPr>
              <w:t>Duration: Current Period - Start  and End Date of the C</w:t>
            </w:r>
            <w:r>
              <w:rPr>
                <w:sz w:val="18"/>
                <w:szCs w:val="18"/>
              </w:rPr>
              <w:t xml:space="preserve">urrent Financial Period </w:t>
            </w:r>
          </w:p>
          <w:p w14:paraId="35193870" w14:textId="77777777" w:rsidR="00273D67" w:rsidRDefault="00273D67" w:rsidP="00F069A2">
            <w:pPr>
              <w:numPr>
                <w:ilvl w:val="0"/>
                <w:numId w:val="23"/>
              </w:numPr>
              <w:rPr>
                <w:rFonts w:cs="Tahoma"/>
                <w:sz w:val="18"/>
                <w:szCs w:val="18"/>
              </w:rPr>
            </w:pPr>
            <w:r w:rsidRPr="009D68CB">
              <w:rPr>
                <w:sz w:val="18"/>
                <w:szCs w:val="18"/>
              </w:rPr>
              <w:t>Duration: Prior Period- Start  and End Date of th</w:t>
            </w:r>
            <w:r>
              <w:rPr>
                <w:sz w:val="18"/>
                <w:szCs w:val="18"/>
              </w:rPr>
              <w:t xml:space="preserve">e Previous Financial Period </w:t>
            </w:r>
          </w:p>
          <w:p w14:paraId="2396DE0E" w14:textId="77777777" w:rsidR="00273D67" w:rsidRDefault="00273D67" w:rsidP="00F069A2">
            <w:pPr>
              <w:numPr>
                <w:ilvl w:val="0"/>
                <w:numId w:val="23"/>
              </w:numPr>
              <w:rPr>
                <w:rFonts w:cs="Tahoma"/>
                <w:sz w:val="18"/>
                <w:szCs w:val="18"/>
              </w:rPr>
            </w:pPr>
            <w:r w:rsidRPr="009D68CB">
              <w:rPr>
                <w:sz w:val="18"/>
                <w:szCs w:val="18"/>
              </w:rPr>
              <w:t xml:space="preserve">Instant: End Date </w:t>
            </w:r>
            <w:r>
              <w:rPr>
                <w:sz w:val="18"/>
                <w:szCs w:val="18"/>
              </w:rPr>
              <w:t xml:space="preserve">of Current Financial Period </w:t>
            </w:r>
          </w:p>
          <w:p w14:paraId="1B88BD6C" w14:textId="46AD3702" w:rsidR="00273D67" w:rsidRPr="00B80E5D" w:rsidRDefault="00273D67" w:rsidP="00F069A2">
            <w:pPr>
              <w:numPr>
                <w:ilvl w:val="0"/>
                <w:numId w:val="23"/>
              </w:numPr>
              <w:rPr>
                <w:rFonts w:cs="Tahoma"/>
                <w:sz w:val="18"/>
                <w:szCs w:val="18"/>
              </w:rPr>
            </w:pPr>
            <w:r w:rsidRPr="009D68CB">
              <w:rPr>
                <w:sz w:val="18"/>
                <w:szCs w:val="18"/>
              </w:rPr>
              <w:t>Instant: End Dat</w:t>
            </w:r>
            <w:r>
              <w:rPr>
                <w:sz w:val="18"/>
                <w:szCs w:val="18"/>
              </w:rPr>
              <w:t>e of Prior Financial Period</w:t>
            </w:r>
          </w:p>
        </w:tc>
        <w:tc>
          <w:tcPr>
            <w:tcW w:w="2977" w:type="dxa"/>
            <w:tcBorders>
              <w:top w:val="single" w:sz="4" w:space="0" w:color="auto"/>
              <w:left w:val="nil"/>
              <w:bottom w:val="single" w:sz="4" w:space="0" w:color="auto"/>
              <w:right w:val="single" w:sz="4" w:space="0" w:color="auto"/>
            </w:tcBorders>
          </w:tcPr>
          <w:p w14:paraId="67D78B42" w14:textId="77777777" w:rsidR="00273D67" w:rsidRPr="009D68CB" w:rsidRDefault="00273D67" w:rsidP="004225EF">
            <w:pPr>
              <w:rPr>
                <w:sz w:val="18"/>
                <w:szCs w:val="18"/>
              </w:rPr>
            </w:pPr>
          </w:p>
        </w:tc>
      </w:tr>
    </w:tbl>
    <w:p w14:paraId="355A216E" w14:textId="77777777" w:rsidR="00A948D9" w:rsidRDefault="00A948D9" w:rsidP="00D26EA2">
      <w:pPr>
        <w:rPr>
          <w:sz w:val="20"/>
          <w:szCs w:val="20"/>
        </w:rPr>
      </w:pPr>
    </w:p>
    <w:p w14:paraId="5DC144F0" w14:textId="77777777" w:rsidR="00D26EA2" w:rsidRDefault="00553DD0" w:rsidP="00D26EA2">
      <w:pPr>
        <w:rPr>
          <w:sz w:val="20"/>
          <w:szCs w:val="20"/>
        </w:rPr>
      </w:pPr>
      <w:r w:rsidRPr="00A948D9">
        <w:rPr>
          <w:sz w:val="20"/>
          <w:szCs w:val="20"/>
        </w:rPr>
        <w:t xml:space="preserve">Note: </w:t>
      </w:r>
      <w:r w:rsidR="00B94070">
        <w:rPr>
          <w:sz w:val="20"/>
          <w:szCs w:val="20"/>
        </w:rPr>
        <w:t>O</w:t>
      </w:r>
      <w:r w:rsidRPr="00A948D9">
        <w:rPr>
          <w:sz w:val="20"/>
          <w:szCs w:val="20"/>
        </w:rPr>
        <w:t>ther axis</w:t>
      </w:r>
      <w:r w:rsidR="00C90488" w:rsidRPr="00A948D9">
        <w:rPr>
          <w:sz w:val="20"/>
          <w:szCs w:val="20"/>
        </w:rPr>
        <w:t xml:space="preserve"> elements not listed in this table are optional to be used if required.</w:t>
      </w:r>
    </w:p>
    <w:p w14:paraId="5A7E8C12" w14:textId="77777777" w:rsidR="00411CF5" w:rsidRPr="007F2E77" w:rsidRDefault="00D94EF8" w:rsidP="007F2E77">
      <w:pPr>
        <w:pStyle w:val="Head2"/>
        <w:tabs>
          <w:tab w:val="clear" w:pos="1144"/>
          <w:tab w:val="num" w:pos="709"/>
        </w:tabs>
        <w:ind w:left="709" w:hanging="709"/>
      </w:pPr>
      <w:bookmarkStart w:id="235" w:name="_Toc330804016"/>
      <w:bookmarkStart w:id="236" w:name="_Toc330804158"/>
      <w:bookmarkStart w:id="237" w:name="_Toc205457976"/>
      <w:bookmarkEnd w:id="235"/>
      <w:bookmarkEnd w:id="236"/>
      <w:r w:rsidRPr="007F2E77">
        <w:t>tagging line items presented in primary financial statements</w:t>
      </w:r>
      <w:bookmarkEnd w:id="237"/>
    </w:p>
    <w:p w14:paraId="43D0630F" w14:textId="77777777" w:rsidR="00411CF5" w:rsidRPr="00155F11" w:rsidRDefault="00B25FFD" w:rsidP="00D26EA2">
      <w:pPr>
        <w:rPr>
          <w:sz w:val="20"/>
          <w:szCs w:val="20"/>
        </w:rPr>
      </w:pPr>
      <w:r w:rsidRPr="00155F11">
        <w:rPr>
          <w:sz w:val="20"/>
          <w:szCs w:val="20"/>
        </w:rPr>
        <w:t>In a closed reporting environment (</w:t>
      </w:r>
      <w:r w:rsidR="00217402" w:rsidRPr="00155F11">
        <w:rPr>
          <w:sz w:val="20"/>
          <w:szCs w:val="20"/>
        </w:rPr>
        <w:t>i.e.</w:t>
      </w:r>
      <w:r w:rsidRPr="00155F11">
        <w:rPr>
          <w:sz w:val="20"/>
          <w:szCs w:val="20"/>
        </w:rPr>
        <w:t xml:space="preserve"> </w:t>
      </w:r>
      <w:r w:rsidR="003479AC">
        <w:rPr>
          <w:sz w:val="20"/>
          <w:szCs w:val="20"/>
        </w:rPr>
        <w:t>preparer</w:t>
      </w:r>
      <w:r w:rsidR="00CF43BE">
        <w:rPr>
          <w:sz w:val="20"/>
          <w:szCs w:val="20"/>
        </w:rPr>
        <w:t>'s</w:t>
      </w:r>
      <w:r w:rsidR="003479AC">
        <w:rPr>
          <w:sz w:val="20"/>
          <w:szCs w:val="20"/>
        </w:rPr>
        <w:t xml:space="preserve"> extensions</w:t>
      </w:r>
      <w:r w:rsidR="00C06AF8">
        <w:rPr>
          <w:sz w:val="20"/>
          <w:szCs w:val="20"/>
        </w:rPr>
        <w:t>/customisation</w:t>
      </w:r>
      <w:r w:rsidRPr="00155F11">
        <w:rPr>
          <w:sz w:val="20"/>
          <w:szCs w:val="20"/>
        </w:rPr>
        <w:t xml:space="preserve"> are not allowed), preparers may face </w:t>
      </w:r>
      <w:r w:rsidR="00A12D41" w:rsidRPr="00155F11">
        <w:rPr>
          <w:sz w:val="20"/>
          <w:szCs w:val="20"/>
        </w:rPr>
        <w:t>situations when certain monetary line items in the primary financial statements cannot b</w:t>
      </w:r>
      <w:r w:rsidR="00885BE9" w:rsidRPr="00155F11">
        <w:rPr>
          <w:sz w:val="20"/>
          <w:szCs w:val="20"/>
        </w:rPr>
        <w:t>e tagged using the elements provided in the taxonomy.  Since block-tag</w:t>
      </w:r>
      <w:r w:rsidR="0075523B" w:rsidRPr="00155F11">
        <w:rPr>
          <w:sz w:val="20"/>
          <w:szCs w:val="20"/>
        </w:rPr>
        <w:t>ging</w:t>
      </w:r>
      <w:r w:rsidR="00885BE9" w:rsidRPr="00155F11">
        <w:rPr>
          <w:sz w:val="20"/>
          <w:szCs w:val="20"/>
        </w:rPr>
        <w:t xml:space="preserve"> cannot be a solution </w:t>
      </w:r>
      <w:r w:rsidR="00B4515C" w:rsidRPr="00155F11">
        <w:rPr>
          <w:sz w:val="20"/>
          <w:szCs w:val="20"/>
        </w:rPr>
        <w:t>in these cases</w:t>
      </w:r>
      <w:r w:rsidR="00885BE9" w:rsidRPr="00155F11">
        <w:rPr>
          <w:sz w:val="20"/>
          <w:szCs w:val="20"/>
        </w:rPr>
        <w:t>, the following p</w:t>
      </w:r>
      <w:r w:rsidR="00F16594" w:rsidRPr="00155F11">
        <w:rPr>
          <w:sz w:val="20"/>
          <w:szCs w:val="20"/>
        </w:rPr>
        <w:t>rovide</w:t>
      </w:r>
      <w:r w:rsidR="00B4515C" w:rsidRPr="00155F11">
        <w:rPr>
          <w:sz w:val="20"/>
          <w:szCs w:val="20"/>
        </w:rPr>
        <w:t xml:space="preserve"> additional guidance in relation </w:t>
      </w:r>
      <w:r w:rsidR="0075523B" w:rsidRPr="00155F11">
        <w:rPr>
          <w:sz w:val="20"/>
          <w:szCs w:val="20"/>
        </w:rPr>
        <w:t xml:space="preserve">to </w:t>
      </w:r>
      <w:r w:rsidR="00B4515C" w:rsidRPr="00155F11">
        <w:rPr>
          <w:sz w:val="20"/>
          <w:szCs w:val="20"/>
        </w:rPr>
        <w:t>tagging the primary financial statements</w:t>
      </w:r>
      <w:r w:rsidR="002D4E66" w:rsidRPr="00155F11">
        <w:rPr>
          <w:sz w:val="20"/>
          <w:szCs w:val="20"/>
        </w:rPr>
        <w:t xml:space="preserve">. This additional guidance, which may require some changes to the presentation of financial statements for the purpose of </w:t>
      </w:r>
      <w:r w:rsidR="004E0B94">
        <w:rPr>
          <w:sz w:val="20"/>
          <w:szCs w:val="20"/>
        </w:rPr>
        <w:t>digital</w:t>
      </w:r>
      <w:r w:rsidR="004E0B94" w:rsidRPr="00155F11">
        <w:rPr>
          <w:sz w:val="20"/>
          <w:szCs w:val="20"/>
        </w:rPr>
        <w:t xml:space="preserve"> </w:t>
      </w:r>
      <w:r w:rsidR="002D4E66" w:rsidRPr="00155F11">
        <w:rPr>
          <w:sz w:val="20"/>
          <w:szCs w:val="20"/>
        </w:rPr>
        <w:t xml:space="preserve">financial reporting, is </w:t>
      </w:r>
      <w:r w:rsidR="00653EF4" w:rsidRPr="00155F11">
        <w:rPr>
          <w:sz w:val="20"/>
          <w:szCs w:val="20"/>
        </w:rPr>
        <w:t>intended</w:t>
      </w:r>
      <w:r w:rsidR="002D4E66" w:rsidRPr="00155F11">
        <w:rPr>
          <w:sz w:val="20"/>
          <w:szCs w:val="20"/>
        </w:rPr>
        <w:t xml:space="preserve"> to facilitate </w:t>
      </w:r>
      <w:r w:rsidR="00653EF4" w:rsidRPr="00155F11">
        <w:rPr>
          <w:sz w:val="20"/>
          <w:szCs w:val="20"/>
        </w:rPr>
        <w:t xml:space="preserve">XBRL </w:t>
      </w:r>
      <w:r w:rsidR="002D4E66" w:rsidRPr="00155F11">
        <w:rPr>
          <w:sz w:val="20"/>
          <w:szCs w:val="20"/>
        </w:rPr>
        <w:t xml:space="preserve">tagging </w:t>
      </w:r>
      <w:r w:rsidR="00653EF4" w:rsidRPr="00155F11">
        <w:rPr>
          <w:sz w:val="20"/>
          <w:szCs w:val="20"/>
        </w:rPr>
        <w:t>of</w:t>
      </w:r>
      <w:r w:rsidR="002D4E66" w:rsidRPr="00155F11">
        <w:rPr>
          <w:sz w:val="20"/>
          <w:szCs w:val="20"/>
        </w:rPr>
        <w:t xml:space="preserve"> financial statements in the closed business environment</w:t>
      </w:r>
      <w:r w:rsidR="00653EF4" w:rsidRPr="00155F11">
        <w:rPr>
          <w:sz w:val="20"/>
          <w:szCs w:val="20"/>
        </w:rPr>
        <w:t xml:space="preserve"> </w:t>
      </w:r>
      <w:r w:rsidR="002D4E66" w:rsidRPr="00155F11">
        <w:rPr>
          <w:sz w:val="20"/>
          <w:szCs w:val="20"/>
        </w:rPr>
        <w:t xml:space="preserve">and </w:t>
      </w:r>
      <w:r w:rsidR="00653EF4" w:rsidRPr="00155F11">
        <w:rPr>
          <w:sz w:val="20"/>
          <w:szCs w:val="20"/>
        </w:rPr>
        <w:t xml:space="preserve">is not </w:t>
      </w:r>
      <w:r w:rsidR="001D0C85" w:rsidRPr="00155F11">
        <w:rPr>
          <w:sz w:val="20"/>
          <w:szCs w:val="20"/>
        </w:rPr>
        <w:t>meant</w:t>
      </w:r>
      <w:r w:rsidR="00653EF4" w:rsidRPr="00155F11">
        <w:rPr>
          <w:sz w:val="20"/>
          <w:szCs w:val="20"/>
        </w:rPr>
        <w:t xml:space="preserve"> to affect or change the entities</w:t>
      </w:r>
      <w:r w:rsidR="001D0C85" w:rsidRPr="00155F11">
        <w:rPr>
          <w:sz w:val="20"/>
          <w:szCs w:val="20"/>
        </w:rPr>
        <w:t>'</w:t>
      </w:r>
      <w:r w:rsidR="00653EF4" w:rsidRPr="00155F11">
        <w:rPr>
          <w:sz w:val="20"/>
          <w:szCs w:val="20"/>
        </w:rPr>
        <w:t xml:space="preserve"> presentation and disclosure practices</w:t>
      </w:r>
      <w:r w:rsidR="00773727" w:rsidRPr="00155F11">
        <w:rPr>
          <w:sz w:val="20"/>
          <w:szCs w:val="20"/>
        </w:rPr>
        <w:t xml:space="preserve"> in accordance with the accounting standard requirements</w:t>
      </w:r>
      <w:r w:rsidR="001D0C85" w:rsidRPr="00155F11">
        <w:rPr>
          <w:sz w:val="20"/>
          <w:szCs w:val="20"/>
        </w:rPr>
        <w:t>:</w:t>
      </w:r>
      <w:r w:rsidR="00653EF4" w:rsidRPr="00155F11">
        <w:rPr>
          <w:sz w:val="20"/>
          <w:szCs w:val="20"/>
        </w:rPr>
        <w:t xml:space="preserve"> </w:t>
      </w:r>
    </w:p>
    <w:p w14:paraId="2C750C18" w14:textId="77777777" w:rsidR="00B4515C" w:rsidRPr="00155F11" w:rsidRDefault="00B4515C" w:rsidP="00D26EA2">
      <w:pPr>
        <w:rPr>
          <w:sz w:val="20"/>
          <w:szCs w:val="20"/>
        </w:rPr>
      </w:pPr>
    </w:p>
    <w:p w14:paraId="215DBFCD" w14:textId="77777777" w:rsidR="00B4515C" w:rsidRPr="00155F11" w:rsidRDefault="00970B6D" w:rsidP="00D26EA2">
      <w:pPr>
        <w:rPr>
          <w:b/>
          <w:i/>
          <w:sz w:val="20"/>
          <w:szCs w:val="20"/>
        </w:rPr>
      </w:pPr>
      <w:r w:rsidRPr="00155F11">
        <w:rPr>
          <w:b/>
          <w:i/>
          <w:sz w:val="20"/>
          <w:szCs w:val="20"/>
        </w:rPr>
        <w:t>A</w:t>
      </w:r>
      <w:r w:rsidR="00B4515C" w:rsidRPr="00155F11">
        <w:rPr>
          <w:b/>
          <w:i/>
          <w:sz w:val="20"/>
          <w:szCs w:val="20"/>
        </w:rPr>
        <w:t xml:space="preserve"> label</w:t>
      </w:r>
      <w:r w:rsidRPr="00155F11">
        <w:rPr>
          <w:b/>
          <w:i/>
          <w:sz w:val="20"/>
          <w:szCs w:val="20"/>
        </w:rPr>
        <w:t xml:space="preserve"> of the taxonomy element</w:t>
      </w:r>
      <w:r w:rsidR="00B4515C" w:rsidRPr="00155F11">
        <w:rPr>
          <w:b/>
          <w:i/>
          <w:sz w:val="20"/>
          <w:szCs w:val="20"/>
        </w:rPr>
        <w:t xml:space="preserve"> does not match </w:t>
      </w:r>
      <w:r w:rsidRPr="00155F11">
        <w:rPr>
          <w:b/>
          <w:i/>
          <w:sz w:val="20"/>
          <w:szCs w:val="20"/>
        </w:rPr>
        <w:t xml:space="preserve">the </w:t>
      </w:r>
      <w:r w:rsidR="00B4515C" w:rsidRPr="00155F11">
        <w:rPr>
          <w:b/>
          <w:i/>
          <w:sz w:val="20"/>
          <w:szCs w:val="20"/>
        </w:rPr>
        <w:t xml:space="preserve">description of the line item </w:t>
      </w:r>
      <w:r w:rsidRPr="00155F11">
        <w:rPr>
          <w:b/>
          <w:i/>
          <w:sz w:val="20"/>
          <w:szCs w:val="20"/>
        </w:rPr>
        <w:t xml:space="preserve">reported </w:t>
      </w:r>
      <w:r w:rsidR="00B4515C" w:rsidRPr="00155F11">
        <w:rPr>
          <w:b/>
          <w:i/>
          <w:sz w:val="20"/>
          <w:szCs w:val="20"/>
        </w:rPr>
        <w:t>in primary financial statements</w:t>
      </w:r>
    </w:p>
    <w:p w14:paraId="2493CF1A" w14:textId="16A1C645" w:rsidR="00B25FFD" w:rsidRPr="00155F11" w:rsidRDefault="00970B6D" w:rsidP="00D26EA2">
      <w:pPr>
        <w:rPr>
          <w:sz w:val="20"/>
          <w:szCs w:val="20"/>
        </w:rPr>
      </w:pPr>
      <w:r w:rsidRPr="00155F11">
        <w:rPr>
          <w:sz w:val="20"/>
          <w:szCs w:val="20"/>
        </w:rPr>
        <w:t>Taxonomy e</w:t>
      </w:r>
      <w:r w:rsidR="00B4515C" w:rsidRPr="00155F11">
        <w:rPr>
          <w:sz w:val="20"/>
          <w:szCs w:val="20"/>
        </w:rPr>
        <w:t>lement label</w:t>
      </w:r>
      <w:r w:rsidRPr="00155F11">
        <w:rPr>
          <w:sz w:val="20"/>
          <w:szCs w:val="20"/>
        </w:rPr>
        <w:t>s are</w:t>
      </w:r>
      <w:r w:rsidR="00B4515C" w:rsidRPr="00155F11">
        <w:rPr>
          <w:sz w:val="20"/>
          <w:szCs w:val="20"/>
        </w:rPr>
        <w:t xml:space="preserve"> </w:t>
      </w:r>
      <w:r w:rsidR="00FA468E" w:rsidRPr="00155F11">
        <w:rPr>
          <w:sz w:val="20"/>
          <w:szCs w:val="20"/>
        </w:rPr>
        <w:t xml:space="preserve">based on descriptions provided in the accounting standards and therefore can be different to descriptions of line items in </w:t>
      </w:r>
      <w:r w:rsidRPr="00155F11">
        <w:rPr>
          <w:sz w:val="20"/>
          <w:szCs w:val="20"/>
        </w:rPr>
        <w:t>primary</w:t>
      </w:r>
      <w:r w:rsidR="00FA468E" w:rsidRPr="00155F11">
        <w:rPr>
          <w:sz w:val="20"/>
          <w:szCs w:val="20"/>
        </w:rPr>
        <w:t xml:space="preserve"> financial statements reported by an entity.  When selecting appropriate </w:t>
      </w:r>
      <w:r w:rsidR="008728D4" w:rsidRPr="00155F11">
        <w:rPr>
          <w:sz w:val="20"/>
          <w:szCs w:val="20"/>
        </w:rPr>
        <w:t xml:space="preserve">taxonomy </w:t>
      </w:r>
      <w:r w:rsidR="00FA468E" w:rsidRPr="00155F11">
        <w:rPr>
          <w:sz w:val="20"/>
          <w:szCs w:val="20"/>
        </w:rPr>
        <w:t>element</w:t>
      </w:r>
      <w:r w:rsidR="008728D4" w:rsidRPr="00155F11">
        <w:rPr>
          <w:sz w:val="20"/>
          <w:szCs w:val="20"/>
        </w:rPr>
        <w:t>s</w:t>
      </w:r>
      <w:r w:rsidR="00FA468E" w:rsidRPr="00155F11">
        <w:rPr>
          <w:sz w:val="20"/>
          <w:szCs w:val="20"/>
        </w:rPr>
        <w:t xml:space="preserve"> to tag </w:t>
      </w:r>
      <w:r w:rsidR="008728D4" w:rsidRPr="00155F11">
        <w:rPr>
          <w:sz w:val="20"/>
          <w:szCs w:val="20"/>
        </w:rPr>
        <w:t xml:space="preserve">reported </w:t>
      </w:r>
      <w:r w:rsidRPr="00155F11">
        <w:rPr>
          <w:sz w:val="20"/>
          <w:szCs w:val="20"/>
        </w:rPr>
        <w:t>line items in</w:t>
      </w:r>
      <w:r w:rsidR="00FA468E" w:rsidRPr="00155F11">
        <w:rPr>
          <w:sz w:val="20"/>
          <w:szCs w:val="20"/>
        </w:rPr>
        <w:t xml:space="preserve"> primary financial statements, preparers are advised to consider the substance</w:t>
      </w:r>
      <w:r w:rsidR="00A21A7D" w:rsidRPr="00155F11">
        <w:rPr>
          <w:sz w:val="20"/>
          <w:szCs w:val="20"/>
        </w:rPr>
        <w:t xml:space="preserve"> of reported line items and tag them choosing</w:t>
      </w:r>
      <w:r w:rsidR="00FA468E" w:rsidRPr="00155F11">
        <w:rPr>
          <w:sz w:val="20"/>
          <w:szCs w:val="20"/>
        </w:rPr>
        <w:t xml:space="preserve"> the taxonomy elements </w:t>
      </w:r>
      <w:r w:rsidR="00A21A7D" w:rsidRPr="00155F11">
        <w:rPr>
          <w:sz w:val="20"/>
          <w:szCs w:val="20"/>
        </w:rPr>
        <w:t>based on their</w:t>
      </w:r>
      <w:r w:rsidR="00FA468E" w:rsidRPr="00155F11">
        <w:rPr>
          <w:sz w:val="20"/>
          <w:szCs w:val="20"/>
        </w:rPr>
        <w:t xml:space="preserve"> standard references provided in the taxonomy.</w:t>
      </w:r>
      <w:r w:rsidR="00683E05">
        <w:rPr>
          <w:sz w:val="20"/>
          <w:szCs w:val="20"/>
        </w:rPr>
        <w:t xml:space="preserve"> The documentation label of the element in the IFRS Taxonomy will provide preparers with explanation about the business meaning of the element.</w:t>
      </w:r>
    </w:p>
    <w:p w14:paraId="557CD1B1" w14:textId="77777777" w:rsidR="00A647AC" w:rsidRPr="00155F11" w:rsidRDefault="00A647AC" w:rsidP="00A647AC">
      <w:pPr>
        <w:rPr>
          <w:b/>
          <w:sz w:val="20"/>
          <w:szCs w:val="20"/>
        </w:rPr>
      </w:pPr>
    </w:p>
    <w:p w14:paraId="30854473" w14:textId="77777777" w:rsidR="00B4515C" w:rsidRPr="00155F11" w:rsidRDefault="00B4515C" w:rsidP="00D26EA2">
      <w:pPr>
        <w:rPr>
          <w:sz w:val="20"/>
          <w:szCs w:val="20"/>
        </w:rPr>
      </w:pPr>
    </w:p>
    <w:p w14:paraId="039FBEC1" w14:textId="77777777" w:rsidR="00A632EE" w:rsidRPr="00155F11" w:rsidRDefault="008728D4" w:rsidP="00D26EA2">
      <w:pPr>
        <w:rPr>
          <w:b/>
          <w:i/>
          <w:sz w:val="20"/>
          <w:szCs w:val="20"/>
        </w:rPr>
      </w:pPr>
      <w:r w:rsidRPr="00155F11">
        <w:rPr>
          <w:b/>
          <w:i/>
          <w:sz w:val="20"/>
          <w:szCs w:val="20"/>
        </w:rPr>
        <w:t xml:space="preserve">Taxonomy </w:t>
      </w:r>
      <w:r w:rsidR="00773727" w:rsidRPr="00155F11">
        <w:rPr>
          <w:b/>
          <w:i/>
          <w:sz w:val="20"/>
          <w:szCs w:val="20"/>
        </w:rPr>
        <w:t xml:space="preserve">provides </w:t>
      </w:r>
      <w:r w:rsidRPr="00155F11">
        <w:rPr>
          <w:b/>
          <w:i/>
          <w:sz w:val="20"/>
          <w:szCs w:val="20"/>
        </w:rPr>
        <w:t xml:space="preserve">different granularity of disclosure </w:t>
      </w:r>
      <w:r w:rsidR="00A632EE" w:rsidRPr="00155F11">
        <w:rPr>
          <w:b/>
          <w:i/>
          <w:sz w:val="20"/>
          <w:szCs w:val="20"/>
        </w:rPr>
        <w:t xml:space="preserve">in primary financial statements </w:t>
      </w:r>
    </w:p>
    <w:p w14:paraId="2265B6D3" w14:textId="77777777" w:rsidR="00A632EE" w:rsidRPr="00155F11" w:rsidRDefault="00A632EE" w:rsidP="00D26EA2">
      <w:pPr>
        <w:rPr>
          <w:sz w:val="20"/>
          <w:szCs w:val="20"/>
        </w:rPr>
      </w:pPr>
      <w:r w:rsidRPr="00155F11">
        <w:rPr>
          <w:sz w:val="20"/>
          <w:szCs w:val="20"/>
        </w:rPr>
        <w:t>When</w:t>
      </w:r>
      <w:r w:rsidR="00A21A7D" w:rsidRPr="00155F11">
        <w:rPr>
          <w:sz w:val="20"/>
          <w:szCs w:val="20"/>
        </w:rPr>
        <w:t xml:space="preserve"> an entity reports</w:t>
      </w:r>
      <w:r w:rsidRPr="00155F11">
        <w:rPr>
          <w:sz w:val="20"/>
          <w:szCs w:val="20"/>
        </w:rPr>
        <w:t xml:space="preserve"> </w:t>
      </w:r>
      <w:r w:rsidR="00A21A7D" w:rsidRPr="00155F11">
        <w:rPr>
          <w:sz w:val="20"/>
          <w:szCs w:val="20"/>
        </w:rPr>
        <w:t xml:space="preserve">a line item in </w:t>
      </w:r>
      <w:r w:rsidR="00773727" w:rsidRPr="00155F11">
        <w:rPr>
          <w:sz w:val="20"/>
          <w:szCs w:val="20"/>
        </w:rPr>
        <w:t xml:space="preserve">a </w:t>
      </w:r>
      <w:r w:rsidRPr="00155F11">
        <w:rPr>
          <w:sz w:val="20"/>
          <w:szCs w:val="20"/>
        </w:rPr>
        <w:t xml:space="preserve">primary financial statement </w:t>
      </w:r>
      <w:r w:rsidR="00A21A7D" w:rsidRPr="00155F11">
        <w:rPr>
          <w:sz w:val="20"/>
          <w:szCs w:val="20"/>
        </w:rPr>
        <w:t>re</w:t>
      </w:r>
      <w:r w:rsidRPr="00155F11">
        <w:rPr>
          <w:sz w:val="20"/>
          <w:szCs w:val="20"/>
        </w:rPr>
        <w:t>present</w:t>
      </w:r>
      <w:r w:rsidR="00A21A7D" w:rsidRPr="00155F11">
        <w:rPr>
          <w:sz w:val="20"/>
          <w:szCs w:val="20"/>
        </w:rPr>
        <w:t>ing</w:t>
      </w:r>
      <w:r w:rsidRPr="00155F11">
        <w:rPr>
          <w:sz w:val="20"/>
          <w:szCs w:val="20"/>
        </w:rPr>
        <w:t xml:space="preserve"> </w:t>
      </w:r>
      <w:r w:rsidR="00217402" w:rsidRPr="00155F11">
        <w:rPr>
          <w:sz w:val="20"/>
          <w:szCs w:val="20"/>
        </w:rPr>
        <w:t>aggregated</w:t>
      </w:r>
      <w:r w:rsidRPr="00155F11">
        <w:rPr>
          <w:sz w:val="20"/>
          <w:szCs w:val="20"/>
        </w:rPr>
        <w:t xml:space="preserve"> financial information </w:t>
      </w:r>
      <w:r w:rsidR="00896D3A" w:rsidRPr="00155F11">
        <w:rPr>
          <w:sz w:val="20"/>
          <w:szCs w:val="20"/>
        </w:rPr>
        <w:t xml:space="preserve">and </w:t>
      </w:r>
      <w:r w:rsidR="00E2619D" w:rsidRPr="00155F11">
        <w:rPr>
          <w:sz w:val="20"/>
          <w:szCs w:val="20"/>
        </w:rPr>
        <w:t>more granular information</w:t>
      </w:r>
      <w:r w:rsidRPr="00155F11">
        <w:rPr>
          <w:sz w:val="20"/>
          <w:szCs w:val="20"/>
        </w:rPr>
        <w:t xml:space="preserve"> </w:t>
      </w:r>
      <w:r w:rsidR="00896D3A" w:rsidRPr="00155F11">
        <w:rPr>
          <w:sz w:val="20"/>
          <w:szCs w:val="20"/>
        </w:rPr>
        <w:t xml:space="preserve">is </w:t>
      </w:r>
      <w:r w:rsidR="00A21A7D" w:rsidRPr="00155F11">
        <w:rPr>
          <w:sz w:val="20"/>
          <w:szCs w:val="20"/>
        </w:rPr>
        <w:t>disclosed</w:t>
      </w:r>
      <w:r w:rsidRPr="00155F11">
        <w:rPr>
          <w:sz w:val="20"/>
          <w:szCs w:val="20"/>
        </w:rPr>
        <w:t xml:space="preserve"> in the notes</w:t>
      </w:r>
      <w:r w:rsidR="00A21A7D" w:rsidRPr="00155F11">
        <w:rPr>
          <w:sz w:val="20"/>
          <w:szCs w:val="20"/>
        </w:rPr>
        <w:t>, but</w:t>
      </w:r>
      <w:r w:rsidRPr="00155F11">
        <w:rPr>
          <w:sz w:val="20"/>
          <w:szCs w:val="20"/>
        </w:rPr>
        <w:t xml:space="preserve"> </w:t>
      </w:r>
      <w:r w:rsidR="009B3063" w:rsidRPr="00155F11">
        <w:rPr>
          <w:sz w:val="20"/>
          <w:szCs w:val="20"/>
        </w:rPr>
        <w:t xml:space="preserve">the taxonomy </w:t>
      </w:r>
      <w:r w:rsidR="00896D3A" w:rsidRPr="00155F11">
        <w:rPr>
          <w:sz w:val="20"/>
          <w:szCs w:val="20"/>
        </w:rPr>
        <w:t xml:space="preserve">provides </w:t>
      </w:r>
      <w:r w:rsidR="00217402" w:rsidRPr="00155F11">
        <w:rPr>
          <w:sz w:val="20"/>
          <w:szCs w:val="20"/>
        </w:rPr>
        <w:t>more</w:t>
      </w:r>
      <w:r w:rsidR="00E2619D" w:rsidRPr="00155F11">
        <w:rPr>
          <w:sz w:val="20"/>
          <w:szCs w:val="20"/>
        </w:rPr>
        <w:t xml:space="preserve"> granular </w:t>
      </w:r>
      <w:r w:rsidRPr="00155F11">
        <w:rPr>
          <w:sz w:val="20"/>
          <w:szCs w:val="20"/>
        </w:rPr>
        <w:t xml:space="preserve">information </w:t>
      </w:r>
      <w:r w:rsidR="00E2619D" w:rsidRPr="00155F11">
        <w:rPr>
          <w:sz w:val="20"/>
          <w:szCs w:val="20"/>
        </w:rPr>
        <w:t xml:space="preserve">to be disclosed </w:t>
      </w:r>
      <w:r w:rsidRPr="00155F11">
        <w:rPr>
          <w:sz w:val="20"/>
          <w:szCs w:val="20"/>
        </w:rPr>
        <w:t>in the primary financial statement, the preparers</w:t>
      </w:r>
      <w:r w:rsidR="00E2619D" w:rsidRPr="00155F11">
        <w:rPr>
          <w:sz w:val="20"/>
          <w:szCs w:val="20"/>
        </w:rPr>
        <w:t xml:space="preserve"> are advised to follow the format of disclosure </w:t>
      </w:r>
      <w:r w:rsidR="00773727" w:rsidRPr="00155F11">
        <w:rPr>
          <w:sz w:val="20"/>
          <w:szCs w:val="20"/>
        </w:rPr>
        <w:t xml:space="preserve">provided </w:t>
      </w:r>
      <w:r w:rsidR="00E2619D" w:rsidRPr="00155F11">
        <w:rPr>
          <w:sz w:val="20"/>
          <w:szCs w:val="20"/>
        </w:rPr>
        <w:t>by the taxonomy</w:t>
      </w:r>
      <w:r w:rsidR="009B3063" w:rsidRPr="00155F11">
        <w:rPr>
          <w:sz w:val="20"/>
          <w:szCs w:val="20"/>
        </w:rPr>
        <w:t xml:space="preserve">.  For example, ELR [210000] </w:t>
      </w:r>
      <w:r w:rsidR="009B3063" w:rsidRPr="00155F11">
        <w:rPr>
          <w:i/>
          <w:sz w:val="20"/>
          <w:szCs w:val="20"/>
        </w:rPr>
        <w:t xml:space="preserve">Statement of financial position, current/non-current </w:t>
      </w:r>
      <w:r w:rsidR="009B3063" w:rsidRPr="00155F11">
        <w:rPr>
          <w:sz w:val="20"/>
          <w:szCs w:val="20"/>
        </w:rPr>
        <w:t xml:space="preserve">provides 2 separate elements for "Goodwill" and "Intangible assets other than goodwill".  If an entity </w:t>
      </w:r>
      <w:r w:rsidR="008728D4" w:rsidRPr="00155F11">
        <w:rPr>
          <w:sz w:val="20"/>
          <w:szCs w:val="20"/>
        </w:rPr>
        <w:t>reports the</w:t>
      </w:r>
      <w:r w:rsidR="009B3063" w:rsidRPr="00155F11">
        <w:rPr>
          <w:sz w:val="20"/>
          <w:szCs w:val="20"/>
        </w:rPr>
        <w:t xml:space="preserve"> goodwill and intangible assets other than goodwill as a single </w:t>
      </w:r>
      <w:r w:rsidR="00970B6D" w:rsidRPr="00155F11">
        <w:rPr>
          <w:sz w:val="20"/>
          <w:szCs w:val="20"/>
        </w:rPr>
        <w:t xml:space="preserve">line </w:t>
      </w:r>
      <w:r w:rsidR="009B3063" w:rsidRPr="00155F11">
        <w:rPr>
          <w:sz w:val="20"/>
          <w:szCs w:val="20"/>
        </w:rPr>
        <w:t>item in its statement of financial position</w:t>
      </w:r>
      <w:r w:rsidR="008728D4" w:rsidRPr="00155F11">
        <w:rPr>
          <w:sz w:val="20"/>
          <w:szCs w:val="20"/>
        </w:rPr>
        <w:t>,</w:t>
      </w:r>
      <w:r w:rsidR="009B3063" w:rsidRPr="00155F11">
        <w:rPr>
          <w:sz w:val="20"/>
          <w:szCs w:val="20"/>
        </w:rPr>
        <w:t xml:space="preserve"> </w:t>
      </w:r>
      <w:r w:rsidR="00970B6D" w:rsidRPr="00155F11">
        <w:rPr>
          <w:sz w:val="20"/>
          <w:szCs w:val="20"/>
        </w:rPr>
        <w:t xml:space="preserve">both </w:t>
      </w:r>
      <w:r w:rsidR="009B3063" w:rsidRPr="00155F11">
        <w:rPr>
          <w:sz w:val="20"/>
          <w:szCs w:val="20"/>
        </w:rPr>
        <w:t>"Goodwill" and "Intangible assets other than goodwill"</w:t>
      </w:r>
      <w:r w:rsidR="00970B6D" w:rsidRPr="00155F11">
        <w:rPr>
          <w:sz w:val="20"/>
          <w:szCs w:val="20"/>
        </w:rPr>
        <w:t xml:space="preserve"> line items will need to be disclosed </w:t>
      </w:r>
      <w:r w:rsidR="008728D4" w:rsidRPr="00155F11">
        <w:rPr>
          <w:sz w:val="20"/>
          <w:szCs w:val="20"/>
        </w:rPr>
        <w:t xml:space="preserve">and tagged </w:t>
      </w:r>
      <w:r w:rsidR="00970B6D" w:rsidRPr="00155F11">
        <w:rPr>
          <w:sz w:val="20"/>
          <w:szCs w:val="20"/>
        </w:rPr>
        <w:t xml:space="preserve">separately </w:t>
      </w:r>
      <w:r w:rsidR="00773727" w:rsidRPr="00155F11">
        <w:rPr>
          <w:sz w:val="20"/>
          <w:szCs w:val="20"/>
        </w:rPr>
        <w:t>in accordance with</w:t>
      </w:r>
      <w:r w:rsidR="00970B6D" w:rsidRPr="00155F11">
        <w:rPr>
          <w:sz w:val="20"/>
          <w:szCs w:val="20"/>
        </w:rPr>
        <w:t xml:space="preserve"> the format of the taxonomy</w:t>
      </w:r>
      <w:r w:rsidR="009B3063" w:rsidRPr="00155F11">
        <w:rPr>
          <w:sz w:val="20"/>
          <w:szCs w:val="20"/>
        </w:rPr>
        <w:t>.</w:t>
      </w:r>
      <w:r w:rsidRPr="00155F11">
        <w:rPr>
          <w:sz w:val="20"/>
          <w:szCs w:val="20"/>
        </w:rPr>
        <w:t xml:space="preserve"> </w:t>
      </w:r>
    </w:p>
    <w:p w14:paraId="332385C9" w14:textId="77777777" w:rsidR="00A632EE" w:rsidRPr="00155F11" w:rsidRDefault="00A632EE" w:rsidP="00D26EA2">
      <w:pPr>
        <w:rPr>
          <w:sz w:val="20"/>
          <w:szCs w:val="20"/>
        </w:rPr>
      </w:pPr>
    </w:p>
    <w:p w14:paraId="74D02E48" w14:textId="77777777" w:rsidR="00A632EE" w:rsidRPr="00155F11" w:rsidRDefault="00A632EE" w:rsidP="00D26EA2">
      <w:pPr>
        <w:rPr>
          <w:sz w:val="20"/>
          <w:szCs w:val="20"/>
        </w:rPr>
      </w:pPr>
    </w:p>
    <w:p w14:paraId="718C7E2F" w14:textId="77777777" w:rsidR="00B4515C" w:rsidRPr="00155F11" w:rsidRDefault="00FA468E" w:rsidP="00D26EA2">
      <w:pPr>
        <w:rPr>
          <w:b/>
          <w:i/>
          <w:sz w:val="20"/>
          <w:szCs w:val="20"/>
        </w:rPr>
      </w:pPr>
      <w:r w:rsidRPr="00155F11">
        <w:rPr>
          <w:b/>
          <w:i/>
          <w:sz w:val="20"/>
          <w:szCs w:val="20"/>
        </w:rPr>
        <w:t xml:space="preserve">No taxonomy element available to tag specific </w:t>
      </w:r>
      <w:r w:rsidR="00970B6D" w:rsidRPr="00155F11">
        <w:rPr>
          <w:b/>
          <w:i/>
          <w:sz w:val="20"/>
          <w:szCs w:val="20"/>
        </w:rPr>
        <w:t>line items</w:t>
      </w:r>
      <w:r w:rsidRPr="00155F11">
        <w:rPr>
          <w:b/>
          <w:i/>
          <w:sz w:val="20"/>
          <w:szCs w:val="20"/>
        </w:rPr>
        <w:t xml:space="preserve"> </w:t>
      </w:r>
      <w:r w:rsidR="00896D3A" w:rsidRPr="00155F11">
        <w:rPr>
          <w:b/>
          <w:i/>
          <w:sz w:val="20"/>
          <w:szCs w:val="20"/>
        </w:rPr>
        <w:t>in primary</w:t>
      </w:r>
      <w:r w:rsidRPr="00155F11">
        <w:rPr>
          <w:b/>
          <w:i/>
          <w:sz w:val="20"/>
          <w:szCs w:val="20"/>
        </w:rPr>
        <w:t xml:space="preserve"> financial statements</w:t>
      </w:r>
    </w:p>
    <w:p w14:paraId="35D1BEFF" w14:textId="77777777" w:rsidR="00FA468E" w:rsidRDefault="00A632EE" w:rsidP="00D26EA2">
      <w:pPr>
        <w:rPr>
          <w:sz w:val="20"/>
          <w:szCs w:val="20"/>
        </w:rPr>
      </w:pPr>
      <w:r w:rsidRPr="00155F11">
        <w:rPr>
          <w:sz w:val="20"/>
          <w:szCs w:val="20"/>
        </w:rPr>
        <w:t>W</w:t>
      </w:r>
      <w:r w:rsidR="00FA468E" w:rsidRPr="00155F11">
        <w:rPr>
          <w:sz w:val="20"/>
          <w:szCs w:val="20"/>
        </w:rPr>
        <w:t xml:space="preserve">hen </w:t>
      </w:r>
      <w:r w:rsidR="00896D3A" w:rsidRPr="00155F11">
        <w:rPr>
          <w:sz w:val="20"/>
          <w:szCs w:val="20"/>
        </w:rPr>
        <w:t xml:space="preserve">a </w:t>
      </w:r>
      <w:r w:rsidR="00FA468E" w:rsidRPr="00155F11">
        <w:rPr>
          <w:sz w:val="20"/>
          <w:szCs w:val="20"/>
        </w:rPr>
        <w:t>primary financial statement contain</w:t>
      </w:r>
      <w:r w:rsidR="00BF3EB6" w:rsidRPr="00155F11">
        <w:rPr>
          <w:sz w:val="20"/>
          <w:szCs w:val="20"/>
        </w:rPr>
        <w:t>s</w:t>
      </w:r>
      <w:r w:rsidR="00FA468E" w:rsidRPr="00155F11">
        <w:rPr>
          <w:sz w:val="20"/>
          <w:szCs w:val="20"/>
        </w:rPr>
        <w:t xml:space="preserve"> </w:t>
      </w:r>
      <w:r w:rsidR="008728D4" w:rsidRPr="00155F11">
        <w:rPr>
          <w:sz w:val="20"/>
          <w:szCs w:val="20"/>
        </w:rPr>
        <w:t>line items</w:t>
      </w:r>
      <w:r w:rsidR="00FA468E" w:rsidRPr="00155F11">
        <w:rPr>
          <w:sz w:val="20"/>
          <w:szCs w:val="20"/>
        </w:rPr>
        <w:t xml:space="preserve"> which are specific to a company and </w:t>
      </w:r>
      <w:r w:rsidR="00B375C4" w:rsidRPr="00155F11">
        <w:rPr>
          <w:sz w:val="20"/>
          <w:szCs w:val="20"/>
        </w:rPr>
        <w:t xml:space="preserve">there are no </w:t>
      </w:r>
      <w:r w:rsidR="008728D4" w:rsidRPr="00155F11">
        <w:rPr>
          <w:sz w:val="20"/>
          <w:szCs w:val="20"/>
        </w:rPr>
        <w:t xml:space="preserve">appropriate </w:t>
      </w:r>
      <w:r w:rsidR="00B375C4" w:rsidRPr="00155F11">
        <w:rPr>
          <w:sz w:val="20"/>
          <w:szCs w:val="20"/>
        </w:rPr>
        <w:t>taxonomy elements available to tag th</w:t>
      </w:r>
      <w:r w:rsidR="008728D4" w:rsidRPr="00155F11">
        <w:rPr>
          <w:sz w:val="20"/>
          <w:szCs w:val="20"/>
        </w:rPr>
        <w:t>o</w:t>
      </w:r>
      <w:r w:rsidR="00B375C4" w:rsidRPr="00155F11">
        <w:rPr>
          <w:sz w:val="20"/>
          <w:szCs w:val="20"/>
        </w:rPr>
        <w:t xml:space="preserve">se </w:t>
      </w:r>
      <w:r w:rsidR="008728D4" w:rsidRPr="00155F11">
        <w:rPr>
          <w:sz w:val="20"/>
          <w:szCs w:val="20"/>
        </w:rPr>
        <w:t xml:space="preserve">line </w:t>
      </w:r>
      <w:r w:rsidR="00B375C4" w:rsidRPr="00155F11">
        <w:rPr>
          <w:sz w:val="20"/>
          <w:szCs w:val="20"/>
        </w:rPr>
        <w:t>items</w:t>
      </w:r>
      <w:r w:rsidR="00970B6D" w:rsidRPr="00155F11">
        <w:rPr>
          <w:sz w:val="20"/>
          <w:szCs w:val="20"/>
        </w:rPr>
        <w:t>,</w:t>
      </w:r>
      <w:r w:rsidR="00B375C4" w:rsidRPr="00155F11">
        <w:rPr>
          <w:sz w:val="20"/>
          <w:szCs w:val="20"/>
        </w:rPr>
        <w:t xml:space="preserve"> </w:t>
      </w:r>
      <w:r w:rsidR="00970B6D" w:rsidRPr="00155F11">
        <w:rPr>
          <w:sz w:val="20"/>
          <w:szCs w:val="20"/>
        </w:rPr>
        <w:t>t</w:t>
      </w:r>
      <w:r w:rsidR="00B375C4" w:rsidRPr="00155F11">
        <w:rPr>
          <w:sz w:val="20"/>
          <w:szCs w:val="20"/>
        </w:rPr>
        <w:t xml:space="preserve">he preparers are advised to aggregate those line items </w:t>
      </w:r>
      <w:r w:rsidR="00BF3EB6" w:rsidRPr="00155F11">
        <w:rPr>
          <w:sz w:val="20"/>
          <w:szCs w:val="20"/>
        </w:rPr>
        <w:t>with</w:t>
      </w:r>
      <w:r w:rsidR="00896D3A" w:rsidRPr="00155F11">
        <w:rPr>
          <w:sz w:val="20"/>
          <w:szCs w:val="20"/>
        </w:rPr>
        <w:t>in the same classification category</w:t>
      </w:r>
      <w:r w:rsidR="00BF3EB6" w:rsidRPr="00155F11">
        <w:rPr>
          <w:sz w:val="20"/>
          <w:szCs w:val="20"/>
        </w:rPr>
        <w:t>.  Preparers will</w:t>
      </w:r>
      <w:r w:rsidR="00896D3A" w:rsidRPr="00155F11">
        <w:rPr>
          <w:sz w:val="20"/>
          <w:szCs w:val="20"/>
        </w:rPr>
        <w:t xml:space="preserve"> </w:t>
      </w:r>
      <w:r w:rsidR="00BF3EB6" w:rsidRPr="00155F11">
        <w:rPr>
          <w:sz w:val="20"/>
          <w:szCs w:val="20"/>
        </w:rPr>
        <w:t xml:space="preserve">tag the aggregated items </w:t>
      </w:r>
      <w:r w:rsidR="00896D3A" w:rsidRPr="00155F11">
        <w:rPr>
          <w:sz w:val="20"/>
          <w:szCs w:val="20"/>
        </w:rPr>
        <w:t xml:space="preserve">using the appropriate elements in the </w:t>
      </w:r>
      <w:r w:rsidR="00BF3EB6" w:rsidRPr="00155F11">
        <w:rPr>
          <w:sz w:val="20"/>
          <w:szCs w:val="20"/>
        </w:rPr>
        <w:t xml:space="preserve">table </w:t>
      </w:r>
      <w:r w:rsidR="00896D3A" w:rsidRPr="00155F11">
        <w:rPr>
          <w:sz w:val="20"/>
          <w:szCs w:val="20"/>
        </w:rPr>
        <w:t xml:space="preserve">below </w:t>
      </w:r>
      <w:r w:rsidR="00B375C4" w:rsidRPr="00155F11">
        <w:rPr>
          <w:sz w:val="20"/>
          <w:szCs w:val="20"/>
        </w:rPr>
        <w:t xml:space="preserve">and </w:t>
      </w:r>
      <w:r w:rsidR="00896D3A" w:rsidRPr="00155F11">
        <w:rPr>
          <w:sz w:val="20"/>
          <w:szCs w:val="20"/>
        </w:rPr>
        <w:t>disclose descriptions and amounts of individual aggregated line items in the footnote attached to the element</w:t>
      </w:r>
      <w:r w:rsidR="00BF3EB6" w:rsidRPr="00155F11">
        <w:rPr>
          <w:sz w:val="20"/>
          <w:szCs w:val="20"/>
        </w:rPr>
        <w:t xml:space="preserve"> used</w:t>
      </w:r>
      <w:r w:rsidR="00896D3A" w:rsidRPr="00155F11">
        <w:rPr>
          <w:sz w:val="20"/>
          <w:szCs w:val="20"/>
        </w:rPr>
        <w:t xml:space="preserve">. </w:t>
      </w:r>
    </w:p>
    <w:p w14:paraId="4A990218" w14:textId="77777777" w:rsidR="00116F48" w:rsidRPr="00155F11" w:rsidRDefault="00116F48" w:rsidP="00D26EA2">
      <w:pPr>
        <w:rPr>
          <w:sz w:val="20"/>
          <w:szCs w:val="20"/>
        </w:rPr>
      </w:pPr>
    </w:p>
    <w:p w14:paraId="6AF23B2B" w14:textId="77777777" w:rsidR="00116F48" w:rsidRDefault="00116F48" w:rsidP="00F069A2">
      <w:pPr>
        <w:pStyle w:val="ListParagraph"/>
        <w:numPr>
          <w:ilvl w:val="0"/>
          <w:numId w:val="28"/>
        </w:numPr>
        <w:autoSpaceDE w:val="0"/>
        <w:autoSpaceDN w:val="0"/>
        <w:adjustRightInd w:val="0"/>
        <w:ind w:hanging="1070"/>
      </w:pPr>
      <w:r>
        <w:rPr>
          <w:rStyle w:val="Emphasis"/>
          <w:bCs w:val="0"/>
          <w:sz w:val="18"/>
          <w:szCs w:val="18"/>
        </w:rPr>
        <w:t>Taxonomy element for tagging specific line items in primary financial statements</w:t>
      </w:r>
    </w:p>
    <w:p w14:paraId="69D4C266" w14:textId="77777777" w:rsidR="00C74719" w:rsidRPr="00155F11" w:rsidRDefault="00C74719" w:rsidP="00D26EA2">
      <w:pPr>
        <w:rPr>
          <w:sz w:val="20"/>
          <w:szCs w:val="20"/>
        </w:rPr>
      </w:pPr>
    </w:p>
    <w:tbl>
      <w:tblPr>
        <w:tblStyle w:val="TableGrid"/>
        <w:tblW w:w="0" w:type="auto"/>
        <w:tblLook w:val="04A0" w:firstRow="1" w:lastRow="0" w:firstColumn="1" w:lastColumn="0" w:noHBand="0" w:noVBand="1"/>
      </w:tblPr>
      <w:tblGrid>
        <w:gridCol w:w="3352"/>
        <w:gridCol w:w="3350"/>
        <w:gridCol w:w="3352"/>
      </w:tblGrid>
      <w:tr w:rsidR="00C74719" w:rsidRPr="00155F11" w14:paraId="79AB8059" w14:textId="77777777" w:rsidTr="00C74719">
        <w:tc>
          <w:tcPr>
            <w:tcW w:w="3426" w:type="dxa"/>
          </w:tcPr>
          <w:p w14:paraId="2232C4E8" w14:textId="77777777" w:rsidR="00C74719" w:rsidRPr="00155F11" w:rsidRDefault="00C74719" w:rsidP="00D26EA2">
            <w:pPr>
              <w:rPr>
                <w:b/>
                <w:sz w:val="20"/>
                <w:szCs w:val="20"/>
              </w:rPr>
            </w:pPr>
            <w:r w:rsidRPr="00155F11">
              <w:rPr>
                <w:b/>
                <w:sz w:val="20"/>
                <w:szCs w:val="20"/>
              </w:rPr>
              <w:t>ELR</w:t>
            </w:r>
          </w:p>
        </w:tc>
        <w:tc>
          <w:tcPr>
            <w:tcW w:w="3427" w:type="dxa"/>
          </w:tcPr>
          <w:p w14:paraId="10B8C9CE" w14:textId="77777777" w:rsidR="00C74719" w:rsidRPr="00155F11" w:rsidRDefault="008C53AC" w:rsidP="00D26EA2">
            <w:pPr>
              <w:rPr>
                <w:b/>
                <w:sz w:val="20"/>
                <w:szCs w:val="20"/>
              </w:rPr>
            </w:pPr>
            <w:r w:rsidRPr="00155F11">
              <w:rPr>
                <w:b/>
                <w:sz w:val="20"/>
                <w:szCs w:val="20"/>
              </w:rPr>
              <w:t>Classification</w:t>
            </w:r>
          </w:p>
        </w:tc>
        <w:tc>
          <w:tcPr>
            <w:tcW w:w="3427" w:type="dxa"/>
          </w:tcPr>
          <w:p w14:paraId="1C22AF4B" w14:textId="77777777" w:rsidR="00C74719" w:rsidRPr="00155F11" w:rsidRDefault="00BF3EB6" w:rsidP="00D26EA2">
            <w:pPr>
              <w:rPr>
                <w:b/>
                <w:sz w:val="20"/>
                <w:szCs w:val="20"/>
              </w:rPr>
            </w:pPr>
            <w:r w:rsidRPr="00155F11">
              <w:rPr>
                <w:b/>
                <w:sz w:val="20"/>
                <w:szCs w:val="20"/>
              </w:rPr>
              <w:t>Taxonomy elements</w:t>
            </w:r>
          </w:p>
        </w:tc>
      </w:tr>
      <w:tr w:rsidR="00147E2C" w:rsidRPr="00155F11" w14:paraId="3FF150B0" w14:textId="77777777" w:rsidTr="00C74719">
        <w:tc>
          <w:tcPr>
            <w:tcW w:w="3426" w:type="dxa"/>
            <w:vMerge w:val="restart"/>
          </w:tcPr>
          <w:p w14:paraId="4367C7B3" w14:textId="77777777" w:rsidR="00147E2C" w:rsidRPr="00155F11" w:rsidRDefault="00147E2C" w:rsidP="00D26EA2">
            <w:pPr>
              <w:rPr>
                <w:sz w:val="20"/>
                <w:szCs w:val="20"/>
              </w:rPr>
            </w:pPr>
            <w:r w:rsidRPr="00155F11">
              <w:rPr>
                <w:sz w:val="20"/>
                <w:szCs w:val="20"/>
              </w:rPr>
              <w:t>[210000] Statement of financial position, current/non-current</w:t>
            </w:r>
          </w:p>
        </w:tc>
        <w:tc>
          <w:tcPr>
            <w:tcW w:w="3427" w:type="dxa"/>
          </w:tcPr>
          <w:p w14:paraId="7F64F11F" w14:textId="77777777" w:rsidR="00147E2C" w:rsidRPr="00155F11" w:rsidRDefault="00147E2C" w:rsidP="00D26EA2">
            <w:pPr>
              <w:rPr>
                <w:sz w:val="20"/>
                <w:szCs w:val="20"/>
              </w:rPr>
            </w:pPr>
            <w:r w:rsidRPr="00155F11">
              <w:rPr>
                <w:sz w:val="20"/>
                <w:szCs w:val="20"/>
              </w:rPr>
              <w:t>Current assets</w:t>
            </w:r>
          </w:p>
        </w:tc>
        <w:tc>
          <w:tcPr>
            <w:tcW w:w="3427" w:type="dxa"/>
          </w:tcPr>
          <w:p w14:paraId="5E831CF5" w14:textId="77777777" w:rsidR="00147E2C" w:rsidRPr="00155F11" w:rsidRDefault="00147E2C" w:rsidP="00D26EA2">
            <w:pPr>
              <w:rPr>
                <w:sz w:val="20"/>
                <w:szCs w:val="20"/>
              </w:rPr>
            </w:pPr>
            <w:r w:rsidRPr="00155F11">
              <w:rPr>
                <w:sz w:val="20"/>
                <w:szCs w:val="20"/>
              </w:rPr>
              <w:t>Other current financial assets</w:t>
            </w:r>
          </w:p>
          <w:p w14:paraId="66FAD604" w14:textId="77777777" w:rsidR="00147E2C" w:rsidRPr="00155F11" w:rsidRDefault="00147E2C" w:rsidP="00D26EA2">
            <w:pPr>
              <w:rPr>
                <w:sz w:val="20"/>
                <w:szCs w:val="20"/>
              </w:rPr>
            </w:pPr>
            <w:r w:rsidRPr="00155F11">
              <w:rPr>
                <w:sz w:val="20"/>
                <w:szCs w:val="20"/>
              </w:rPr>
              <w:t>Other current non-financial assets</w:t>
            </w:r>
          </w:p>
        </w:tc>
      </w:tr>
      <w:tr w:rsidR="00147E2C" w:rsidRPr="00155F11" w14:paraId="3B332D3D" w14:textId="77777777" w:rsidTr="00C74719">
        <w:tc>
          <w:tcPr>
            <w:tcW w:w="3426" w:type="dxa"/>
            <w:vMerge/>
          </w:tcPr>
          <w:p w14:paraId="27B145BB" w14:textId="77777777" w:rsidR="00147E2C" w:rsidRPr="00155F11" w:rsidRDefault="00147E2C" w:rsidP="00D26EA2">
            <w:pPr>
              <w:rPr>
                <w:sz w:val="20"/>
                <w:szCs w:val="20"/>
              </w:rPr>
            </w:pPr>
          </w:p>
        </w:tc>
        <w:tc>
          <w:tcPr>
            <w:tcW w:w="3427" w:type="dxa"/>
          </w:tcPr>
          <w:p w14:paraId="56CCEFF3" w14:textId="77777777" w:rsidR="00147E2C" w:rsidRPr="00155F11" w:rsidRDefault="00147E2C" w:rsidP="00D26EA2">
            <w:pPr>
              <w:rPr>
                <w:sz w:val="20"/>
                <w:szCs w:val="20"/>
              </w:rPr>
            </w:pPr>
            <w:r w:rsidRPr="00155F11">
              <w:rPr>
                <w:sz w:val="20"/>
                <w:szCs w:val="20"/>
              </w:rPr>
              <w:t>Non-current assets</w:t>
            </w:r>
          </w:p>
        </w:tc>
        <w:tc>
          <w:tcPr>
            <w:tcW w:w="3427" w:type="dxa"/>
          </w:tcPr>
          <w:p w14:paraId="0F1E0F07" w14:textId="77777777" w:rsidR="00147E2C" w:rsidRPr="00155F11" w:rsidRDefault="00147E2C" w:rsidP="00D26EA2">
            <w:pPr>
              <w:rPr>
                <w:sz w:val="20"/>
                <w:szCs w:val="20"/>
              </w:rPr>
            </w:pPr>
            <w:r w:rsidRPr="00155F11">
              <w:rPr>
                <w:sz w:val="20"/>
                <w:szCs w:val="20"/>
              </w:rPr>
              <w:t>Other non-current financial assets</w:t>
            </w:r>
          </w:p>
          <w:p w14:paraId="0F33398A" w14:textId="77777777" w:rsidR="00147E2C" w:rsidRPr="00155F11" w:rsidRDefault="00147E2C" w:rsidP="00D26EA2">
            <w:pPr>
              <w:rPr>
                <w:sz w:val="20"/>
                <w:szCs w:val="20"/>
              </w:rPr>
            </w:pPr>
            <w:r w:rsidRPr="00155F11">
              <w:rPr>
                <w:sz w:val="20"/>
                <w:szCs w:val="20"/>
              </w:rPr>
              <w:t>Other non-current non-financial assets</w:t>
            </w:r>
          </w:p>
        </w:tc>
      </w:tr>
      <w:tr w:rsidR="00147E2C" w:rsidRPr="00155F11" w14:paraId="12ED612D" w14:textId="77777777" w:rsidTr="00C74719">
        <w:tc>
          <w:tcPr>
            <w:tcW w:w="3426" w:type="dxa"/>
            <w:vMerge/>
          </w:tcPr>
          <w:p w14:paraId="355B494A" w14:textId="77777777" w:rsidR="00147E2C" w:rsidRPr="00155F11" w:rsidRDefault="00147E2C" w:rsidP="00D26EA2">
            <w:pPr>
              <w:rPr>
                <w:sz w:val="20"/>
                <w:szCs w:val="20"/>
              </w:rPr>
            </w:pPr>
          </w:p>
        </w:tc>
        <w:tc>
          <w:tcPr>
            <w:tcW w:w="3427" w:type="dxa"/>
          </w:tcPr>
          <w:p w14:paraId="0A176458" w14:textId="77777777" w:rsidR="00147E2C" w:rsidRPr="00155F11" w:rsidRDefault="00147E2C" w:rsidP="00D26EA2">
            <w:pPr>
              <w:rPr>
                <w:sz w:val="20"/>
                <w:szCs w:val="20"/>
              </w:rPr>
            </w:pPr>
            <w:r w:rsidRPr="00155F11">
              <w:rPr>
                <w:sz w:val="20"/>
                <w:szCs w:val="20"/>
              </w:rPr>
              <w:t>Current liabilities</w:t>
            </w:r>
          </w:p>
        </w:tc>
        <w:tc>
          <w:tcPr>
            <w:tcW w:w="3427" w:type="dxa"/>
          </w:tcPr>
          <w:p w14:paraId="3E7129E2" w14:textId="77777777" w:rsidR="00147E2C" w:rsidRPr="00155F11" w:rsidRDefault="00147E2C" w:rsidP="00D26EA2">
            <w:pPr>
              <w:rPr>
                <w:sz w:val="20"/>
                <w:szCs w:val="20"/>
              </w:rPr>
            </w:pPr>
            <w:r w:rsidRPr="00155F11">
              <w:rPr>
                <w:sz w:val="20"/>
                <w:szCs w:val="20"/>
              </w:rPr>
              <w:t>Other current financial liabilities</w:t>
            </w:r>
          </w:p>
          <w:p w14:paraId="1660997F" w14:textId="77777777" w:rsidR="00147E2C" w:rsidRPr="00155F11" w:rsidRDefault="00147E2C" w:rsidP="00D26EA2">
            <w:pPr>
              <w:rPr>
                <w:sz w:val="20"/>
                <w:szCs w:val="20"/>
              </w:rPr>
            </w:pPr>
            <w:r w:rsidRPr="00155F11">
              <w:rPr>
                <w:sz w:val="20"/>
                <w:szCs w:val="20"/>
              </w:rPr>
              <w:t>Other current non-financial liabilities</w:t>
            </w:r>
          </w:p>
        </w:tc>
      </w:tr>
      <w:tr w:rsidR="00147E2C" w:rsidRPr="00155F11" w14:paraId="5240A4AD" w14:textId="77777777" w:rsidTr="00C74719">
        <w:tc>
          <w:tcPr>
            <w:tcW w:w="3426" w:type="dxa"/>
            <w:vMerge/>
          </w:tcPr>
          <w:p w14:paraId="37B5AC20" w14:textId="77777777" w:rsidR="00147E2C" w:rsidRPr="00155F11" w:rsidRDefault="00147E2C" w:rsidP="00D26EA2">
            <w:pPr>
              <w:rPr>
                <w:sz w:val="20"/>
                <w:szCs w:val="20"/>
              </w:rPr>
            </w:pPr>
          </w:p>
        </w:tc>
        <w:tc>
          <w:tcPr>
            <w:tcW w:w="3427" w:type="dxa"/>
          </w:tcPr>
          <w:p w14:paraId="4F992AFB" w14:textId="77777777" w:rsidR="00147E2C" w:rsidRPr="00155F11" w:rsidRDefault="00147E2C" w:rsidP="00D26EA2">
            <w:pPr>
              <w:rPr>
                <w:sz w:val="20"/>
                <w:szCs w:val="20"/>
              </w:rPr>
            </w:pPr>
            <w:r w:rsidRPr="00155F11">
              <w:rPr>
                <w:sz w:val="20"/>
                <w:szCs w:val="20"/>
              </w:rPr>
              <w:t>Non-current liabilities</w:t>
            </w:r>
          </w:p>
        </w:tc>
        <w:tc>
          <w:tcPr>
            <w:tcW w:w="3427" w:type="dxa"/>
          </w:tcPr>
          <w:p w14:paraId="4212B37A" w14:textId="77777777" w:rsidR="00147E2C" w:rsidRPr="00155F11" w:rsidRDefault="00147E2C" w:rsidP="00D26EA2">
            <w:pPr>
              <w:rPr>
                <w:sz w:val="20"/>
                <w:szCs w:val="20"/>
              </w:rPr>
            </w:pPr>
            <w:r w:rsidRPr="00155F11">
              <w:rPr>
                <w:sz w:val="20"/>
                <w:szCs w:val="20"/>
              </w:rPr>
              <w:t>Other non-current financial liabilities</w:t>
            </w:r>
          </w:p>
          <w:p w14:paraId="627C366B" w14:textId="77777777" w:rsidR="00147E2C" w:rsidRPr="00155F11" w:rsidRDefault="00147E2C" w:rsidP="00D26EA2">
            <w:pPr>
              <w:rPr>
                <w:sz w:val="20"/>
                <w:szCs w:val="20"/>
              </w:rPr>
            </w:pPr>
            <w:r w:rsidRPr="00155F11">
              <w:rPr>
                <w:sz w:val="20"/>
                <w:szCs w:val="20"/>
              </w:rPr>
              <w:t>Other non-current non-financial liabilities</w:t>
            </w:r>
          </w:p>
        </w:tc>
      </w:tr>
      <w:tr w:rsidR="00147E2C" w:rsidRPr="00155F11" w14:paraId="530A3896" w14:textId="77777777" w:rsidTr="00C74719">
        <w:tc>
          <w:tcPr>
            <w:tcW w:w="3426" w:type="dxa"/>
            <w:vMerge/>
          </w:tcPr>
          <w:p w14:paraId="14FA59B7" w14:textId="77777777" w:rsidR="00147E2C" w:rsidRPr="00155F11" w:rsidRDefault="00147E2C" w:rsidP="00D26EA2">
            <w:pPr>
              <w:rPr>
                <w:sz w:val="20"/>
                <w:szCs w:val="20"/>
              </w:rPr>
            </w:pPr>
          </w:p>
        </w:tc>
        <w:tc>
          <w:tcPr>
            <w:tcW w:w="3427" w:type="dxa"/>
          </w:tcPr>
          <w:p w14:paraId="6350854A" w14:textId="77777777" w:rsidR="00147E2C" w:rsidRPr="00155F11" w:rsidRDefault="00147E2C" w:rsidP="00D26EA2">
            <w:pPr>
              <w:rPr>
                <w:sz w:val="20"/>
                <w:szCs w:val="20"/>
              </w:rPr>
            </w:pPr>
            <w:r w:rsidRPr="00155F11">
              <w:rPr>
                <w:sz w:val="20"/>
                <w:szCs w:val="20"/>
              </w:rPr>
              <w:t>Equity</w:t>
            </w:r>
          </w:p>
        </w:tc>
        <w:tc>
          <w:tcPr>
            <w:tcW w:w="3427" w:type="dxa"/>
          </w:tcPr>
          <w:p w14:paraId="2316507C" w14:textId="77777777" w:rsidR="00147E2C" w:rsidRPr="00155F11" w:rsidRDefault="00147E2C" w:rsidP="00D26EA2">
            <w:pPr>
              <w:rPr>
                <w:sz w:val="20"/>
                <w:szCs w:val="20"/>
              </w:rPr>
            </w:pPr>
            <w:r w:rsidRPr="00155F11">
              <w:rPr>
                <w:sz w:val="20"/>
                <w:szCs w:val="20"/>
              </w:rPr>
              <w:t>Other equity interest</w:t>
            </w:r>
          </w:p>
          <w:p w14:paraId="2A1A6E67" w14:textId="77777777" w:rsidR="00147E2C" w:rsidRPr="00155F11" w:rsidRDefault="00147E2C" w:rsidP="00D26EA2">
            <w:pPr>
              <w:rPr>
                <w:sz w:val="20"/>
                <w:szCs w:val="20"/>
              </w:rPr>
            </w:pPr>
            <w:r w:rsidRPr="00155F11">
              <w:rPr>
                <w:sz w:val="20"/>
                <w:szCs w:val="20"/>
              </w:rPr>
              <w:t>Other reserves</w:t>
            </w:r>
          </w:p>
        </w:tc>
      </w:tr>
      <w:tr w:rsidR="007E4E7C" w:rsidRPr="00155F11" w14:paraId="599BBA6F" w14:textId="77777777" w:rsidTr="00C74719">
        <w:tc>
          <w:tcPr>
            <w:tcW w:w="3426" w:type="dxa"/>
            <w:vMerge w:val="restart"/>
          </w:tcPr>
          <w:p w14:paraId="4A29C428" w14:textId="77777777" w:rsidR="007E4E7C" w:rsidRPr="00155F11" w:rsidRDefault="007E4E7C" w:rsidP="00D26EA2">
            <w:pPr>
              <w:rPr>
                <w:sz w:val="20"/>
                <w:szCs w:val="20"/>
              </w:rPr>
            </w:pPr>
            <w:r w:rsidRPr="00155F11">
              <w:rPr>
                <w:sz w:val="20"/>
                <w:szCs w:val="20"/>
              </w:rPr>
              <w:t>[220000] Statement of financial position, order of liquidity</w:t>
            </w:r>
          </w:p>
        </w:tc>
        <w:tc>
          <w:tcPr>
            <w:tcW w:w="3427" w:type="dxa"/>
          </w:tcPr>
          <w:p w14:paraId="3F57216D" w14:textId="77777777" w:rsidR="007E4E7C" w:rsidRPr="00155F11" w:rsidRDefault="007E4E7C" w:rsidP="00D26EA2">
            <w:pPr>
              <w:rPr>
                <w:sz w:val="20"/>
                <w:szCs w:val="20"/>
              </w:rPr>
            </w:pPr>
            <w:r w:rsidRPr="00155F11">
              <w:rPr>
                <w:sz w:val="20"/>
                <w:szCs w:val="20"/>
              </w:rPr>
              <w:t>Assets [abstract]</w:t>
            </w:r>
          </w:p>
        </w:tc>
        <w:tc>
          <w:tcPr>
            <w:tcW w:w="3427" w:type="dxa"/>
          </w:tcPr>
          <w:p w14:paraId="0CAA25D9" w14:textId="77777777" w:rsidR="007E4E7C" w:rsidRPr="00155F11" w:rsidRDefault="007E4E7C" w:rsidP="00D26EA2">
            <w:pPr>
              <w:rPr>
                <w:sz w:val="20"/>
                <w:szCs w:val="20"/>
              </w:rPr>
            </w:pPr>
            <w:r w:rsidRPr="00155F11">
              <w:rPr>
                <w:sz w:val="20"/>
                <w:szCs w:val="20"/>
              </w:rPr>
              <w:t>Other financial assets</w:t>
            </w:r>
          </w:p>
          <w:p w14:paraId="767AA1BD" w14:textId="77777777" w:rsidR="007E4E7C" w:rsidRPr="00155F11" w:rsidRDefault="007E4E7C" w:rsidP="00D26EA2">
            <w:pPr>
              <w:rPr>
                <w:sz w:val="20"/>
                <w:szCs w:val="20"/>
              </w:rPr>
            </w:pPr>
            <w:r w:rsidRPr="00155F11">
              <w:rPr>
                <w:sz w:val="20"/>
                <w:szCs w:val="20"/>
              </w:rPr>
              <w:t>Other non-financial assets</w:t>
            </w:r>
          </w:p>
        </w:tc>
      </w:tr>
      <w:tr w:rsidR="007E4E7C" w:rsidRPr="00155F11" w14:paraId="48DCA89A" w14:textId="77777777" w:rsidTr="00C74719">
        <w:tc>
          <w:tcPr>
            <w:tcW w:w="3426" w:type="dxa"/>
            <w:vMerge/>
          </w:tcPr>
          <w:p w14:paraId="464C0805" w14:textId="77777777" w:rsidR="007E4E7C" w:rsidRPr="00155F11" w:rsidRDefault="007E4E7C" w:rsidP="00D26EA2">
            <w:pPr>
              <w:rPr>
                <w:sz w:val="20"/>
                <w:szCs w:val="20"/>
              </w:rPr>
            </w:pPr>
          </w:p>
        </w:tc>
        <w:tc>
          <w:tcPr>
            <w:tcW w:w="3427" w:type="dxa"/>
          </w:tcPr>
          <w:p w14:paraId="6DDC7D88" w14:textId="77777777" w:rsidR="007E4E7C" w:rsidRPr="00155F11" w:rsidRDefault="007E4E7C" w:rsidP="00D26EA2">
            <w:pPr>
              <w:rPr>
                <w:sz w:val="20"/>
                <w:szCs w:val="20"/>
              </w:rPr>
            </w:pPr>
            <w:r w:rsidRPr="00155F11">
              <w:rPr>
                <w:sz w:val="20"/>
                <w:szCs w:val="20"/>
              </w:rPr>
              <w:t>Liabilities [abstract]</w:t>
            </w:r>
          </w:p>
        </w:tc>
        <w:tc>
          <w:tcPr>
            <w:tcW w:w="3427" w:type="dxa"/>
          </w:tcPr>
          <w:p w14:paraId="3EC8C2D1" w14:textId="77777777" w:rsidR="007E4E7C" w:rsidRPr="00155F11" w:rsidRDefault="007E4E7C" w:rsidP="00D26EA2">
            <w:pPr>
              <w:rPr>
                <w:sz w:val="20"/>
                <w:szCs w:val="20"/>
              </w:rPr>
            </w:pPr>
            <w:r w:rsidRPr="00155F11">
              <w:rPr>
                <w:sz w:val="20"/>
                <w:szCs w:val="20"/>
              </w:rPr>
              <w:t>Other financial liabilities</w:t>
            </w:r>
          </w:p>
          <w:p w14:paraId="36E6A1DF" w14:textId="77777777" w:rsidR="007E4E7C" w:rsidRPr="00155F11" w:rsidRDefault="007E4E7C" w:rsidP="00D26EA2">
            <w:pPr>
              <w:rPr>
                <w:sz w:val="20"/>
                <w:szCs w:val="20"/>
              </w:rPr>
            </w:pPr>
            <w:r w:rsidRPr="00155F11">
              <w:rPr>
                <w:sz w:val="20"/>
                <w:szCs w:val="20"/>
              </w:rPr>
              <w:t>Other non-financial liabilities</w:t>
            </w:r>
          </w:p>
        </w:tc>
      </w:tr>
      <w:tr w:rsidR="007E4E7C" w:rsidRPr="00155F11" w14:paraId="3DA5705B" w14:textId="77777777" w:rsidTr="00C74719">
        <w:tc>
          <w:tcPr>
            <w:tcW w:w="3426" w:type="dxa"/>
            <w:vMerge/>
          </w:tcPr>
          <w:p w14:paraId="543CE573" w14:textId="77777777" w:rsidR="007E4E7C" w:rsidRPr="00155F11" w:rsidRDefault="007E4E7C" w:rsidP="00D26EA2">
            <w:pPr>
              <w:rPr>
                <w:sz w:val="20"/>
                <w:szCs w:val="20"/>
              </w:rPr>
            </w:pPr>
          </w:p>
        </w:tc>
        <w:tc>
          <w:tcPr>
            <w:tcW w:w="3427" w:type="dxa"/>
          </w:tcPr>
          <w:p w14:paraId="3F3B4DE3" w14:textId="77777777" w:rsidR="007E4E7C" w:rsidRPr="00155F11" w:rsidRDefault="007E4E7C" w:rsidP="00D26EA2">
            <w:pPr>
              <w:rPr>
                <w:sz w:val="20"/>
                <w:szCs w:val="20"/>
              </w:rPr>
            </w:pPr>
            <w:r w:rsidRPr="00155F11">
              <w:rPr>
                <w:sz w:val="20"/>
                <w:szCs w:val="20"/>
              </w:rPr>
              <w:t>Equity [abstract]</w:t>
            </w:r>
          </w:p>
        </w:tc>
        <w:tc>
          <w:tcPr>
            <w:tcW w:w="3427" w:type="dxa"/>
          </w:tcPr>
          <w:p w14:paraId="6127C086" w14:textId="77777777" w:rsidR="007E4E7C" w:rsidRPr="00155F11" w:rsidRDefault="007E4E7C" w:rsidP="008C53AC">
            <w:pPr>
              <w:rPr>
                <w:sz w:val="20"/>
                <w:szCs w:val="20"/>
              </w:rPr>
            </w:pPr>
            <w:r w:rsidRPr="00155F11">
              <w:rPr>
                <w:sz w:val="20"/>
                <w:szCs w:val="20"/>
              </w:rPr>
              <w:t>Other equity interest</w:t>
            </w:r>
          </w:p>
          <w:p w14:paraId="4D11C453" w14:textId="77777777" w:rsidR="007E4E7C" w:rsidRPr="00155F11" w:rsidRDefault="007E4E7C" w:rsidP="008C53AC">
            <w:pPr>
              <w:rPr>
                <w:sz w:val="20"/>
                <w:szCs w:val="20"/>
              </w:rPr>
            </w:pPr>
            <w:r w:rsidRPr="00155F11">
              <w:rPr>
                <w:sz w:val="20"/>
                <w:szCs w:val="20"/>
              </w:rPr>
              <w:t>Other reserves</w:t>
            </w:r>
          </w:p>
        </w:tc>
      </w:tr>
      <w:tr w:rsidR="008C53AC" w:rsidRPr="00155F11" w14:paraId="601CEDB8" w14:textId="77777777" w:rsidTr="00C74719">
        <w:tc>
          <w:tcPr>
            <w:tcW w:w="3426" w:type="dxa"/>
          </w:tcPr>
          <w:p w14:paraId="0ED4227C" w14:textId="77777777" w:rsidR="008C53AC" w:rsidRPr="00155F11" w:rsidRDefault="008C53AC" w:rsidP="00D26EA2">
            <w:pPr>
              <w:rPr>
                <w:sz w:val="20"/>
                <w:szCs w:val="20"/>
              </w:rPr>
            </w:pPr>
            <w:r w:rsidRPr="00155F11">
              <w:rPr>
                <w:sz w:val="20"/>
                <w:szCs w:val="20"/>
              </w:rPr>
              <w:t>[310000] Statement of comprehensive income, profit or loss, by function of expense and [320000] Statement of comprehensive income, profit or loss, by nature of expense</w:t>
            </w:r>
          </w:p>
        </w:tc>
        <w:tc>
          <w:tcPr>
            <w:tcW w:w="3427" w:type="dxa"/>
          </w:tcPr>
          <w:p w14:paraId="7B3BB733" w14:textId="77777777" w:rsidR="008C53AC" w:rsidRPr="00155F11" w:rsidRDefault="008C53AC" w:rsidP="00D26EA2">
            <w:pPr>
              <w:rPr>
                <w:sz w:val="20"/>
                <w:szCs w:val="20"/>
              </w:rPr>
            </w:pPr>
            <w:r w:rsidRPr="00155F11">
              <w:rPr>
                <w:sz w:val="20"/>
                <w:szCs w:val="20"/>
              </w:rPr>
              <w:t>Profit (loss) before tax</w:t>
            </w:r>
            <w:r w:rsidR="00147E2C" w:rsidRPr="00155F11">
              <w:rPr>
                <w:sz w:val="20"/>
                <w:szCs w:val="20"/>
              </w:rPr>
              <w:t xml:space="preserve">  [abstract]</w:t>
            </w:r>
          </w:p>
        </w:tc>
        <w:tc>
          <w:tcPr>
            <w:tcW w:w="3427" w:type="dxa"/>
          </w:tcPr>
          <w:p w14:paraId="3CF01CA8" w14:textId="77777777" w:rsidR="008C53AC" w:rsidRPr="00155F11" w:rsidRDefault="008C53AC" w:rsidP="008C53AC">
            <w:pPr>
              <w:rPr>
                <w:sz w:val="20"/>
                <w:szCs w:val="20"/>
              </w:rPr>
            </w:pPr>
            <w:r w:rsidRPr="00155F11">
              <w:rPr>
                <w:sz w:val="20"/>
                <w:szCs w:val="20"/>
              </w:rPr>
              <w:t>Other income</w:t>
            </w:r>
          </w:p>
          <w:p w14:paraId="6288400E" w14:textId="77777777" w:rsidR="008C53AC" w:rsidRPr="00155F11" w:rsidRDefault="008C53AC" w:rsidP="008C53AC">
            <w:pPr>
              <w:rPr>
                <w:sz w:val="20"/>
                <w:szCs w:val="20"/>
              </w:rPr>
            </w:pPr>
            <w:r w:rsidRPr="00155F11">
              <w:rPr>
                <w:sz w:val="20"/>
                <w:szCs w:val="20"/>
              </w:rPr>
              <w:t>Other expense</w:t>
            </w:r>
          </w:p>
          <w:p w14:paraId="200E4FED" w14:textId="77777777" w:rsidR="008C53AC" w:rsidRPr="00155F11" w:rsidRDefault="008C53AC" w:rsidP="008C53AC">
            <w:pPr>
              <w:rPr>
                <w:sz w:val="20"/>
                <w:szCs w:val="20"/>
              </w:rPr>
            </w:pPr>
            <w:r w:rsidRPr="00155F11">
              <w:rPr>
                <w:sz w:val="20"/>
                <w:szCs w:val="20"/>
              </w:rPr>
              <w:t>Other gains (losses)</w:t>
            </w:r>
          </w:p>
        </w:tc>
      </w:tr>
      <w:tr w:rsidR="0099734B" w:rsidRPr="00155F11" w14:paraId="34944B35" w14:textId="77777777" w:rsidTr="00C74719">
        <w:tc>
          <w:tcPr>
            <w:tcW w:w="3426" w:type="dxa"/>
          </w:tcPr>
          <w:p w14:paraId="50D895A4" w14:textId="77777777" w:rsidR="0099734B" w:rsidRPr="00155F11" w:rsidRDefault="0099734B" w:rsidP="006C3C41">
            <w:pPr>
              <w:rPr>
                <w:sz w:val="20"/>
                <w:szCs w:val="20"/>
              </w:rPr>
            </w:pPr>
            <w:r w:rsidRPr="00155F11">
              <w:rPr>
                <w:sz w:val="20"/>
                <w:szCs w:val="20"/>
              </w:rPr>
              <w:t xml:space="preserve">[410000] Statement of comprehensive income, OCI components presented net of tax </w:t>
            </w:r>
          </w:p>
        </w:tc>
        <w:tc>
          <w:tcPr>
            <w:tcW w:w="3427" w:type="dxa"/>
          </w:tcPr>
          <w:p w14:paraId="1FF1A0B4" w14:textId="77777777" w:rsidR="0099734B" w:rsidRPr="00155F11" w:rsidRDefault="0099734B" w:rsidP="00D26EA2">
            <w:pPr>
              <w:rPr>
                <w:sz w:val="20"/>
                <w:szCs w:val="20"/>
              </w:rPr>
            </w:pPr>
            <w:r w:rsidRPr="00155F11">
              <w:rPr>
                <w:sz w:val="20"/>
                <w:szCs w:val="20"/>
              </w:rPr>
              <w:t>Exchange differences on translation [abstract]</w:t>
            </w:r>
          </w:p>
        </w:tc>
        <w:tc>
          <w:tcPr>
            <w:tcW w:w="3427" w:type="dxa"/>
          </w:tcPr>
          <w:p w14:paraId="13AED0FE" w14:textId="77777777" w:rsidR="0099734B" w:rsidRPr="00155F11" w:rsidRDefault="0099734B" w:rsidP="008A128A">
            <w:pPr>
              <w:rPr>
                <w:sz w:val="20"/>
                <w:szCs w:val="20"/>
              </w:rPr>
            </w:pPr>
            <w:r w:rsidRPr="00155F11">
              <w:rPr>
                <w:sz w:val="20"/>
                <w:szCs w:val="20"/>
              </w:rPr>
              <w:t>Other comprehensive income, net of tax, exchange differences on translation</w:t>
            </w:r>
          </w:p>
        </w:tc>
      </w:tr>
      <w:tr w:rsidR="0099734B" w:rsidRPr="00155F11" w14:paraId="1F7F0662" w14:textId="77777777" w:rsidTr="00C74719">
        <w:tc>
          <w:tcPr>
            <w:tcW w:w="3426" w:type="dxa"/>
          </w:tcPr>
          <w:p w14:paraId="38160D2A" w14:textId="77777777" w:rsidR="0099734B" w:rsidRPr="00155F11" w:rsidRDefault="0099734B" w:rsidP="00D26EA2">
            <w:pPr>
              <w:rPr>
                <w:sz w:val="20"/>
                <w:szCs w:val="20"/>
              </w:rPr>
            </w:pPr>
          </w:p>
        </w:tc>
        <w:tc>
          <w:tcPr>
            <w:tcW w:w="3427" w:type="dxa"/>
          </w:tcPr>
          <w:p w14:paraId="4103E717" w14:textId="77777777" w:rsidR="0099734B" w:rsidRPr="00155F11" w:rsidRDefault="0099734B" w:rsidP="00D26EA2">
            <w:pPr>
              <w:rPr>
                <w:sz w:val="20"/>
                <w:szCs w:val="20"/>
              </w:rPr>
            </w:pPr>
            <w:r w:rsidRPr="00155F11">
              <w:rPr>
                <w:sz w:val="20"/>
                <w:szCs w:val="20"/>
              </w:rPr>
              <w:t>Available-for-sale financial assets [abstract]</w:t>
            </w:r>
          </w:p>
        </w:tc>
        <w:tc>
          <w:tcPr>
            <w:tcW w:w="3427" w:type="dxa"/>
          </w:tcPr>
          <w:p w14:paraId="4DC5273C" w14:textId="77777777" w:rsidR="0099734B" w:rsidRPr="00155F11" w:rsidRDefault="0099734B" w:rsidP="008A128A">
            <w:pPr>
              <w:rPr>
                <w:sz w:val="20"/>
                <w:szCs w:val="20"/>
              </w:rPr>
            </w:pPr>
            <w:r w:rsidRPr="00155F11">
              <w:rPr>
                <w:sz w:val="20"/>
                <w:szCs w:val="20"/>
              </w:rPr>
              <w:t>Other comprehensive income, net of tax, available-for-sale financial assets</w:t>
            </w:r>
          </w:p>
        </w:tc>
      </w:tr>
      <w:tr w:rsidR="0099734B" w:rsidRPr="00155F11" w14:paraId="2A5F1B39" w14:textId="77777777" w:rsidTr="00C74719">
        <w:tc>
          <w:tcPr>
            <w:tcW w:w="3426" w:type="dxa"/>
          </w:tcPr>
          <w:p w14:paraId="6724B26B" w14:textId="77777777" w:rsidR="0099734B" w:rsidRPr="00155F11" w:rsidRDefault="0099734B" w:rsidP="00D26EA2">
            <w:pPr>
              <w:rPr>
                <w:sz w:val="20"/>
                <w:szCs w:val="20"/>
              </w:rPr>
            </w:pPr>
          </w:p>
        </w:tc>
        <w:tc>
          <w:tcPr>
            <w:tcW w:w="3427" w:type="dxa"/>
          </w:tcPr>
          <w:p w14:paraId="05DDA464" w14:textId="77777777" w:rsidR="0099734B" w:rsidRPr="00155F11" w:rsidRDefault="0099734B" w:rsidP="00D26EA2">
            <w:pPr>
              <w:rPr>
                <w:sz w:val="20"/>
                <w:szCs w:val="20"/>
              </w:rPr>
            </w:pPr>
            <w:r w:rsidRPr="00155F11">
              <w:rPr>
                <w:sz w:val="20"/>
                <w:szCs w:val="20"/>
              </w:rPr>
              <w:t>Cash flow hedges [abstract]</w:t>
            </w:r>
          </w:p>
        </w:tc>
        <w:tc>
          <w:tcPr>
            <w:tcW w:w="3427" w:type="dxa"/>
          </w:tcPr>
          <w:p w14:paraId="22F84AED" w14:textId="77777777" w:rsidR="0099734B" w:rsidRPr="00155F11" w:rsidRDefault="0099734B" w:rsidP="008A128A">
            <w:pPr>
              <w:rPr>
                <w:sz w:val="20"/>
                <w:szCs w:val="20"/>
              </w:rPr>
            </w:pPr>
            <w:r w:rsidRPr="00155F11">
              <w:rPr>
                <w:sz w:val="20"/>
                <w:szCs w:val="20"/>
              </w:rPr>
              <w:t>Other comprehensive income, net of tax, cash flow hedges</w:t>
            </w:r>
          </w:p>
        </w:tc>
      </w:tr>
      <w:tr w:rsidR="0099734B" w:rsidRPr="00155F11" w14:paraId="50F4D6D4" w14:textId="77777777" w:rsidTr="00C74719">
        <w:tc>
          <w:tcPr>
            <w:tcW w:w="3426" w:type="dxa"/>
          </w:tcPr>
          <w:p w14:paraId="1DA42B3B" w14:textId="77777777" w:rsidR="0099734B" w:rsidRPr="00155F11" w:rsidRDefault="0099734B" w:rsidP="00D26EA2">
            <w:pPr>
              <w:rPr>
                <w:sz w:val="20"/>
                <w:szCs w:val="20"/>
              </w:rPr>
            </w:pPr>
          </w:p>
        </w:tc>
        <w:tc>
          <w:tcPr>
            <w:tcW w:w="3427" w:type="dxa"/>
          </w:tcPr>
          <w:p w14:paraId="3E1B41E3" w14:textId="77777777" w:rsidR="0099734B" w:rsidRPr="00155F11" w:rsidRDefault="0099734B" w:rsidP="00D26EA2">
            <w:pPr>
              <w:rPr>
                <w:sz w:val="20"/>
                <w:szCs w:val="20"/>
              </w:rPr>
            </w:pPr>
            <w:r w:rsidRPr="00155F11">
              <w:rPr>
                <w:sz w:val="20"/>
                <w:szCs w:val="20"/>
              </w:rPr>
              <w:t>Hedges of net investment in foreign operations [abstract]</w:t>
            </w:r>
          </w:p>
        </w:tc>
        <w:tc>
          <w:tcPr>
            <w:tcW w:w="3427" w:type="dxa"/>
          </w:tcPr>
          <w:p w14:paraId="36BB77EF" w14:textId="77777777" w:rsidR="0099734B" w:rsidRPr="00155F11" w:rsidRDefault="0099734B" w:rsidP="008A128A">
            <w:pPr>
              <w:rPr>
                <w:sz w:val="20"/>
                <w:szCs w:val="20"/>
              </w:rPr>
            </w:pPr>
            <w:r w:rsidRPr="00155F11">
              <w:rPr>
                <w:sz w:val="20"/>
                <w:szCs w:val="20"/>
              </w:rPr>
              <w:t>Other comprehensive income, net of tax, hedges of net investments in foreign operations</w:t>
            </w:r>
          </w:p>
        </w:tc>
      </w:tr>
      <w:tr w:rsidR="006C3C41" w:rsidRPr="00155F11" w14:paraId="1A84A16E" w14:textId="77777777" w:rsidTr="00C74719">
        <w:tc>
          <w:tcPr>
            <w:tcW w:w="3426" w:type="dxa"/>
          </w:tcPr>
          <w:p w14:paraId="5BE25609" w14:textId="77777777" w:rsidR="006C3C41" w:rsidRPr="00155F11" w:rsidRDefault="006C3C41" w:rsidP="00D26EA2">
            <w:pPr>
              <w:rPr>
                <w:sz w:val="20"/>
                <w:szCs w:val="20"/>
              </w:rPr>
            </w:pPr>
            <w:r w:rsidRPr="00155F11">
              <w:rPr>
                <w:sz w:val="20"/>
                <w:szCs w:val="20"/>
              </w:rPr>
              <w:t>[420000] Statement of comprehensive income, OCI components presented before tax</w:t>
            </w:r>
          </w:p>
        </w:tc>
        <w:tc>
          <w:tcPr>
            <w:tcW w:w="3427" w:type="dxa"/>
          </w:tcPr>
          <w:p w14:paraId="150B7B01" w14:textId="77777777" w:rsidR="006C3C41" w:rsidRPr="00155F11" w:rsidRDefault="006C3C41" w:rsidP="00D26EA2">
            <w:pPr>
              <w:rPr>
                <w:sz w:val="20"/>
                <w:szCs w:val="20"/>
              </w:rPr>
            </w:pPr>
            <w:r w:rsidRPr="00155F11">
              <w:rPr>
                <w:sz w:val="20"/>
                <w:szCs w:val="20"/>
              </w:rPr>
              <w:t>Exchange differences on translation [abstract]</w:t>
            </w:r>
          </w:p>
        </w:tc>
        <w:tc>
          <w:tcPr>
            <w:tcW w:w="3427" w:type="dxa"/>
          </w:tcPr>
          <w:p w14:paraId="747A7FC5" w14:textId="77777777" w:rsidR="006C3C41" w:rsidRPr="00155F11" w:rsidRDefault="006C3C41" w:rsidP="008A128A">
            <w:pPr>
              <w:rPr>
                <w:sz w:val="20"/>
                <w:szCs w:val="20"/>
              </w:rPr>
            </w:pPr>
            <w:r w:rsidRPr="00155F11">
              <w:rPr>
                <w:sz w:val="20"/>
                <w:szCs w:val="20"/>
              </w:rPr>
              <w:t>Other comprehensive income, before tax, exchange differences on translation</w:t>
            </w:r>
          </w:p>
        </w:tc>
      </w:tr>
      <w:tr w:rsidR="006C3C41" w:rsidRPr="00155F11" w14:paraId="13633893" w14:textId="77777777" w:rsidTr="00C74719">
        <w:tc>
          <w:tcPr>
            <w:tcW w:w="3426" w:type="dxa"/>
          </w:tcPr>
          <w:p w14:paraId="6D31ABFC" w14:textId="77777777" w:rsidR="006C3C41" w:rsidRPr="00155F11" w:rsidRDefault="006C3C41" w:rsidP="00D26EA2">
            <w:pPr>
              <w:rPr>
                <w:sz w:val="20"/>
                <w:szCs w:val="20"/>
              </w:rPr>
            </w:pPr>
          </w:p>
        </w:tc>
        <w:tc>
          <w:tcPr>
            <w:tcW w:w="3427" w:type="dxa"/>
          </w:tcPr>
          <w:p w14:paraId="259FD723" w14:textId="77777777" w:rsidR="006C3C41" w:rsidRPr="00155F11" w:rsidRDefault="006C3C41" w:rsidP="00D26EA2">
            <w:pPr>
              <w:rPr>
                <w:sz w:val="20"/>
                <w:szCs w:val="20"/>
              </w:rPr>
            </w:pPr>
            <w:r w:rsidRPr="00155F11">
              <w:rPr>
                <w:sz w:val="20"/>
                <w:szCs w:val="20"/>
              </w:rPr>
              <w:t>Available-for-sale financial assets [abstract]</w:t>
            </w:r>
          </w:p>
        </w:tc>
        <w:tc>
          <w:tcPr>
            <w:tcW w:w="3427" w:type="dxa"/>
          </w:tcPr>
          <w:p w14:paraId="000D2579" w14:textId="77777777" w:rsidR="006C3C41" w:rsidRPr="00155F11" w:rsidRDefault="006C3C41" w:rsidP="008A128A">
            <w:pPr>
              <w:rPr>
                <w:sz w:val="20"/>
                <w:szCs w:val="20"/>
              </w:rPr>
            </w:pPr>
            <w:r w:rsidRPr="00155F11">
              <w:rPr>
                <w:sz w:val="20"/>
                <w:szCs w:val="20"/>
              </w:rPr>
              <w:t>Other comprehensive income, before tax, available-for-sale financial assets</w:t>
            </w:r>
          </w:p>
        </w:tc>
      </w:tr>
      <w:tr w:rsidR="006C3C41" w:rsidRPr="00155F11" w14:paraId="0A7BFFAA" w14:textId="77777777" w:rsidTr="00C74719">
        <w:tc>
          <w:tcPr>
            <w:tcW w:w="3426" w:type="dxa"/>
          </w:tcPr>
          <w:p w14:paraId="607E19EC" w14:textId="77777777" w:rsidR="006C3C41" w:rsidRPr="00155F11" w:rsidRDefault="006C3C41" w:rsidP="00D26EA2">
            <w:pPr>
              <w:rPr>
                <w:sz w:val="20"/>
                <w:szCs w:val="20"/>
              </w:rPr>
            </w:pPr>
          </w:p>
        </w:tc>
        <w:tc>
          <w:tcPr>
            <w:tcW w:w="3427" w:type="dxa"/>
          </w:tcPr>
          <w:p w14:paraId="60B554E8" w14:textId="77777777" w:rsidR="006C3C41" w:rsidRPr="00155F11" w:rsidRDefault="006C3C41" w:rsidP="00D26EA2">
            <w:pPr>
              <w:rPr>
                <w:sz w:val="20"/>
                <w:szCs w:val="20"/>
              </w:rPr>
            </w:pPr>
            <w:r w:rsidRPr="00155F11">
              <w:rPr>
                <w:sz w:val="20"/>
                <w:szCs w:val="20"/>
              </w:rPr>
              <w:t>Cash flow hedges [abstract]</w:t>
            </w:r>
          </w:p>
        </w:tc>
        <w:tc>
          <w:tcPr>
            <w:tcW w:w="3427" w:type="dxa"/>
          </w:tcPr>
          <w:p w14:paraId="27873EAB" w14:textId="77777777" w:rsidR="006C3C41" w:rsidRPr="00155F11" w:rsidRDefault="006C3C41" w:rsidP="008A128A">
            <w:pPr>
              <w:rPr>
                <w:sz w:val="20"/>
                <w:szCs w:val="20"/>
              </w:rPr>
            </w:pPr>
            <w:r w:rsidRPr="00155F11">
              <w:rPr>
                <w:sz w:val="20"/>
                <w:szCs w:val="20"/>
              </w:rPr>
              <w:t>Other comprehensive income, before tax, cash flow hedges</w:t>
            </w:r>
          </w:p>
        </w:tc>
      </w:tr>
      <w:tr w:rsidR="006C3C41" w:rsidRPr="00155F11" w14:paraId="02C8E310" w14:textId="77777777" w:rsidTr="00C74719">
        <w:tc>
          <w:tcPr>
            <w:tcW w:w="3426" w:type="dxa"/>
          </w:tcPr>
          <w:p w14:paraId="520BD28E" w14:textId="77777777" w:rsidR="006C3C41" w:rsidRPr="00155F11" w:rsidRDefault="006C3C41" w:rsidP="00D26EA2">
            <w:pPr>
              <w:rPr>
                <w:sz w:val="20"/>
                <w:szCs w:val="20"/>
              </w:rPr>
            </w:pPr>
          </w:p>
        </w:tc>
        <w:tc>
          <w:tcPr>
            <w:tcW w:w="3427" w:type="dxa"/>
          </w:tcPr>
          <w:p w14:paraId="2A997B76" w14:textId="77777777" w:rsidR="006C3C41" w:rsidRPr="00155F11" w:rsidRDefault="006C3C41" w:rsidP="00D26EA2">
            <w:pPr>
              <w:rPr>
                <w:sz w:val="20"/>
                <w:szCs w:val="20"/>
              </w:rPr>
            </w:pPr>
            <w:r w:rsidRPr="00155F11">
              <w:rPr>
                <w:sz w:val="20"/>
                <w:szCs w:val="20"/>
              </w:rPr>
              <w:t>Hedges of net investment in foreign operations [abstract]</w:t>
            </w:r>
          </w:p>
        </w:tc>
        <w:tc>
          <w:tcPr>
            <w:tcW w:w="3427" w:type="dxa"/>
          </w:tcPr>
          <w:p w14:paraId="5D222A98" w14:textId="77777777" w:rsidR="006C3C41" w:rsidRPr="00155F11" w:rsidRDefault="006C3C41" w:rsidP="008A128A">
            <w:pPr>
              <w:rPr>
                <w:sz w:val="20"/>
                <w:szCs w:val="20"/>
              </w:rPr>
            </w:pPr>
            <w:r w:rsidRPr="00155F11">
              <w:rPr>
                <w:sz w:val="20"/>
                <w:szCs w:val="20"/>
              </w:rPr>
              <w:t>Other comprehensive income, before tax, hedges of net investments in foreign operations</w:t>
            </w:r>
          </w:p>
        </w:tc>
      </w:tr>
      <w:tr w:rsidR="006C3C41" w:rsidRPr="00155F11" w14:paraId="59B82A53" w14:textId="77777777" w:rsidTr="00C74719">
        <w:tc>
          <w:tcPr>
            <w:tcW w:w="3426" w:type="dxa"/>
          </w:tcPr>
          <w:p w14:paraId="6FBB881E" w14:textId="77777777" w:rsidR="006C3C41" w:rsidRPr="00155F11" w:rsidRDefault="006C3C41" w:rsidP="008C53AC">
            <w:pPr>
              <w:rPr>
                <w:sz w:val="20"/>
                <w:szCs w:val="20"/>
              </w:rPr>
            </w:pPr>
            <w:r w:rsidRPr="00155F11">
              <w:rPr>
                <w:sz w:val="20"/>
                <w:szCs w:val="20"/>
              </w:rPr>
              <w:t>[610000] Statement of changes in equity</w:t>
            </w:r>
          </w:p>
        </w:tc>
        <w:tc>
          <w:tcPr>
            <w:tcW w:w="3427" w:type="dxa"/>
          </w:tcPr>
          <w:p w14:paraId="0861E6A8" w14:textId="77777777" w:rsidR="006C3C41" w:rsidRPr="00155F11" w:rsidRDefault="006C3C41" w:rsidP="00D26EA2">
            <w:pPr>
              <w:rPr>
                <w:sz w:val="20"/>
                <w:szCs w:val="20"/>
              </w:rPr>
            </w:pPr>
            <w:r w:rsidRPr="00155F11">
              <w:rPr>
                <w:sz w:val="20"/>
                <w:szCs w:val="20"/>
              </w:rPr>
              <w:t>Equity attributable to owners of parent [member]</w:t>
            </w:r>
          </w:p>
        </w:tc>
        <w:tc>
          <w:tcPr>
            <w:tcW w:w="3427" w:type="dxa"/>
          </w:tcPr>
          <w:p w14:paraId="2EDA79E6" w14:textId="77777777" w:rsidR="006C3C41" w:rsidRPr="00155F11" w:rsidRDefault="006C3C41" w:rsidP="008A128A">
            <w:pPr>
              <w:rPr>
                <w:sz w:val="20"/>
                <w:szCs w:val="20"/>
              </w:rPr>
            </w:pPr>
            <w:r w:rsidRPr="00155F11">
              <w:rPr>
                <w:sz w:val="20"/>
                <w:szCs w:val="20"/>
              </w:rPr>
              <w:t>Other equity interest [member]</w:t>
            </w:r>
          </w:p>
          <w:p w14:paraId="0E832F3F" w14:textId="77777777" w:rsidR="006C3C41" w:rsidRPr="00155F11" w:rsidRDefault="006C3C41" w:rsidP="008A128A">
            <w:pPr>
              <w:rPr>
                <w:sz w:val="20"/>
                <w:szCs w:val="20"/>
              </w:rPr>
            </w:pPr>
            <w:r w:rsidRPr="00155F11">
              <w:rPr>
                <w:sz w:val="20"/>
                <w:szCs w:val="20"/>
              </w:rPr>
              <w:t>Other reserves [member]</w:t>
            </w:r>
          </w:p>
        </w:tc>
      </w:tr>
      <w:tr w:rsidR="006C3C41" w:rsidRPr="00155F11" w14:paraId="4ECD8A91" w14:textId="77777777" w:rsidTr="00C74719">
        <w:tc>
          <w:tcPr>
            <w:tcW w:w="3426" w:type="dxa"/>
            <w:vMerge w:val="restart"/>
          </w:tcPr>
          <w:p w14:paraId="093C92F7" w14:textId="77777777" w:rsidR="006C3C41" w:rsidRPr="00155F11" w:rsidRDefault="006C3C41" w:rsidP="00D26EA2">
            <w:pPr>
              <w:rPr>
                <w:sz w:val="20"/>
                <w:szCs w:val="20"/>
              </w:rPr>
            </w:pPr>
            <w:r w:rsidRPr="00155F11">
              <w:rPr>
                <w:sz w:val="20"/>
                <w:szCs w:val="20"/>
              </w:rPr>
              <w:t>[510000] Statement of cash flows, direct method</w:t>
            </w:r>
          </w:p>
        </w:tc>
        <w:tc>
          <w:tcPr>
            <w:tcW w:w="3427" w:type="dxa"/>
          </w:tcPr>
          <w:p w14:paraId="73DEB4EA" w14:textId="77777777" w:rsidR="006C3C41" w:rsidRPr="00155F11" w:rsidRDefault="006C3C41" w:rsidP="00D26EA2">
            <w:pPr>
              <w:rPr>
                <w:sz w:val="20"/>
                <w:szCs w:val="20"/>
              </w:rPr>
            </w:pPr>
            <w:r w:rsidRPr="00155F11">
              <w:rPr>
                <w:sz w:val="20"/>
                <w:szCs w:val="20"/>
              </w:rPr>
              <w:t>Cash flows from (used in) operating activities [abstract]</w:t>
            </w:r>
          </w:p>
        </w:tc>
        <w:tc>
          <w:tcPr>
            <w:tcW w:w="3427" w:type="dxa"/>
          </w:tcPr>
          <w:p w14:paraId="41CF7523" w14:textId="77777777" w:rsidR="006C3C41" w:rsidRPr="00155F11" w:rsidRDefault="006C3C41" w:rsidP="008A128A">
            <w:pPr>
              <w:rPr>
                <w:sz w:val="20"/>
                <w:szCs w:val="20"/>
              </w:rPr>
            </w:pPr>
            <w:r w:rsidRPr="00155F11">
              <w:rPr>
                <w:sz w:val="20"/>
                <w:szCs w:val="20"/>
              </w:rPr>
              <w:t>Other inflows (outflows) of cash</w:t>
            </w:r>
          </w:p>
        </w:tc>
      </w:tr>
      <w:tr w:rsidR="006C3C41" w:rsidRPr="00155F11" w14:paraId="4A0E8BD4" w14:textId="77777777" w:rsidTr="00C74719">
        <w:tc>
          <w:tcPr>
            <w:tcW w:w="3426" w:type="dxa"/>
            <w:vMerge/>
          </w:tcPr>
          <w:p w14:paraId="3E49C820" w14:textId="77777777" w:rsidR="006C3C41" w:rsidRPr="00155F11" w:rsidRDefault="006C3C41" w:rsidP="00D26EA2">
            <w:pPr>
              <w:rPr>
                <w:sz w:val="20"/>
                <w:szCs w:val="20"/>
              </w:rPr>
            </w:pPr>
          </w:p>
        </w:tc>
        <w:tc>
          <w:tcPr>
            <w:tcW w:w="3427" w:type="dxa"/>
          </w:tcPr>
          <w:p w14:paraId="2F8F393C" w14:textId="77777777" w:rsidR="006C3C41" w:rsidRPr="00155F11" w:rsidRDefault="006C3C41" w:rsidP="00D26EA2">
            <w:pPr>
              <w:rPr>
                <w:sz w:val="20"/>
                <w:szCs w:val="20"/>
              </w:rPr>
            </w:pPr>
            <w:r w:rsidRPr="00155F11">
              <w:rPr>
                <w:sz w:val="20"/>
                <w:szCs w:val="20"/>
              </w:rPr>
              <w:t>Classes of cash receipts from operating activities [abstract]</w:t>
            </w:r>
          </w:p>
        </w:tc>
        <w:tc>
          <w:tcPr>
            <w:tcW w:w="3427" w:type="dxa"/>
          </w:tcPr>
          <w:p w14:paraId="249382D3" w14:textId="77777777" w:rsidR="006C3C41" w:rsidRPr="00155F11" w:rsidRDefault="006C3C41" w:rsidP="008A128A">
            <w:pPr>
              <w:rPr>
                <w:sz w:val="20"/>
                <w:szCs w:val="20"/>
              </w:rPr>
            </w:pPr>
            <w:r w:rsidRPr="00155F11">
              <w:rPr>
                <w:sz w:val="20"/>
                <w:szCs w:val="20"/>
              </w:rPr>
              <w:t>Other cash receipts from operating activities</w:t>
            </w:r>
          </w:p>
        </w:tc>
      </w:tr>
      <w:tr w:rsidR="006C3C41" w:rsidRPr="00155F11" w14:paraId="02B29F2B" w14:textId="77777777" w:rsidTr="00C74719">
        <w:tc>
          <w:tcPr>
            <w:tcW w:w="3426" w:type="dxa"/>
            <w:vMerge/>
          </w:tcPr>
          <w:p w14:paraId="2B17202E" w14:textId="77777777" w:rsidR="006C3C41" w:rsidRPr="00155F11" w:rsidRDefault="006C3C41" w:rsidP="00D26EA2">
            <w:pPr>
              <w:rPr>
                <w:sz w:val="20"/>
                <w:szCs w:val="20"/>
              </w:rPr>
            </w:pPr>
          </w:p>
        </w:tc>
        <w:tc>
          <w:tcPr>
            <w:tcW w:w="3427" w:type="dxa"/>
          </w:tcPr>
          <w:p w14:paraId="313A4839" w14:textId="77777777" w:rsidR="006C3C41" w:rsidRPr="00155F11" w:rsidRDefault="006C3C41" w:rsidP="00D26EA2">
            <w:pPr>
              <w:rPr>
                <w:sz w:val="20"/>
                <w:szCs w:val="20"/>
              </w:rPr>
            </w:pPr>
            <w:r w:rsidRPr="00155F11">
              <w:rPr>
                <w:sz w:val="20"/>
                <w:szCs w:val="20"/>
              </w:rPr>
              <w:t>Classes of cash payments from operating activities [abstract]</w:t>
            </w:r>
          </w:p>
        </w:tc>
        <w:tc>
          <w:tcPr>
            <w:tcW w:w="3427" w:type="dxa"/>
          </w:tcPr>
          <w:p w14:paraId="23F17F70" w14:textId="77777777" w:rsidR="006C3C41" w:rsidRPr="00155F11" w:rsidRDefault="006C3C41" w:rsidP="008A128A">
            <w:pPr>
              <w:rPr>
                <w:sz w:val="20"/>
                <w:szCs w:val="20"/>
              </w:rPr>
            </w:pPr>
            <w:r w:rsidRPr="00155F11">
              <w:rPr>
                <w:sz w:val="20"/>
                <w:szCs w:val="20"/>
              </w:rPr>
              <w:t>Other cash payments from operating activities</w:t>
            </w:r>
          </w:p>
        </w:tc>
      </w:tr>
      <w:tr w:rsidR="006C3C41" w:rsidRPr="00155F11" w14:paraId="1FE49E49" w14:textId="77777777" w:rsidTr="00C74719">
        <w:tc>
          <w:tcPr>
            <w:tcW w:w="3426" w:type="dxa"/>
            <w:vMerge/>
          </w:tcPr>
          <w:p w14:paraId="1990DFEF" w14:textId="77777777" w:rsidR="006C3C41" w:rsidRPr="00155F11" w:rsidRDefault="006C3C41" w:rsidP="00D26EA2">
            <w:pPr>
              <w:rPr>
                <w:sz w:val="20"/>
                <w:szCs w:val="20"/>
              </w:rPr>
            </w:pPr>
          </w:p>
        </w:tc>
        <w:tc>
          <w:tcPr>
            <w:tcW w:w="3427" w:type="dxa"/>
          </w:tcPr>
          <w:p w14:paraId="65EB86DA" w14:textId="77777777" w:rsidR="006C3C41" w:rsidRPr="00155F11" w:rsidRDefault="006C3C41" w:rsidP="00D26EA2">
            <w:pPr>
              <w:rPr>
                <w:sz w:val="20"/>
                <w:szCs w:val="20"/>
              </w:rPr>
            </w:pPr>
            <w:r w:rsidRPr="00155F11">
              <w:rPr>
                <w:sz w:val="20"/>
                <w:szCs w:val="20"/>
              </w:rPr>
              <w:t>Cash flows from (used in) investing activities [abstract]</w:t>
            </w:r>
          </w:p>
        </w:tc>
        <w:tc>
          <w:tcPr>
            <w:tcW w:w="3427" w:type="dxa"/>
          </w:tcPr>
          <w:p w14:paraId="17A13E6D" w14:textId="77777777" w:rsidR="006C3C41" w:rsidRPr="00155F11" w:rsidRDefault="006C3C41" w:rsidP="008A128A">
            <w:pPr>
              <w:rPr>
                <w:sz w:val="20"/>
                <w:szCs w:val="20"/>
              </w:rPr>
            </w:pPr>
            <w:r w:rsidRPr="00155F11">
              <w:rPr>
                <w:sz w:val="20"/>
                <w:szCs w:val="20"/>
              </w:rPr>
              <w:t>Other inflows (outflows) of cash</w:t>
            </w:r>
          </w:p>
        </w:tc>
      </w:tr>
      <w:tr w:rsidR="006C3C41" w:rsidRPr="00155F11" w14:paraId="14E88A1E" w14:textId="77777777" w:rsidTr="00C74719">
        <w:tc>
          <w:tcPr>
            <w:tcW w:w="3426" w:type="dxa"/>
            <w:vMerge/>
          </w:tcPr>
          <w:p w14:paraId="20992353" w14:textId="77777777" w:rsidR="006C3C41" w:rsidRPr="00155F11" w:rsidRDefault="006C3C41" w:rsidP="00D26EA2">
            <w:pPr>
              <w:rPr>
                <w:sz w:val="20"/>
                <w:szCs w:val="20"/>
              </w:rPr>
            </w:pPr>
          </w:p>
        </w:tc>
        <w:tc>
          <w:tcPr>
            <w:tcW w:w="3427" w:type="dxa"/>
          </w:tcPr>
          <w:p w14:paraId="2DECE199" w14:textId="77777777" w:rsidR="006C3C41" w:rsidRPr="00155F11" w:rsidRDefault="006C3C41" w:rsidP="00D26EA2">
            <w:pPr>
              <w:rPr>
                <w:sz w:val="20"/>
                <w:szCs w:val="20"/>
              </w:rPr>
            </w:pPr>
            <w:r w:rsidRPr="00155F11">
              <w:rPr>
                <w:sz w:val="20"/>
                <w:szCs w:val="20"/>
              </w:rPr>
              <w:t>Cash flows from (used in) financing activities [abstract]</w:t>
            </w:r>
          </w:p>
        </w:tc>
        <w:tc>
          <w:tcPr>
            <w:tcW w:w="3427" w:type="dxa"/>
          </w:tcPr>
          <w:p w14:paraId="73977821" w14:textId="77777777" w:rsidR="006C3C41" w:rsidRPr="00155F11" w:rsidRDefault="006C3C41" w:rsidP="008A128A">
            <w:pPr>
              <w:rPr>
                <w:sz w:val="20"/>
                <w:szCs w:val="20"/>
              </w:rPr>
            </w:pPr>
            <w:r w:rsidRPr="00155F11">
              <w:rPr>
                <w:sz w:val="20"/>
                <w:szCs w:val="20"/>
              </w:rPr>
              <w:t>Other inflows (outflows) of cash</w:t>
            </w:r>
          </w:p>
        </w:tc>
      </w:tr>
      <w:tr w:rsidR="006C3C41" w:rsidRPr="00155F11" w14:paraId="385EA0BD" w14:textId="77777777" w:rsidTr="00C74719">
        <w:tc>
          <w:tcPr>
            <w:tcW w:w="3426" w:type="dxa"/>
            <w:vMerge w:val="restart"/>
          </w:tcPr>
          <w:p w14:paraId="38076BC1" w14:textId="77777777" w:rsidR="006C3C41" w:rsidRPr="00155F11" w:rsidRDefault="006C3C41" w:rsidP="00D26EA2">
            <w:pPr>
              <w:rPr>
                <w:sz w:val="20"/>
                <w:szCs w:val="20"/>
              </w:rPr>
            </w:pPr>
            <w:r w:rsidRPr="00155F11">
              <w:rPr>
                <w:sz w:val="20"/>
                <w:szCs w:val="20"/>
              </w:rPr>
              <w:t>[520000] Statement of cash flows, indirect method</w:t>
            </w:r>
          </w:p>
        </w:tc>
        <w:tc>
          <w:tcPr>
            <w:tcW w:w="3427" w:type="dxa"/>
          </w:tcPr>
          <w:p w14:paraId="0FBD9033" w14:textId="77777777" w:rsidR="006C3C41" w:rsidRPr="00155F11" w:rsidRDefault="006C3C41" w:rsidP="00D26EA2">
            <w:pPr>
              <w:rPr>
                <w:sz w:val="20"/>
                <w:szCs w:val="20"/>
              </w:rPr>
            </w:pPr>
            <w:r w:rsidRPr="00155F11">
              <w:rPr>
                <w:sz w:val="20"/>
                <w:szCs w:val="20"/>
              </w:rPr>
              <w:t>Cash flows from (used in) operating activities [abstract]</w:t>
            </w:r>
          </w:p>
        </w:tc>
        <w:tc>
          <w:tcPr>
            <w:tcW w:w="3427" w:type="dxa"/>
          </w:tcPr>
          <w:p w14:paraId="7651BA22" w14:textId="77777777" w:rsidR="006C3C41" w:rsidRPr="00155F11" w:rsidRDefault="006C3C41" w:rsidP="008A128A">
            <w:pPr>
              <w:rPr>
                <w:sz w:val="20"/>
                <w:szCs w:val="20"/>
              </w:rPr>
            </w:pPr>
            <w:r w:rsidRPr="00155F11">
              <w:rPr>
                <w:sz w:val="20"/>
                <w:szCs w:val="20"/>
              </w:rPr>
              <w:t>Other inflows (outflows) of cash</w:t>
            </w:r>
          </w:p>
        </w:tc>
      </w:tr>
      <w:tr w:rsidR="006C3C41" w:rsidRPr="00155F11" w14:paraId="5FCCBBE1" w14:textId="77777777" w:rsidTr="00C74719">
        <w:tc>
          <w:tcPr>
            <w:tcW w:w="3426" w:type="dxa"/>
            <w:vMerge/>
          </w:tcPr>
          <w:p w14:paraId="21494C34" w14:textId="77777777" w:rsidR="006C3C41" w:rsidRPr="00155F11" w:rsidRDefault="006C3C41" w:rsidP="00147E2C">
            <w:pPr>
              <w:rPr>
                <w:sz w:val="20"/>
                <w:szCs w:val="20"/>
              </w:rPr>
            </w:pPr>
          </w:p>
        </w:tc>
        <w:tc>
          <w:tcPr>
            <w:tcW w:w="3427" w:type="dxa"/>
          </w:tcPr>
          <w:p w14:paraId="13FD1CB1" w14:textId="77777777" w:rsidR="006C3C41" w:rsidRPr="00155F11" w:rsidRDefault="006C3C41" w:rsidP="00D26EA2">
            <w:pPr>
              <w:rPr>
                <w:sz w:val="20"/>
                <w:szCs w:val="20"/>
              </w:rPr>
            </w:pPr>
            <w:r w:rsidRPr="00155F11">
              <w:rPr>
                <w:sz w:val="20"/>
                <w:szCs w:val="20"/>
              </w:rPr>
              <w:t>Adjustments to reconcile profit (loss) [abstract]</w:t>
            </w:r>
          </w:p>
        </w:tc>
        <w:tc>
          <w:tcPr>
            <w:tcW w:w="3427" w:type="dxa"/>
          </w:tcPr>
          <w:p w14:paraId="704275CF" w14:textId="77777777" w:rsidR="006C3C41" w:rsidRPr="00155F11" w:rsidRDefault="006C3C41" w:rsidP="008A128A">
            <w:pPr>
              <w:rPr>
                <w:sz w:val="20"/>
                <w:szCs w:val="20"/>
              </w:rPr>
            </w:pPr>
            <w:r w:rsidRPr="00155F11">
              <w:rPr>
                <w:sz w:val="20"/>
                <w:szCs w:val="20"/>
              </w:rPr>
              <w:t>Other adjustments for non-cash items</w:t>
            </w:r>
          </w:p>
          <w:p w14:paraId="40AE794A" w14:textId="77777777" w:rsidR="006C3C41" w:rsidRPr="00155F11" w:rsidRDefault="006C3C41" w:rsidP="008A128A">
            <w:pPr>
              <w:rPr>
                <w:sz w:val="20"/>
                <w:szCs w:val="20"/>
              </w:rPr>
            </w:pPr>
            <w:r w:rsidRPr="00155F11">
              <w:rPr>
                <w:sz w:val="20"/>
                <w:szCs w:val="20"/>
              </w:rPr>
              <w:t>Other adjustments for which cash effects are investing or financing cash flow</w:t>
            </w:r>
          </w:p>
          <w:p w14:paraId="006FE5BA" w14:textId="77777777" w:rsidR="006C3C41" w:rsidRPr="00155F11" w:rsidRDefault="006C3C41" w:rsidP="008A128A">
            <w:pPr>
              <w:rPr>
                <w:sz w:val="20"/>
                <w:szCs w:val="20"/>
              </w:rPr>
            </w:pPr>
            <w:r w:rsidRPr="00155F11">
              <w:rPr>
                <w:sz w:val="20"/>
                <w:szCs w:val="20"/>
              </w:rPr>
              <w:t>Other adjustments to reconcile profit (loss)</w:t>
            </w:r>
          </w:p>
        </w:tc>
      </w:tr>
      <w:tr w:rsidR="006C3C41" w:rsidRPr="00155F11" w14:paraId="767AC68B" w14:textId="77777777" w:rsidTr="00C74719">
        <w:tc>
          <w:tcPr>
            <w:tcW w:w="3426" w:type="dxa"/>
            <w:vMerge/>
          </w:tcPr>
          <w:p w14:paraId="4C508021" w14:textId="77777777" w:rsidR="006C3C41" w:rsidRPr="00155F11" w:rsidRDefault="006C3C41" w:rsidP="00147E2C">
            <w:pPr>
              <w:rPr>
                <w:sz w:val="20"/>
                <w:szCs w:val="20"/>
              </w:rPr>
            </w:pPr>
          </w:p>
        </w:tc>
        <w:tc>
          <w:tcPr>
            <w:tcW w:w="3427" w:type="dxa"/>
          </w:tcPr>
          <w:p w14:paraId="47504BAD" w14:textId="77777777" w:rsidR="006C3C41" w:rsidRPr="00155F11" w:rsidRDefault="006C3C41" w:rsidP="00D26EA2">
            <w:pPr>
              <w:rPr>
                <w:sz w:val="20"/>
                <w:szCs w:val="20"/>
              </w:rPr>
            </w:pPr>
            <w:r w:rsidRPr="00155F11">
              <w:rPr>
                <w:sz w:val="20"/>
                <w:szCs w:val="20"/>
              </w:rPr>
              <w:t>Cash flows from (used in) investing activities [abstract]</w:t>
            </w:r>
          </w:p>
        </w:tc>
        <w:tc>
          <w:tcPr>
            <w:tcW w:w="3427" w:type="dxa"/>
          </w:tcPr>
          <w:p w14:paraId="6E7415F2" w14:textId="77777777" w:rsidR="006C3C41" w:rsidRPr="00155F11" w:rsidRDefault="006C3C41" w:rsidP="008A128A">
            <w:pPr>
              <w:rPr>
                <w:sz w:val="20"/>
                <w:szCs w:val="20"/>
              </w:rPr>
            </w:pPr>
            <w:r w:rsidRPr="00155F11">
              <w:rPr>
                <w:sz w:val="20"/>
                <w:szCs w:val="20"/>
              </w:rPr>
              <w:t>Other inflows (outflows) of cash</w:t>
            </w:r>
          </w:p>
        </w:tc>
      </w:tr>
      <w:tr w:rsidR="006C3C41" w14:paraId="30D3E9BC" w14:textId="77777777" w:rsidTr="00C74719">
        <w:tc>
          <w:tcPr>
            <w:tcW w:w="3426" w:type="dxa"/>
            <w:vMerge/>
          </w:tcPr>
          <w:p w14:paraId="5F1FB669" w14:textId="77777777" w:rsidR="006C3C41" w:rsidRPr="00155F11" w:rsidRDefault="006C3C41" w:rsidP="00147E2C">
            <w:pPr>
              <w:rPr>
                <w:sz w:val="20"/>
                <w:szCs w:val="20"/>
              </w:rPr>
            </w:pPr>
          </w:p>
        </w:tc>
        <w:tc>
          <w:tcPr>
            <w:tcW w:w="3427" w:type="dxa"/>
          </w:tcPr>
          <w:p w14:paraId="5EA5B3FB" w14:textId="77777777" w:rsidR="006C3C41" w:rsidRPr="00155F11" w:rsidRDefault="006C3C41" w:rsidP="00D26EA2">
            <w:pPr>
              <w:rPr>
                <w:sz w:val="20"/>
                <w:szCs w:val="20"/>
              </w:rPr>
            </w:pPr>
            <w:r w:rsidRPr="00155F11">
              <w:rPr>
                <w:sz w:val="20"/>
                <w:szCs w:val="20"/>
              </w:rPr>
              <w:t>Cash flows from (used in) financing activities [abstract]</w:t>
            </w:r>
          </w:p>
        </w:tc>
        <w:tc>
          <w:tcPr>
            <w:tcW w:w="3427" w:type="dxa"/>
          </w:tcPr>
          <w:p w14:paraId="15F69C39" w14:textId="77777777" w:rsidR="006C3C41" w:rsidRPr="00147E2C" w:rsidRDefault="006C3C41" w:rsidP="008A128A">
            <w:pPr>
              <w:rPr>
                <w:sz w:val="20"/>
                <w:szCs w:val="20"/>
              </w:rPr>
            </w:pPr>
            <w:r w:rsidRPr="00155F11">
              <w:rPr>
                <w:sz w:val="20"/>
                <w:szCs w:val="20"/>
              </w:rPr>
              <w:t>Other inflows (outflows) of cash</w:t>
            </w:r>
          </w:p>
        </w:tc>
      </w:tr>
    </w:tbl>
    <w:p w14:paraId="1A12B528" w14:textId="77777777" w:rsidR="00FD304A" w:rsidRDefault="00FD304A" w:rsidP="00A5621D">
      <w:pPr>
        <w:rPr>
          <w:sz w:val="20"/>
          <w:szCs w:val="20"/>
        </w:rPr>
      </w:pPr>
    </w:p>
    <w:p w14:paraId="5ABC75C7" w14:textId="77777777" w:rsidR="00D26EA2" w:rsidRPr="003E7D7D" w:rsidRDefault="00D26EA2" w:rsidP="00024EAF">
      <w:pPr>
        <w:pStyle w:val="Head2"/>
        <w:tabs>
          <w:tab w:val="clear" w:pos="1144"/>
          <w:tab w:val="num" w:pos="709"/>
        </w:tabs>
        <w:ind w:hanging="1144"/>
      </w:pPr>
      <w:bookmarkStart w:id="238" w:name="_Toc205457977"/>
      <w:r w:rsidRPr="003E7D7D">
        <w:t>Units and Decimals</w:t>
      </w:r>
      <w:bookmarkEnd w:id="238"/>
    </w:p>
    <w:p w14:paraId="0AFF409E" w14:textId="77777777" w:rsidR="00D26EA2" w:rsidRPr="000B7A1F" w:rsidRDefault="00D26EA2" w:rsidP="00D26EA2">
      <w:pPr>
        <w:rPr>
          <w:sz w:val="20"/>
          <w:szCs w:val="20"/>
        </w:rPr>
      </w:pPr>
      <w:r w:rsidRPr="000B7A1F">
        <w:rPr>
          <w:sz w:val="20"/>
          <w:szCs w:val="20"/>
        </w:rPr>
        <w:t>Numerical information within instance documents may include:</w:t>
      </w:r>
    </w:p>
    <w:p w14:paraId="7D5EA165" w14:textId="77777777" w:rsidR="00D26EA2" w:rsidRPr="000B7A1F" w:rsidRDefault="00D26EA2" w:rsidP="00D26EA2">
      <w:pPr>
        <w:rPr>
          <w:sz w:val="20"/>
          <w:szCs w:val="20"/>
        </w:rPr>
      </w:pPr>
    </w:p>
    <w:p w14:paraId="3262A225" w14:textId="77777777" w:rsidR="00B87F1A" w:rsidRDefault="00D26EA2" w:rsidP="00F069A2">
      <w:pPr>
        <w:numPr>
          <w:ilvl w:val="0"/>
          <w:numId w:val="22"/>
        </w:numPr>
        <w:rPr>
          <w:sz w:val="20"/>
          <w:szCs w:val="20"/>
        </w:rPr>
      </w:pPr>
      <w:r w:rsidRPr="000B7A1F">
        <w:rPr>
          <w:sz w:val="20"/>
          <w:szCs w:val="20"/>
        </w:rPr>
        <w:t>monetary amounts</w:t>
      </w:r>
    </w:p>
    <w:p w14:paraId="0CF32210" w14:textId="77777777" w:rsidR="00F903CD" w:rsidRDefault="00F903CD" w:rsidP="00F069A2">
      <w:pPr>
        <w:numPr>
          <w:ilvl w:val="0"/>
          <w:numId w:val="22"/>
        </w:numPr>
        <w:rPr>
          <w:sz w:val="20"/>
          <w:szCs w:val="20"/>
        </w:rPr>
      </w:pPr>
      <w:r>
        <w:rPr>
          <w:sz w:val="20"/>
          <w:szCs w:val="20"/>
        </w:rPr>
        <w:t>Date type</w:t>
      </w:r>
    </w:p>
    <w:p w14:paraId="666E7143" w14:textId="77777777" w:rsidR="00B87F1A" w:rsidRDefault="00D26EA2" w:rsidP="00F069A2">
      <w:pPr>
        <w:numPr>
          <w:ilvl w:val="0"/>
          <w:numId w:val="22"/>
        </w:numPr>
        <w:rPr>
          <w:sz w:val="20"/>
          <w:szCs w:val="20"/>
        </w:rPr>
      </w:pPr>
      <w:r w:rsidRPr="000B7A1F">
        <w:rPr>
          <w:sz w:val="20"/>
          <w:szCs w:val="20"/>
        </w:rPr>
        <w:t>share counts</w:t>
      </w:r>
    </w:p>
    <w:p w14:paraId="35FC130C" w14:textId="77777777" w:rsidR="00B87F1A" w:rsidRDefault="00D26EA2" w:rsidP="00F069A2">
      <w:pPr>
        <w:numPr>
          <w:ilvl w:val="0"/>
          <w:numId w:val="22"/>
        </w:numPr>
        <w:rPr>
          <w:sz w:val="20"/>
          <w:szCs w:val="20"/>
        </w:rPr>
      </w:pPr>
      <w:r w:rsidRPr="000B7A1F">
        <w:rPr>
          <w:sz w:val="20"/>
          <w:szCs w:val="20"/>
        </w:rPr>
        <w:t>earnings per share</w:t>
      </w:r>
    </w:p>
    <w:p w14:paraId="227388EE" w14:textId="77777777" w:rsidR="00D26EA2" w:rsidRPr="000B7A1F" w:rsidRDefault="00D26EA2" w:rsidP="00D26EA2">
      <w:pPr>
        <w:rPr>
          <w:sz w:val="20"/>
          <w:szCs w:val="20"/>
        </w:rPr>
      </w:pPr>
    </w:p>
    <w:p w14:paraId="4558D692" w14:textId="77777777" w:rsidR="00D26EA2" w:rsidRPr="000B7A1F" w:rsidRDefault="00D26EA2" w:rsidP="00D26EA2">
      <w:pPr>
        <w:rPr>
          <w:sz w:val="20"/>
          <w:szCs w:val="20"/>
        </w:rPr>
      </w:pPr>
      <w:r w:rsidRPr="000B7A1F">
        <w:rPr>
          <w:sz w:val="20"/>
          <w:szCs w:val="20"/>
        </w:rPr>
        <w:t>Numeric facts within an instance document require the indication of two specific properties, the unit of measure and the decimals that apply to the fact value.</w:t>
      </w:r>
      <w:r w:rsidRPr="000B7A1F" w:rsidDel="00170CE2">
        <w:rPr>
          <w:sz w:val="20"/>
          <w:szCs w:val="20"/>
        </w:rPr>
        <w:t xml:space="preserve"> </w:t>
      </w:r>
      <w:r w:rsidRPr="000B7A1F">
        <w:rPr>
          <w:sz w:val="20"/>
          <w:szCs w:val="20"/>
        </w:rPr>
        <w:t xml:space="preserve">It should also be considered that the data may be presented as a rounded amount in the financial statements e.g. the financial statements may be represented in thousands. </w:t>
      </w:r>
    </w:p>
    <w:p w14:paraId="7C2C7D25" w14:textId="77777777" w:rsidR="00D26EA2" w:rsidRPr="000B7A1F" w:rsidRDefault="00D26EA2" w:rsidP="00D26EA2">
      <w:pPr>
        <w:rPr>
          <w:sz w:val="20"/>
          <w:szCs w:val="20"/>
        </w:rPr>
      </w:pPr>
    </w:p>
    <w:p w14:paraId="51C9FA0A" w14:textId="77777777" w:rsidR="00D26EA2" w:rsidRPr="000B7A1F" w:rsidRDefault="00D26EA2" w:rsidP="00D26EA2">
      <w:pPr>
        <w:rPr>
          <w:sz w:val="20"/>
          <w:szCs w:val="20"/>
        </w:rPr>
      </w:pPr>
      <w:r w:rsidRPr="000B7A1F">
        <w:rPr>
          <w:sz w:val="20"/>
          <w:szCs w:val="20"/>
        </w:rPr>
        <w:t xml:space="preserve"> Instance document preparers will need to consider the presentation of their data to determine the properties to be applied within the instance – the value of the “decimals” attribute in particular.</w:t>
      </w:r>
    </w:p>
    <w:p w14:paraId="4C8A2660" w14:textId="77777777" w:rsidR="00D26EA2" w:rsidRPr="000B7A1F" w:rsidRDefault="00D26EA2" w:rsidP="00D26EA2">
      <w:pPr>
        <w:rPr>
          <w:sz w:val="20"/>
          <w:szCs w:val="20"/>
        </w:rPr>
      </w:pPr>
    </w:p>
    <w:p w14:paraId="6AEF1B6C" w14:textId="77777777" w:rsidR="0032117F" w:rsidRDefault="00D26EA2" w:rsidP="0032117F">
      <w:pPr>
        <w:rPr>
          <w:b/>
          <w:lang w:val="en-US"/>
        </w:rPr>
      </w:pPr>
      <w:r w:rsidRPr="000B7A1F">
        <w:rPr>
          <w:sz w:val="20"/>
          <w:szCs w:val="20"/>
        </w:rPr>
        <w:t>A summary of the properties required for each category of numerical data is included below.</w:t>
      </w:r>
    </w:p>
    <w:p w14:paraId="71FBE34F" w14:textId="77777777" w:rsidR="00D26EA2" w:rsidRPr="0076615C" w:rsidRDefault="00D26EA2" w:rsidP="0076615C">
      <w:pPr>
        <w:pStyle w:val="Head3"/>
      </w:pPr>
      <w:bookmarkStart w:id="239" w:name="_Toc261425851"/>
      <w:bookmarkStart w:id="240" w:name="_Toc262111490"/>
      <w:bookmarkStart w:id="241" w:name="_Toc262121457"/>
      <w:bookmarkStart w:id="242" w:name="_Toc205457978"/>
      <w:bookmarkEnd w:id="239"/>
      <w:bookmarkEnd w:id="240"/>
      <w:bookmarkEnd w:id="241"/>
      <w:r w:rsidRPr="0076615C">
        <w:t>Monetary Amounts</w:t>
      </w:r>
      <w:r w:rsidR="00F903CD">
        <w:t xml:space="preserve"> and date type</w:t>
      </w:r>
      <w:bookmarkEnd w:id="242"/>
    </w:p>
    <w:p w14:paraId="674C4F40" w14:textId="77777777" w:rsidR="00D26EA2" w:rsidRPr="000B7A1F" w:rsidRDefault="00D26EA2" w:rsidP="005005AD">
      <w:pPr>
        <w:jc w:val="both"/>
        <w:rPr>
          <w:sz w:val="20"/>
          <w:szCs w:val="20"/>
        </w:rPr>
      </w:pPr>
      <w:r w:rsidRPr="000B7A1F">
        <w:rPr>
          <w:sz w:val="20"/>
          <w:szCs w:val="20"/>
        </w:rPr>
        <w:t xml:space="preserve">Monetary amounts are expressed in </w:t>
      </w:r>
      <w:r w:rsidR="004A0A7D" w:rsidRPr="000B7A1F">
        <w:rPr>
          <w:sz w:val="20"/>
          <w:szCs w:val="20"/>
        </w:rPr>
        <w:t>the presentation</w:t>
      </w:r>
      <w:r w:rsidRPr="000B7A1F">
        <w:rPr>
          <w:sz w:val="20"/>
          <w:szCs w:val="20"/>
        </w:rPr>
        <w:t xml:space="preserve"> currency</w:t>
      </w:r>
      <w:r w:rsidR="004A0A7D" w:rsidRPr="000B7A1F">
        <w:rPr>
          <w:sz w:val="20"/>
          <w:szCs w:val="20"/>
        </w:rPr>
        <w:t xml:space="preserve"> which can be AUD or any other currency</w:t>
      </w:r>
      <w:r w:rsidRPr="000B7A1F">
        <w:rPr>
          <w:sz w:val="20"/>
          <w:szCs w:val="20"/>
        </w:rPr>
        <w:t>. For financial statements prepared using the Australian Accoun</w:t>
      </w:r>
      <w:r w:rsidR="00B015AF" w:rsidRPr="000B7A1F">
        <w:rPr>
          <w:sz w:val="20"/>
          <w:szCs w:val="20"/>
        </w:rPr>
        <w:t xml:space="preserve">ting Standards this currency may </w:t>
      </w:r>
      <w:r w:rsidRPr="000B7A1F">
        <w:rPr>
          <w:sz w:val="20"/>
          <w:szCs w:val="20"/>
        </w:rPr>
        <w:t>be Australian Dollars</w:t>
      </w:r>
      <w:r w:rsidR="00B015AF" w:rsidRPr="000B7A1F">
        <w:rPr>
          <w:sz w:val="20"/>
          <w:szCs w:val="20"/>
        </w:rPr>
        <w:t xml:space="preserve"> or other currency</w:t>
      </w:r>
      <w:r w:rsidR="000B7A1F">
        <w:rPr>
          <w:sz w:val="20"/>
          <w:szCs w:val="20"/>
        </w:rPr>
        <w:t>, whichever is the presentation currency according with the accounting standard.</w:t>
      </w:r>
    </w:p>
    <w:p w14:paraId="75892655" w14:textId="77777777" w:rsidR="00D26EA2" w:rsidRPr="00D26EA2" w:rsidRDefault="00D26EA2" w:rsidP="005005AD">
      <w:pPr>
        <w:jc w:val="both"/>
      </w:pPr>
    </w:p>
    <w:p w14:paraId="29909426" w14:textId="39C86512" w:rsidR="00D26EA2" w:rsidRDefault="00D26EA2" w:rsidP="005005AD">
      <w:pPr>
        <w:jc w:val="both"/>
        <w:rPr>
          <w:sz w:val="20"/>
          <w:szCs w:val="20"/>
        </w:rPr>
      </w:pPr>
      <w:r w:rsidRPr="000B7A1F">
        <w:rPr>
          <w:sz w:val="20"/>
          <w:szCs w:val="20"/>
        </w:rPr>
        <w:t xml:space="preserve">Monetary amounts are often rounded within financial statements. The decimal property should be used to indicate the level of rounding applied. For example </w:t>
      </w:r>
      <w:r w:rsidR="000B7A1F" w:rsidRPr="000B7A1F">
        <w:rPr>
          <w:sz w:val="20"/>
          <w:szCs w:val="20"/>
        </w:rPr>
        <w:t>Assets</w:t>
      </w:r>
      <w:r w:rsidRPr="000B7A1F">
        <w:rPr>
          <w:sz w:val="20"/>
          <w:szCs w:val="20"/>
        </w:rPr>
        <w:t xml:space="preserve"> may have a value of $ 53,928 (rounded to thousands) within the financial statements. In the instance document the </w:t>
      </w:r>
      <w:r w:rsidR="005026F6" w:rsidRPr="005026F6">
        <w:rPr>
          <w:sz w:val="20"/>
          <w:szCs w:val="20"/>
        </w:rPr>
        <w:t>Assets</w:t>
      </w:r>
      <w:r w:rsidR="005026F6">
        <w:rPr>
          <w:sz w:val="20"/>
          <w:szCs w:val="20"/>
        </w:rPr>
        <w:t xml:space="preserve"> </w:t>
      </w:r>
      <w:r w:rsidRPr="000B7A1F">
        <w:rPr>
          <w:sz w:val="20"/>
          <w:szCs w:val="20"/>
        </w:rPr>
        <w:t>would be 53928000 with the mandatory “decimals” attribute set to -3.</w:t>
      </w:r>
      <w:r w:rsidR="005005AD">
        <w:rPr>
          <w:sz w:val="20"/>
          <w:szCs w:val="20"/>
        </w:rPr>
        <w:t xml:space="preserve"> </w:t>
      </w:r>
      <w:r w:rsidRPr="000B7A1F">
        <w:rPr>
          <w:sz w:val="20"/>
          <w:szCs w:val="20"/>
        </w:rPr>
        <w:t xml:space="preserve">The unit properties for monetary amounts </w:t>
      </w:r>
      <w:r w:rsidR="005005AD">
        <w:rPr>
          <w:sz w:val="20"/>
          <w:szCs w:val="20"/>
        </w:rPr>
        <w:t xml:space="preserve">as contained in the XBRL context </w:t>
      </w:r>
      <w:r w:rsidRPr="000B7A1F">
        <w:rPr>
          <w:sz w:val="20"/>
          <w:szCs w:val="20"/>
        </w:rPr>
        <w:t>are</w:t>
      </w:r>
      <w:r w:rsidR="00060954">
        <w:rPr>
          <w:sz w:val="20"/>
          <w:szCs w:val="20"/>
        </w:rPr>
        <w:t xml:space="preserve"> listed in Table </w:t>
      </w:r>
      <w:r w:rsidR="0093318D">
        <w:rPr>
          <w:sz w:val="20"/>
          <w:szCs w:val="20"/>
        </w:rPr>
        <w:t>1</w:t>
      </w:r>
      <w:r w:rsidR="00C1723F">
        <w:rPr>
          <w:sz w:val="20"/>
          <w:szCs w:val="20"/>
        </w:rPr>
        <w:t>2</w:t>
      </w:r>
      <w:r w:rsidR="0093318D" w:rsidRPr="000B7A1F">
        <w:rPr>
          <w:sz w:val="20"/>
          <w:szCs w:val="20"/>
        </w:rPr>
        <w:t xml:space="preserve"> </w:t>
      </w:r>
      <w:r w:rsidRPr="000B7A1F">
        <w:rPr>
          <w:sz w:val="20"/>
          <w:szCs w:val="20"/>
        </w:rPr>
        <w:t>below</w:t>
      </w:r>
      <w:r w:rsidR="005005AD">
        <w:rPr>
          <w:sz w:val="20"/>
          <w:szCs w:val="20"/>
        </w:rPr>
        <w:t>.</w:t>
      </w:r>
    </w:p>
    <w:p w14:paraId="2A9046A7" w14:textId="77777777" w:rsidR="005005AD" w:rsidRPr="000B7A1F" w:rsidRDefault="005005AD" w:rsidP="00D26EA2">
      <w:pPr>
        <w:rPr>
          <w:sz w:val="20"/>
          <w:szCs w:val="20"/>
        </w:rPr>
      </w:pPr>
    </w:p>
    <w:p w14:paraId="7BF34E21" w14:textId="77777777" w:rsidR="009B77C1" w:rsidRDefault="005005AD" w:rsidP="00F069A2">
      <w:pPr>
        <w:pStyle w:val="ListParagraph"/>
        <w:numPr>
          <w:ilvl w:val="0"/>
          <w:numId w:val="28"/>
        </w:numPr>
        <w:autoSpaceDE w:val="0"/>
        <w:autoSpaceDN w:val="0"/>
        <w:adjustRightInd w:val="0"/>
        <w:ind w:hanging="1070"/>
      </w:pPr>
      <w:r>
        <w:rPr>
          <w:rStyle w:val="Emphasis"/>
          <w:bCs w:val="0"/>
          <w:sz w:val="18"/>
          <w:szCs w:val="18"/>
        </w:rPr>
        <w:t>Units – Monetary amounts</w:t>
      </w:r>
    </w:p>
    <w:tbl>
      <w:tblPr>
        <w:tblW w:w="7654" w:type="dxa"/>
        <w:tblInd w:w="108" w:type="dxa"/>
        <w:tblLayout w:type="fixed"/>
        <w:tblLook w:val="0000" w:firstRow="0" w:lastRow="0" w:firstColumn="0" w:lastColumn="0" w:noHBand="0" w:noVBand="0"/>
      </w:tblPr>
      <w:tblGrid>
        <w:gridCol w:w="1701"/>
        <w:gridCol w:w="5953"/>
      </w:tblGrid>
      <w:tr w:rsidR="00273D67" w:rsidRPr="00D26EA2" w14:paraId="44EFE9E0" w14:textId="77777777" w:rsidTr="00273D67">
        <w:trPr>
          <w:trHeight w:val="450"/>
          <w:tblHeader/>
        </w:trPr>
        <w:tc>
          <w:tcPr>
            <w:tcW w:w="1701" w:type="dxa"/>
            <w:tcBorders>
              <w:top w:val="single" w:sz="4" w:space="0" w:color="auto"/>
              <w:left w:val="single" w:sz="4" w:space="0" w:color="auto"/>
              <w:bottom w:val="single" w:sz="4" w:space="0" w:color="auto"/>
              <w:right w:val="single" w:sz="6" w:space="0" w:color="auto"/>
            </w:tcBorders>
            <w:shd w:val="clear" w:color="auto" w:fill="C6D9F1"/>
            <w:vAlign w:val="center"/>
          </w:tcPr>
          <w:p w14:paraId="4009438C" w14:textId="77777777" w:rsidR="00273D67" w:rsidRPr="005026F6" w:rsidRDefault="00273D67" w:rsidP="00D26EA2">
            <w:pPr>
              <w:rPr>
                <w:b/>
                <w:sz w:val="18"/>
                <w:szCs w:val="18"/>
              </w:rPr>
            </w:pPr>
            <w:r w:rsidRPr="005026F6">
              <w:rPr>
                <w:b/>
                <w:sz w:val="18"/>
                <w:szCs w:val="18"/>
              </w:rPr>
              <w:t>XBRL Instance Context Data Concept</w:t>
            </w:r>
          </w:p>
        </w:tc>
        <w:tc>
          <w:tcPr>
            <w:tcW w:w="5953" w:type="dxa"/>
            <w:tcBorders>
              <w:top w:val="single" w:sz="4" w:space="0" w:color="auto"/>
              <w:left w:val="single" w:sz="6" w:space="0" w:color="auto"/>
              <w:bottom w:val="single" w:sz="4" w:space="0" w:color="auto"/>
              <w:right w:val="single" w:sz="6" w:space="0" w:color="auto"/>
            </w:tcBorders>
            <w:shd w:val="clear" w:color="auto" w:fill="C6D9F1"/>
            <w:vAlign w:val="center"/>
          </w:tcPr>
          <w:p w14:paraId="13EEA300" w14:textId="77777777" w:rsidR="00273D67" w:rsidRPr="005026F6" w:rsidRDefault="00273D67" w:rsidP="00D26EA2">
            <w:pPr>
              <w:rPr>
                <w:b/>
                <w:sz w:val="18"/>
                <w:szCs w:val="18"/>
              </w:rPr>
            </w:pPr>
            <w:r w:rsidRPr="005026F6">
              <w:rPr>
                <w:b/>
                <w:sz w:val="18"/>
                <w:szCs w:val="18"/>
              </w:rPr>
              <w:t>Instructions/Rules</w:t>
            </w:r>
          </w:p>
        </w:tc>
      </w:tr>
      <w:tr w:rsidR="00273D67" w:rsidRPr="00D26EA2" w14:paraId="756388C5" w14:textId="77777777" w:rsidTr="00273D67">
        <w:trPr>
          <w:trHeight w:val="900"/>
        </w:trPr>
        <w:tc>
          <w:tcPr>
            <w:tcW w:w="1701" w:type="dxa"/>
            <w:tcBorders>
              <w:top w:val="single" w:sz="4" w:space="0" w:color="auto"/>
              <w:left w:val="single" w:sz="4" w:space="0" w:color="auto"/>
              <w:bottom w:val="single" w:sz="4" w:space="0" w:color="auto"/>
              <w:right w:val="single" w:sz="4" w:space="0" w:color="auto"/>
            </w:tcBorders>
            <w:noWrap/>
          </w:tcPr>
          <w:p w14:paraId="42EC1D07" w14:textId="77777777" w:rsidR="00273D67" w:rsidRPr="005026F6" w:rsidRDefault="00273D67" w:rsidP="00D26EA2">
            <w:pPr>
              <w:rPr>
                <w:sz w:val="18"/>
                <w:szCs w:val="18"/>
              </w:rPr>
            </w:pPr>
            <w:r w:rsidRPr="005026F6">
              <w:rPr>
                <w:sz w:val="18"/>
                <w:szCs w:val="18"/>
              </w:rPr>
              <w:t>Unit Identifier (attribute)</w:t>
            </w:r>
          </w:p>
        </w:tc>
        <w:tc>
          <w:tcPr>
            <w:tcW w:w="5953" w:type="dxa"/>
            <w:tcBorders>
              <w:top w:val="single" w:sz="4" w:space="0" w:color="auto"/>
              <w:left w:val="nil"/>
              <w:bottom w:val="single" w:sz="4" w:space="0" w:color="auto"/>
              <w:right w:val="single" w:sz="4" w:space="0" w:color="auto"/>
            </w:tcBorders>
          </w:tcPr>
          <w:p w14:paraId="7E379E5B" w14:textId="0CBD8D30" w:rsidR="00273D67" w:rsidRPr="005026F6" w:rsidRDefault="00273D67" w:rsidP="00D26EA2">
            <w:pPr>
              <w:rPr>
                <w:sz w:val="18"/>
                <w:szCs w:val="18"/>
              </w:rPr>
            </w:pPr>
            <w:r w:rsidRPr="005026F6">
              <w:rPr>
                <w:sz w:val="18"/>
                <w:szCs w:val="18"/>
              </w:rPr>
              <w:t>This is a unique identifier used to link the data element to a defined XBRL unit. SBR is recommending a 2 character</w:t>
            </w:r>
            <w:r>
              <w:rPr>
                <w:sz w:val="18"/>
                <w:szCs w:val="18"/>
              </w:rPr>
              <w:t>s</w:t>
            </w:r>
            <w:r w:rsidRPr="005026F6">
              <w:rPr>
                <w:sz w:val="18"/>
                <w:szCs w:val="18"/>
              </w:rPr>
              <w:t xml:space="preserve"> identifier starting with “u” and a single digit sequential number for each unit e.g. u1</w:t>
            </w:r>
          </w:p>
          <w:p w14:paraId="36C31759" w14:textId="77777777" w:rsidR="00273D67" w:rsidRPr="005026F6" w:rsidRDefault="00273D67" w:rsidP="00D26EA2">
            <w:pPr>
              <w:rPr>
                <w:sz w:val="18"/>
                <w:szCs w:val="18"/>
              </w:rPr>
            </w:pPr>
            <w:r w:rsidRPr="005026F6">
              <w:rPr>
                <w:sz w:val="18"/>
                <w:szCs w:val="18"/>
              </w:rPr>
              <w:t>1. Must be a valid value</w:t>
            </w:r>
            <w:r>
              <w:rPr>
                <w:sz w:val="18"/>
                <w:szCs w:val="18"/>
              </w:rPr>
              <w:t>.</w:t>
            </w:r>
          </w:p>
        </w:tc>
      </w:tr>
      <w:tr w:rsidR="00273D67" w:rsidRPr="00D26EA2" w14:paraId="27898998" w14:textId="77777777" w:rsidTr="00273D67">
        <w:trPr>
          <w:trHeight w:val="492"/>
        </w:trPr>
        <w:tc>
          <w:tcPr>
            <w:tcW w:w="1701" w:type="dxa"/>
            <w:tcBorders>
              <w:top w:val="nil"/>
              <w:left w:val="single" w:sz="4" w:space="0" w:color="auto"/>
              <w:bottom w:val="single" w:sz="4" w:space="0" w:color="auto"/>
              <w:right w:val="single" w:sz="4" w:space="0" w:color="auto"/>
            </w:tcBorders>
            <w:noWrap/>
          </w:tcPr>
          <w:p w14:paraId="0682ECCC" w14:textId="77777777" w:rsidR="00273D67" w:rsidRPr="005026F6" w:rsidRDefault="00273D67" w:rsidP="00D26EA2">
            <w:pPr>
              <w:rPr>
                <w:sz w:val="18"/>
                <w:szCs w:val="18"/>
              </w:rPr>
            </w:pPr>
            <w:r w:rsidRPr="005026F6">
              <w:rPr>
                <w:sz w:val="18"/>
                <w:szCs w:val="18"/>
              </w:rPr>
              <w:t>Unit Measure</w:t>
            </w:r>
          </w:p>
        </w:tc>
        <w:tc>
          <w:tcPr>
            <w:tcW w:w="5953" w:type="dxa"/>
            <w:tcBorders>
              <w:top w:val="nil"/>
              <w:left w:val="nil"/>
              <w:bottom w:val="single" w:sz="4" w:space="0" w:color="auto"/>
              <w:right w:val="single" w:sz="4" w:space="0" w:color="auto"/>
            </w:tcBorders>
          </w:tcPr>
          <w:p w14:paraId="41990CB6" w14:textId="77777777" w:rsidR="00273D67" w:rsidRPr="005026F6" w:rsidRDefault="00273D67" w:rsidP="00D26EA2">
            <w:pPr>
              <w:rPr>
                <w:sz w:val="18"/>
                <w:szCs w:val="18"/>
              </w:rPr>
            </w:pPr>
            <w:r w:rsidRPr="005026F6">
              <w:rPr>
                <w:sz w:val="18"/>
                <w:szCs w:val="18"/>
              </w:rPr>
              <w:t xml:space="preserve">This must be a monetary unit type recognized by the International Standards Organization standard ISO 4217 (see </w:t>
            </w:r>
            <w:hyperlink r:id="rId43" w:history="1">
              <w:r w:rsidRPr="005026F6">
                <w:rPr>
                  <w:rStyle w:val="Hyperlink"/>
                  <w:noProof w:val="0"/>
                  <w:sz w:val="18"/>
                  <w:szCs w:val="18"/>
                </w:rPr>
                <w:t>www.iso.org</w:t>
              </w:r>
            </w:hyperlink>
            <w:r w:rsidRPr="005026F6">
              <w:rPr>
                <w:sz w:val="18"/>
                <w:szCs w:val="18"/>
              </w:rPr>
              <w:t>) e.g. iso4217:AUD for Australian dollars</w:t>
            </w:r>
          </w:p>
        </w:tc>
      </w:tr>
    </w:tbl>
    <w:p w14:paraId="62706023" w14:textId="77777777" w:rsidR="00F903CD" w:rsidRDefault="00F903CD" w:rsidP="00F903CD">
      <w:pPr>
        <w:jc w:val="both"/>
        <w:rPr>
          <w:sz w:val="20"/>
          <w:szCs w:val="20"/>
        </w:rPr>
      </w:pPr>
    </w:p>
    <w:p w14:paraId="0C250957" w14:textId="77777777" w:rsidR="00F903CD" w:rsidRDefault="00F903CD" w:rsidP="00F903CD">
      <w:pPr>
        <w:jc w:val="both"/>
        <w:rPr>
          <w:sz w:val="20"/>
          <w:szCs w:val="20"/>
        </w:rPr>
      </w:pPr>
      <w:r>
        <w:rPr>
          <w:sz w:val="20"/>
          <w:szCs w:val="20"/>
        </w:rPr>
        <w:t>Facts for element with datetype should be presented without the time component (i.e. in the format of yyyy-mm-dd).</w:t>
      </w:r>
    </w:p>
    <w:p w14:paraId="03E4144B" w14:textId="77777777" w:rsidR="00F903CD" w:rsidRPr="00F903CD" w:rsidRDefault="00F903CD" w:rsidP="00F903CD">
      <w:pPr>
        <w:jc w:val="both"/>
        <w:rPr>
          <w:sz w:val="20"/>
          <w:szCs w:val="20"/>
        </w:rPr>
      </w:pPr>
    </w:p>
    <w:p w14:paraId="5FEB31DF" w14:textId="77777777" w:rsidR="00D26EA2" w:rsidRPr="0076615C" w:rsidRDefault="00D26EA2" w:rsidP="0076615C">
      <w:pPr>
        <w:pStyle w:val="Head3"/>
      </w:pPr>
      <w:bookmarkStart w:id="243" w:name="_Toc205457979"/>
      <w:r w:rsidRPr="0076615C">
        <w:t>Share Counts</w:t>
      </w:r>
      <w:bookmarkEnd w:id="243"/>
    </w:p>
    <w:p w14:paraId="5CE533CB" w14:textId="68637B93" w:rsidR="00D26EA2" w:rsidRDefault="00D26EA2" w:rsidP="005005AD">
      <w:pPr>
        <w:jc w:val="both"/>
        <w:rPr>
          <w:sz w:val="20"/>
          <w:szCs w:val="20"/>
        </w:rPr>
      </w:pPr>
      <w:r w:rsidRPr="005026F6">
        <w:rPr>
          <w:sz w:val="20"/>
          <w:szCs w:val="20"/>
        </w:rPr>
        <w:t xml:space="preserve">Some elements within </w:t>
      </w:r>
      <w:r w:rsidR="009B0BD8">
        <w:rPr>
          <w:sz w:val="20"/>
          <w:szCs w:val="20"/>
        </w:rPr>
        <w:t>instance document</w:t>
      </w:r>
      <w:r w:rsidR="009B0BD8" w:rsidRPr="005026F6">
        <w:rPr>
          <w:sz w:val="20"/>
          <w:szCs w:val="20"/>
        </w:rPr>
        <w:t xml:space="preserve"> </w:t>
      </w:r>
      <w:r w:rsidRPr="005026F6">
        <w:rPr>
          <w:sz w:val="20"/>
          <w:szCs w:val="20"/>
        </w:rPr>
        <w:t xml:space="preserve">represent a number of shares. These amounts may or may not be rounded within the financial statements and the decimals attribute should be applied appropriately. For example, </w:t>
      </w:r>
      <w:r w:rsidR="005026F6">
        <w:rPr>
          <w:sz w:val="20"/>
          <w:szCs w:val="20"/>
        </w:rPr>
        <w:t>“</w:t>
      </w:r>
      <w:r w:rsidR="005026F6" w:rsidRPr="005026F6">
        <w:rPr>
          <w:sz w:val="20"/>
          <w:szCs w:val="20"/>
        </w:rPr>
        <w:t>Adjusted we</w:t>
      </w:r>
      <w:r w:rsidR="005026F6">
        <w:rPr>
          <w:sz w:val="20"/>
          <w:szCs w:val="20"/>
        </w:rPr>
        <w:t xml:space="preserve">ighted average number of shares” </w:t>
      </w:r>
      <w:r w:rsidRPr="005026F6">
        <w:rPr>
          <w:sz w:val="20"/>
          <w:szCs w:val="20"/>
        </w:rPr>
        <w:t xml:space="preserve">may be 13,787,078 shares. In the instance document the value would be 13787078 with a “decimals” attribute set to 0. </w:t>
      </w:r>
      <w:r w:rsidRPr="005005AD">
        <w:rPr>
          <w:sz w:val="20"/>
          <w:szCs w:val="20"/>
        </w:rPr>
        <w:t>The unit properties</w:t>
      </w:r>
      <w:r w:rsidR="005005AD" w:rsidRPr="005005AD">
        <w:rPr>
          <w:sz w:val="20"/>
          <w:szCs w:val="20"/>
        </w:rPr>
        <w:t xml:space="preserve"> in the XBRL context</w:t>
      </w:r>
      <w:r w:rsidRPr="005005AD">
        <w:rPr>
          <w:sz w:val="20"/>
          <w:szCs w:val="20"/>
        </w:rPr>
        <w:t xml:space="preserve"> for share counts are</w:t>
      </w:r>
      <w:r w:rsidR="005005AD">
        <w:rPr>
          <w:sz w:val="20"/>
          <w:szCs w:val="20"/>
        </w:rPr>
        <w:t xml:space="preserve"> listed in Table </w:t>
      </w:r>
      <w:r w:rsidR="0093318D">
        <w:rPr>
          <w:sz w:val="20"/>
          <w:szCs w:val="20"/>
        </w:rPr>
        <w:t>1</w:t>
      </w:r>
      <w:r w:rsidR="00C1723F">
        <w:rPr>
          <w:sz w:val="20"/>
          <w:szCs w:val="20"/>
        </w:rPr>
        <w:t>3</w:t>
      </w:r>
      <w:r w:rsidR="0093318D">
        <w:rPr>
          <w:sz w:val="20"/>
          <w:szCs w:val="20"/>
        </w:rPr>
        <w:t xml:space="preserve"> </w:t>
      </w:r>
      <w:r w:rsidR="005005AD">
        <w:rPr>
          <w:sz w:val="20"/>
          <w:szCs w:val="20"/>
        </w:rPr>
        <w:t>below.</w:t>
      </w:r>
    </w:p>
    <w:p w14:paraId="6000CF48" w14:textId="77777777" w:rsidR="005005AD" w:rsidRPr="005005AD" w:rsidRDefault="005005AD" w:rsidP="00D26EA2">
      <w:pPr>
        <w:rPr>
          <w:sz w:val="20"/>
          <w:szCs w:val="20"/>
        </w:rPr>
      </w:pPr>
    </w:p>
    <w:p w14:paraId="1A1CE383" w14:textId="77777777" w:rsidR="009B77C1" w:rsidRDefault="005005AD" w:rsidP="00F069A2">
      <w:pPr>
        <w:pStyle w:val="ListParagraph"/>
        <w:numPr>
          <w:ilvl w:val="0"/>
          <w:numId w:val="28"/>
        </w:numPr>
        <w:autoSpaceDE w:val="0"/>
        <w:autoSpaceDN w:val="0"/>
        <w:adjustRightInd w:val="0"/>
        <w:ind w:hanging="1070"/>
      </w:pPr>
      <w:r>
        <w:rPr>
          <w:rStyle w:val="Emphasis"/>
          <w:bCs w:val="0"/>
          <w:sz w:val="18"/>
          <w:szCs w:val="18"/>
        </w:rPr>
        <w:t xml:space="preserve">Units </w:t>
      </w:r>
      <w:r w:rsidRPr="005005AD">
        <w:rPr>
          <w:rStyle w:val="Emphasis"/>
          <w:bCs w:val="0"/>
          <w:sz w:val="18"/>
          <w:szCs w:val="18"/>
        </w:rPr>
        <w:t xml:space="preserve">– </w:t>
      </w:r>
      <w:r>
        <w:rPr>
          <w:rStyle w:val="Emphasis"/>
          <w:bCs w:val="0"/>
          <w:sz w:val="18"/>
          <w:szCs w:val="18"/>
        </w:rPr>
        <w:t>Share counts</w:t>
      </w:r>
    </w:p>
    <w:tbl>
      <w:tblPr>
        <w:tblW w:w="9072" w:type="dxa"/>
        <w:tblInd w:w="108" w:type="dxa"/>
        <w:tblLayout w:type="fixed"/>
        <w:tblLook w:val="0000" w:firstRow="0" w:lastRow="0" w:firstColumn="0" w:lastColumn="0" w:noHBand="0" w:noVBand="0"/>
      </w:tblPr>
      <w:tblGrid>
        <w:gridCol w:w="1701"/>
        <w:gridCol w:w="1418"/>
        <w:gridCol w:w="5953"/>
      </w:tblGrid>
      <w:tr w:rsidR="00764F8E" w:rsidRPr="00D26EA2" w14:paraId="26ACEC95" w14:textId="77777777" w:rsidTr="00764F8E">
        <w:trPr>
          <w:trHeight w:val="450"/>
          <w:tblHeader/>
        </w:trPr>
        <w:tc>
          <w:tcPr>
            <w:tcW w:w="1701" w:type="dxa"/>
            <w:tcBorders>
              <w:top w:val="single" w:sz="4" w:space="0" w:color="auto"/>
              <w:left w:val="single" w:sz="4" w:space="0" w:color="auto"/>
              <w:bottom w:val="single" w:sz="4" w:space="0" w:color="auto"/>
              <w:right w:val="single" w:sz="6" w:space="0" w:color="auto"/>
            </w:tcBorders>
            <w:shd w:val="clear" w:color="auto" w:fill="C6D9F1"/>
            <w:vAlign w:val="center"/>
          </w:tcPr>
          <w:p w14:paraId="6150D0B6" w14:textId="77777777" w:rsidR="00764F8E" w:rsidRPr="005026F6" w:rsidRDefault="00764F8E" w:rsidP="00D26EA2">
            <w:pPr>
              <w:rPr>
                <w:b/>
                <w:sz w:val="18"/>
                <w:szCs w:val="18"/>
              </w:rPr>
            </w:pPr>
            <w:r w:rsidRPr="005026F6">
              <w:rPr>
                <w:b/>
                <w:sz w:val="18"/>
                <w:szCs w:val="18"/>
              </w:rPr>
              <w:t>XBRL Instance Context Data Concept</w:t>
            </w:r>
          </w:p>
        </w:tc>
        <w:tc>
          <w:tcPr>
            <w:tcW w:w="1418" w:type="dxa"/>
            <w:tcBorders>
              <w:top w:val="single" w:sz="4" w:space="0" w:color="auto"/>
              <w:left w:val="single" w:sz="6" w:space="0" w:color="auto"/>
              <w:bottom w:val="single" w:sz="4" w:space="0" w:color="auto"/>
              <w:right w:val="single" w:sz="6" w:space="0" w:color="auto"/>
            </w:tcBorders>
            <w:shd w:val="clear" w:color="auto" w:fill="C6D9F1"/>
            <w:vAlign w:val="center"/>
          </w:tcPr>
          <w:p w14:paraId="7463B1D4" w14:textId="77777777" w:rsidR="00764F8E" w:rsidRPr="005026F6" w:rsidRDefault="00764F8E" w:rsidP="00D26EA2">
            <w:pPr>
              <w:rPr>
                <w:b/>
                <w:sz w:val="18"/>
                <w:szCs w:val="18"/>
              </w:rPr>
            </w:pPr>
            <w:r w:rsidRPr="005026F6">
              <w:rPr>
                <w:b/>
                <w:sz w:val="18"/>
                <w:szCs w:val="18"/>
              </w:rPr>
              <w:t>Requirement</w:t>
            </w:r>
          </w:p>
        </w:tc>
        <w:tc>
          <w:tcPr>
            <w:tcW w:w="5953" w:type="dxa"/>
            <w:tcBorders>
              <w:top w:val="single" w:sz="4" w:space="0" w:color="auto"/>
              <w:left w:val="single" w:sz="6" w:space="0" w:color="auto"/>
              <w:bottom w:val="single" w:sz="4" w:space="0" w:color="auto"/>
              <w:right w:val="single" w:sz="6" w:space="0" w:color="auto"/>
            </w:tcBorders>
            <w:shd w:val="clear" w:color="auto" w:fill="C6D9F1"/>
            <w:vAlign w:val="center"/>
          </w:tcPr>
          <w:p w14:paraId="2FA9F872" w14:textId="77777777" w:rsidR="00764F8E" w:rsidRPr="005026F6" w:rsidRDefault="00764F8E" w:rsidP="00D26EA2">
            <w:pPr>
              <w:rPr>
                <w:b/>
                <w:sz w:val="18"/>
                <w:szCs w:val="18"/>
              </w:rPr>
            </w:pPr>
            <w:r w:rsidRPr="005026F6">
              <w:rPr>
                <w:b/>
                <w:sz w:val="18"/>
                <w:szCs w:val="18"/>
              </w:rPr>
              <w:t>Instructions/Rules</w:t>
            </w:r>
          </w:p>
        </w:tc>
      </w:tr>
      <w:tr w:rsidR="00764F8E" w:rsidRPr="00D26EA2" w14:paraId="7DD85D7C" w14:textId="77777777" w:rsidTr="00764F8E">
        <w:trPr>
          <w:trHeight w:val="900"/>
        </w:trPr>
        <w:tc>
          <w:tcPr>
            <w:tcW w:w="1701" w:type="dxa"/>
            <w:tcBorders>
              <w:top w:val="single" w:sz="4" w:space="0" w:color="auto"/>
              <w:left w:val="single" w:sz="4" w:space="0" w:color="auto"/>
              <w:bottom w:val="single" w:sz="4" w:space="0" w:color="auto"/>
              <w:right w:val="single" w:sz="4" w:space="0" w:color="auto"/>
            </w:tcBorders>
            <w:noWrap/>
          </w:tcPr>
          <w:p w14:paraId="52FCC853" w14:textId="77777777" w:rsidR="00764F8E" w:rsidRPr="005026F6" w:rsidRDefault="00764F8E" w:rsidP="00D26EA2">
            <w:pPr>
              <w:rPr>
                <w:sz w:val="18"/>
                <w:szCs w:val="18"/>
              </w:rPr>
            </w:pPr>
            <w:r w:rsidRPr="005026F6">
              <w:rPr>
                <w:sz w:val="18"/>
                <w:szCs w:val="18"/>
              </w:rPr>
              <w:t>Unit Identifier (attribute)</w:t>
            </w:r>
          </w:p>
        </w:tc>
        <w:tc>
          <w:tcPr>
            <w:tcW w:w="1418" w:type="dxa"/>
            <w:tcBorders>
              <w:top w:val="single" w:sz="4" w:space="0" w:color="auto"/>
              <w:left w:val="nil"/>
              <w:bottom w:val="single" w:sz="4" w:space="0" w:color="auto"/>
              <w:right w:val="single" w:sz="4" w:space="0" w:color="auto"/>
            </w:tcBorders>
            <w:noWrap/>
          </w:tcPr>
          <w:p w14:paraId="469DFAD5" w14:textId="77777777" w:rsidR="00764F8E" w:rsidRPr="005026F6" w:rsidRDefault="00764F8E" w:rsidP="00D26EA2">
            <w:pPr>
              <w:rPr>
                <w:sz w:val="18"/>
                <w:szCs w:val="18"/>
              </w:rPr>
            </w:pPr>
            <w:r w:rsidRPr="005026F6">
              <w:rPr>
                <w:sz w:val="18"/>
                <w:szCs w:val="18"/>
              </w:rPr>
              <w:t>Mandatory</w:t>
            </w:r>
          </w:p>
        </w:tc>
        <w:tc>
          <w:tcPr>
            <w:tcW w:w="5953" w:type="dxa"/>
            <w:tcBorders>
              <w:top w:val="single" w:sz="4" w:space="0" w:color="auto"/>
              <w:left w:val="nil"/>
              <w:bottom w:val="single" w:sz="4" w:space="0" w:color="auto"/>
              <w:right w:val="single" w:sz="4" w:space="0" w:color="auto"/>
            </w:tcBorders>
          </w:tcPr>
          <w:p w14:paraId="35AC9FB0" w14:textId="77777777" w:rsidR="00764F8E" w:rsidRPr="005026F6" w:rsidRDefault="00764F8E" w:rsidP="00D26EA2">
            <w:pPr>
              <w:rPr>
                <w:sz w:val="18"/>
                <w:szCs w:val="18"/>
              </w:rPr>
            </w:pPr>
            <w:r w:rsidRPr="005026F6">
              <w:rPr>
                <w:sz w:val="18"/>
                <w:szCs w:val="18"/>
              </w:rPr>
              <w:t>This is a unique identifier used to link the data element to a defined XBRL unit. SBR is recommending a 2 character identifier starting with “u” and a single digit sequential number for each unit e.g. u1</w:t>
            </w:r>
          </w:p>
          <w:p w14:paraId="3A76E267" w14:textId="77777777" w:rsidR="00764F8E" w:rsidRPr="005026F6" w:rsidRDefault="00764F8E" w:rsidP="00D26EA2">
            <w:pPr>
              <w:rPr>
                <w:sz w:val="18"/>
                <w:szCs w:val="18"/>
              </w:rPr>
            </w:pPr>
            <w:r w:rsidRPr="005026F6">
              <w:rPr>
                <w:sz w:val="18"/>
                <w:szCs w:val="18"/>
              </w:rPr>
              <w:t>1. Must be a valid value</w:t>
            </w:r>
          </w:p>
        </w:tc>
      </w:tr>
      <w:tr w:rsidR="00764F8E" w:rsidRPr="00D26EA2" w14:paraId="171567EF" w14:textId="77777777" w:rsidTr="00764F8E">
        <w:trPr>
          <w:trHeight w:val="492"/>
        </w:trPr>
        <w:tc>
          <w:tcPr>
            <w:tcW w:w="1701" w:type="dxa"/>
            <w:tcBorders>
              <w:top w:val="nil"/>
              <w:left w:val="single" w:sz="4" w:space="0" w:color="auto"/>
              <w:bottom w:val="single" w:sz="4" w:space="0" w:color="auto"/>
              <w:right w:val="single" w:sz="4" w:space="0" w:color="auto"/>
            </w:tcBorders>
            <w:noWrap/>
          </w:tcPr>
          <w:p w14:paraId="7087569B" w14:textId="77777777" w:rsidR="00764F8E" w:rsidRPr="005026F6" w:rsidRDefault="00764F8E" w:rsidP="00D26EA2">
            <w:pPr>
              <w:rPr>
                <w:sz w:val="18"/>
                <w:szCs w:val="18"/>
              </w:rPr>
            </w:pPr>
            <w:r w:rsidRPr="005026F6">
              <w:rPr>
                <w:sz w:val="18"/>
                <w:szCs w:val="18"/>
              </w:rPr>
              <w:t>Unit Measure</w:t>
            </w:r>
          </w:p>
        </w:tc>
        <w:tc>
          <w:tcPr>
            <w:tcW w:w="1418" w:type="dxa"/>
            <w:tcBorders>
              <w:top w:val="nil"/>
              <w:left w:val="nil"/>
              <w:bottom w:val="single" w:sz="4" w:space="0" w:color="auto"/>
              <w:right w:val="single" w:sz="4" w:space="0" w:color="auto"/>
            </w:tcBorders>
            <w:noWrap/>
          </w:tcPr>
          <w:p w14:paraId="13125C31" w14:textId="77777777" w:rsidR="00764F8E" w:rsidRPr="005026F6" w:rsidRDefault="00764F8E" w:rsidP="00D26EA2">
            <w:pPr>
              <w:rPr>
                <w:i/>
                <w:sz w:val="18"/>
                <w:szCs w:val="18"/>
              </w:rPr>
            </w:pPr>
            <w:r w:rsidRPr="005026F6">
              <w:rPr>
                <w:sz w:val="18"/>
                <w:szCs w:val="18"/>
              </w:rPr>
              <w:t>Mandatory</w:t>
            </w:r>
          </w:p>
        </w:tc>
        <w:tc>
          <w:tcPr>
            <w:tcW w:w="5953" w:type="dxa"/>
            <w:tcBorders>
              <w:top w:val="nil"/>
              <w:left w:val="nil"/>
              <w:bottom w:val="single" w:sz="4" w:space="0" w:color="auto"/>
              <w:right w:val="single" w:sz="4" w:space="0" w:color="auto"/>
            </w:tcBorders>
          </w:tcPr>
          <w:p w14:paraId="42677C39" w14:textId="77777777" w:rsidR="00764F8E" w:rsidRPr="005026F6" w:rsidRDefault="00764F8E" w:rsidP="00D26EA2">
            <w:pPr>
              <w:rPr>
                <w:sz w:val="18"/>
                <w:szCs w:val="18"/>
              </w:rPr>
            </w:pPr>
            <w:r w:rsidRPr="005026F6">
              <w:rPr>
                <w:sz w:val="18"/>
                <w:szCs w:val="18"/>
              </w:rPr>
              <w:t>Must have the value xbrli:shares where the namespace prefix xbrli is the prefix of the namespace  "http://www.xbrl.org/2003/instance"</w:t>
            </w:r>
          </w:p>
        </w:tc>
      </w:tr>
    </w:tbl>
    <w:p w14:paraId="2B40EB68" w14:textId="77777777" w:rsidR="00D26EA2" w:rsidRPr="0076615C" w:rsidRDefault="00D26EA2" w:rsidP="0076615C">
      <w:pPr>
        <w:pStyle w:val="Head3"/>
      </w:pPr>
      <w:bookmarkStart w:id="244" w:name="_Toc205457980"/>
      <w:r w:rsidRPr="0076615C">
        <w:t>Earnings Per Share</w:t>
      </w:r>
      <w:bookmarkEnd w:id="244"/>
    </w:p>
    <w:p w14:paraId="7493B55E" w14:textId="77777777" w:rsidR="00D26EA2" w:rsidRPr="005026F6" w:rsidRDefault="00D26EA2" w:rsidP="00D26EA2">
      <w:pPr>
        <w:rPr>
          <w:sz w:val="20"/>
          <w:szCs w:val="20"/>
        </w:rPr>
      </w:pPr>
      <w:r w:rsidRPr="005026F6">
        <w:rPr>
          <w:sz w:val="20"/>
          <w:szCs w:val="20"/>
        </w:rPr>
        <w:t xml:space="preserve">Monetary amounts are expressed as a currency amount per share. For financial statements prepared using the Australian Accounting Standards this currency will generally be Australian Dollars, </w:t>
      </w:r>
      <w:r w:rsidR="005005AD">
        <w:rPr>
          <w:sz w:val="20"/>
          <w:szCs w:val="20"/>
        </w:rPr>
        <w:t>and</w:t>
      </w:r>
      <w:r w:rsidR="005026F6" w:rsidRPr="005026F6">
        <w:rPr>
          <w:sz w:val="20"/>
          <w:szCs w:val="20"/>
        </w:rPr>
        <w:t xml:space="preserve"> may also be Australian cents or any other currency used for presentation.</w:t>
      </w:r>
      <w:r w:rsidRPr="005026F6">
        <w:rPr>
          <w:sz w:val="20"/>
          <w:szCs w:val="20"/>
        </w:rPr>
        <w:t xml:space="preserve"> The properties of the element should be represented appropriately. For example</w:t>
      </w:r>
      <w:r w:rsidR="005005AD" w:rsidRPr="005026F6">
        <w:rPr>
          <w:sz w:val="20"/>
          <w:szCs w:val="20"/>
        </w:rPr>
        <w:t>, “</w:t>
      </w:r>
      <w:r w:rsidR="005026F6" w:rsidRPr="005026F6">
        <w:rPr>
          <w:sz w:val="20"/>
          <w:szCs w:val="20"/>
        </w:rPr>
        <w:t xml:space="preserve">Basic earnings (loss) per share from continuing operations” </w:t>
      </w:r>
      <w:r w:rsidRPr="005026F6">
        <w:rPr>
          <w:sz w:val="20"/>
          <w:szCs w:val="20"/>
        </w:rPr>
        <w:t xml:space="preserve">if the </w:t>
      </w:r>
      <w:r w:rsidR="005005AD" w:rsidRPr="005026F6">
        <w:rPr>
          <w:sz w:val="20"/>
          <w:szCs w:val="20"/>
        </w:rPr>
        <w:t>amount in</w:t>
      </w:r>
      <w:r w:rsidRPr="005026F6">
        <w:rPr>
          <w:sz w:val="20"/>
          <w:szCs w:val="20"/>
        </w:rPr>
        <w:t xml:space="preserve"> the financial statements for was 55.7 cents per share in the financial statements then this could be represented in the instance with a value of 0.557 and a “decimals” attribute of 3.</w:t>
      </w:r>
    </w:p>
    <w:p w14:paraId="61A1C704" w14:textId="77777777" w:rsidR="00D26EA2" w:rsidRDefault="00D26EA2" w:rsidP="00D26EA2">
      <w:pPr>
        <w:rPr>
          <w:sz w:val="20"/>
          <w:szCs w:val="20"/>
        </w:rPr>
      </w:pPr>
      <w:r w:rsidRPr="005026F6">
        <w:rPr>
          <w:sz w:val="20"/>
          <w:szCs w:val="20"/>
        </w:rPr>
        <w:t>Earnings per share is a complex unit of measure and therefore requires both a numerator and denominator in its definition. The unit properties for earnings per share elements are</w:t>
      </w:r>
      <w:r w:rsidR="00060954">
        <w:rPr>
          <w:sz w:val="20"/>
          <w:szCs w:val="20"/>
        </w:rPr>
        <w:t xml:space="preserve"> listed in </w:t>
      </w:r>
      <w:r w:rsidR="0010271C">
        <w:rPr>
          <w:sz w:val="20"/>
          <w:szCs w:val="20"/>
        </w:rPr>
        <w:t>the below table</w:t>
      </w:r>
      <w:r w:rsidR="005005AD">
        <w:rPr>
          <w:sz w:val="20"/>
          <w:szCs w:val="20"/>
        </w:rPr>
        <w:t>.</w:t>
      </w:r>
    </w:p>
    <w:p w14:paraId="165CC5A3" w14:textId="77777777" w:rsidR="005005AD" w:rsidRPr="005026F6" w:rsidRDefault="005005AD" w:rsidP="00D26EA2">
      <w:pPr>
        <w:rPr>
          <w:sz w:val="20"/>
          <w:szCs w:val="20"/>
        </w:rPr>
      </w:pPr>
    </w:p>
    <w:p w14:paraId="0016C840" w14:textId="77777777" w:rsidR="009B77C1" w:rsidRDefault="005005AD" w:rsidP="00F069A2">
      <w:pPr>
        <w:pStyle w:val="ListParagraph"/>
        <w:numPr>
          <w:ilvl w:val="0"/>
          <w:numId w:val="28"/>
        </w:numPr>
        <w:autoSpaceDE w:val="0"/>
        <w:autoSpaceDN w:val="0"/>
        <w:adjustRightInd w:val="0"/>
        <w:ind w:hanging="1070"/>
        <w:rPr>
          <w:sz w:val="20"/>
          <w:szCs w:val="20"/>
        </w:rPr>
      </w:pPr>
      <w:r>
        <w:rPr>
          <w:rStyle w:val="Emphasis"/>
          <w:bCs w:val="0"/>
          <w:sz w:val="18"/>
          <w:szCs w:val="18"/>
        </w:rPr>
        <w:t>Units</w:t>
      </w:r>
      <w:r w:rsidRPr="005005AD">
        <w:rPr>
          <w:rStyle w:val="Emphasis"/>
          <w:bCs w:val="0"/>
          <w:sz w:val="18"/>
          <w:szCs w:val="18"/>
        </w:rPr>
        <w:t xml:space="preserve"> – </w:t>
      </w:r>
      <w:r>
        <w:rPr>
          <w:rStyle w:val="Emphasis"/>
          <w:bCs w:val="0"/>
          <w:sz w:val="18"/>
          <w:szCs w:val="18"/>
        </w:rPr>
        <w:t>Earnings per share</w:t>
      </w:r>
    </w:p>
    <w:tbl>
      <w:tblPr>
        <w:tblW w:w="7654" w:type="dxa"/>
        <w:tblInd w:w="108" w:type="dxa"/>
        <w:tblLayout w:type="fixed"/>
        <w:tblLook w:val="0000" w:firstRow="0" w:lastRow="0" w:firstColumn="0" w:lastColumn="0" w:noHBand="0" w:noVBand="0"/>
      </w:tblPr>
      <w:tblGrid>
        <w:gridCol w:w="1701"/>
        <w:gridCol w:w="5953"/>
      </w:tblGrid>
      <w:tr w:rsidR="00273D67" w:rsidRPr="00D26EA2" w14:paraId="4822B1AE" w14:textId="77777777" w:rsidTr="00273D67">
        <w:trPr>
          <w:trHeight w:val="450"/>
          <w:tblHeader/>
        </w:trPr>
        <w:tc>
          <w:tcPr>
            <w:tcW w:w="1701" w:type="dxa"/>
            <w:tcBorders>
              <w:top w:val="single" w:sz="4" w:space="0" w:color="auto"/>
              <w:left w:val="single" w:sz="4" w:space="0" w:color="auto"/>
              <w:bottom w:val="single" w:sz="4" w:space="0" w:color="auto"/>
              <w:right w:val="single" w:sz="6" w:space="0" w:color="auto"/>
            </w:tcBorders>
            <w:shd w:val="clear" w:color="auto" w:fill="C6D9F1"/>
            <w:vAlign w:val="center"/>
          </w:tcPr>
          <w:p w14:paraId="050CDE0D" w14:textId="77777777" w:rsidR="00273D67" w:rsidRPr="005026F6" w:rsidRDefault="00273D67" w:rsidP="00D26EA2">
            <w:pPr>
              <w:rPr>
                <w:b/>
                <w:sz w:val="18"/>
                <w:szCs w:val="18"/>
              </w:rPr>
            </w:pPr>
            <w:r w:rsidRPr="005026F6">
              <w:rPr>
                <w:b/>
                <w:sz w:val="18"/>
                <w:szCs w:val="18"/>
              </w:rPr>
              <w:t>XBRL Instance Context Data Concept</w:t>
            </w:r>
          </w:p>
        </w:tc>
        <w:tc>
          <w:tcPr>
            <w:tcW w:w="5953" w:type="dxa"/>
            <w:tcBorders>
              <w:top w:val="single" w:sz="4" w:space="0" w:color="auto"/>
              <w:left w:val="single" w:sz="6" w:space="0" w:color="auto"/>
              <w:bottom w:val="single" w:sz="4" w:space="0" w:color="auto"/>
              <w:right w:val="single" w:sz="6" w:space="0" w:color="auto"/>
            </w:tcBorders>
            <w:shd w:val="clear" w:color="auto" w:fill="C6D9F1"/>
            <w:vAlign w:val="center"/>
          </w:tcPr>
          <w:p w14:paraId="330E56BF" w14:textId="77777777" w:rsidR="00273D67" w:rsidRPr="005026F6" w:rsidRDefault="00273D67" w:rsidP="00D26EA2">
            <w:pPr>
              <w:rPr>
                <w:b/>
                <w:sz w:val="18"/>
                <w:szCs w:val="18"/>
              </w:rPr>
            </w:pPr>
            <w:r w:rsidRPr="005026F6">
              <w:rPr>
                <w:b/>
                <w:sz w:val="18"/>
                <w:szCs w:val="18"/>
              </w:rPr>
              <w:t>Instructions/Rules</w:t>
            </w:r>
          </w:p>
        </w:tc>
      </w:tr>
      <w:tr w:rsidR="00273D67" w:rsidRPr="00D26EA2" w14:paraId="68314083" w14:textId="77777777" w:rsidTr="00273D67">
        <w:trPr>
          <w:trHeight w:val="900"/>
        </w:trPr>
        <w:tc>
          <w:tcPr>
            <w:tcW w:w="1701" w:type="dxa"/>
            <w:tcBorders>
              <w:top w:val="single" w:sz="4" w:space="0" w:color="auto"/>
              <w:left w:val="single" w:sz="4" w:space="0" w:color="auto"/>
              <w:bottom w:val="single" w:sz="4" w:space="0" w:color="auto"/>
              <w:right w:val="single" w:sz="4" w:space="0" w:color="auto"/>
            </w:tcBorders>
            <w:noWrap/>
          </w:tcPr>
          <w:p w14:paraId="7607474F" w14:textId="77777777" w:rsidR="00273D67" w:rsidRPr="005026F6" w:rsidRDefault="00273D67" w:rsidP="00D26EA2">
            <w:pPr>
              <w:rPr>
                <w:sz w:val="18"/>
                <w:szCs w:val="18"/>
              </w:rPr>
            </w:pPr>
            <w:r w:rsidRPr="005026F6">
              <w:rPr>
                <w:sz w:val="18"/>
                <w:szCs w:val="18"/>
              </w:rPr>
              <w:t>Unit Identifier (attribute)</w:t>
            </w:r>
          </w:p>
        </w:tc>
        <w:tc>
          <w:tcPr>
            <w:tcW w:w="5953" w:type="dxa"/>
            <w:tcBorders>
              <w:top w:val="single" w:sz="4" w:space="0" w:color="auto"/>
              <w:left w:val="nil"/>
              <w:bottom w:val="single" w:sz="4" w:space="0" w:color="auto"/>
              <w:right w:val="single" w:sz="4" w:space="0" w:color="auto"/>
            </w:tcBorders>
          </w:tcPr>
          <w:p w14:paraId="26BEF0CE" w14:textId="7C621E0D" w:rsidR="00273D67" w:rsidRPr="005026F6" w:rsidRDefault="00273D67" w:rsidP="00D26EA2">
            <w:pPr>
              <w:rPr>
                <w:sz w:val="18"/>
                <w:szCs w:val="18"/>
              </w:rPr>
            </w:pPr>
            <w:r w:rsidRPr="005026F6">
              <w:rPr>
                <w:sz w:val="18"/>
                <w:szCs w:val="18"/>
              </w:rPr>
              <w:t>This is a unique identifier used to link the data element to a defined XBRL unit. SBR is recommending a 2 character</w:t>
            </w:r>
            <w:r>
              <w:rPr>
                <w:sz w:val="18"/>
                <w:szCs w:val="18"/>
              </w:rPr>
              <w:t>s</w:t>
            </w:r>
            <w:r w:rsidRPr="005026F6">
              <w:rPr>
                <w:sz w:val="18"/>
                <w:szCs w:val="18"/>
              </w:rPr>
              <w:t xml:space="preserve"> identifier starting with “u” and a single digit sequential number for each unit e.g. u1</w:t>
            </w:r>
          </w:p>
          <w:p w14:paraId="0628D99E" w14:textId="77777777" w:rsidR="00273D67" w:rsidRPr="005026F6" w:rsidRDefault="00273D67" w:rsidP="00D26EA2">
            <w:pPr>
              <w:rPr>
                <w:sz w:val="18"/>
                <w:szCs w:val="18"/>
              </w:rPr>
            </w:pPr>
            <w:r w:rsidRPr="005026F6">
              <w:rPr>
                <w:sz w:val="18"/>
                <w:szCs w:val="18"/>
              </w:rPr>
              <w:t>1. Must be a valid value</w:t>
            </w:r>
            <w:r>
              <w:rPr>
                <w:sz w:val="18"/>
                <w:szCs w:val="18"/>
              </w:rPr>
              <w:t>.</w:t>
            </w:r>
          </w:p>
        </w:tc>
      </w:tr>
      <w:tr w:rsidR="00273D67" w:rsidRPr="00D26EA2" w14:paraId="5665E0F8" w14:textId="77777777" w:rsidTr="00273D67">
        <w:trPr>
          <w:trHeight w:val="492"/>
        </w:trPr>
        <w:tc>
          <w:tcPr>
            <w:tcW w:w="1701" w:type="dxa"/>
            <w:tcBorders>
              <w:top w:val="nil"/>
              <w:left w:val="single" w:sz="4" w:space="0" w:color="auto"/>
              <w:bottom w:val="single" w:sz="4" w:space="0" w:color="auto"/>
              <w:right w:val="single" w:sz="4" w:space="0" w:color="auto"/>
            </w:tcBorders>
            <w:noWrap/>
          </w:tcPr>
          <w:p w14:paraId="4484D1AF" w14:textId="77777777" w:rsidR="00273D67" w:rsidRPr="005026F6" w:rsidRDefault="00273D67" w:rsidP="00D26EA2">
            <w:pPr>
              <w:rPr>
                <w:sz w:val="18"/>
                <w:szCs w:val="18"/>
              </w:rPr>
            </w:pPr>
            <w:r w:rsidRPr="005026F6">
              <w:rPr>
                <w:sz w:val="18"/>
                <w:szCs w:val="18"/>
              </w:rPr>
              <w:t>Unit Divide</w:t>
            </w:r>
          </w:p>
        </w:tc>
        <w:tc>
          <w:tcPr>
            <w:tcW w:w="5953" w:type="dxa"/>
            <w:tcBorders>
              <w:top w:val="nil"/>
              <w:left w:val="nil"/>
              <w:bottom w:val="single" w:sz="4" w:space="0" w:color="auto"/>
              <w:right w:val="single" w:sz="4" w:space="0" w:color="auto"/>
            </w:tcBorders>
          </w:tcPr>
          <w:p w14:paraId="0D2EC5C5" w14:textId="77777777" w:rsidR="00273D67" w:rsidRPr="005026F6" w:rsidRDefault="00273D67" w:rsidP="00D26EA2">
            <w:pPr>
              <w:rPr>
                <w:sz w:val="18"/>
                <w:szCs w:val="18"/>
              </w:rPr>
            </w:pPr>
            <w:r w:rsidRPr="005026F6">
              <w:rPr>
                <w:sz w:val="18"/>
                <w:szCs w:val="18"/>
              </w:rPr>
              <w:t>Contains the unitNumerator and unitDenominator concepts</w:t>
            </w:r>
          </w:p>
        </w:tc>
      </w:tr>
      <w:tr w:rsidR="00273D67" w:rsidRPr="00D26EA2" w14:paraId="58DA1D97" w14:textId="77777777" w:rsidTr="00273D67">
        <w:trPr>
          <w:trHeight w:val="492"/>
        </w:trPr>
        <w:tc>
          <w:tcPr>
            <w:tcW w:w="1701" w:type="dxa"/>
            <w:tcBorders>
              <w:top w:val="single" w:sz="4" w:space="0" w:color="auto"/>
              <w:left w:val="single" w:sz="4" w:space="0" w:color="auto"/>
              <w:bottom w:val="single" w:sz="4" w:space="0" w:color="auto"/>
              <w:right w:val="single" w:sz="4" w:space="0" w:color="auto"/>
            </w:tcBorders>
            <w:noWrap/>
          </w:tcPr>
          <w:p w14:paraId="1D747219" w14:textId="77777777" w:rsidR="00273D67" w:rsidRPr="005026F6" w:rsidRDefault="00273D67" w:rsidP="00D26EA2">
            <w:pPr>
              <w:rPr>
                <w:sz w:val="18"/>
                <w:szCs w:val="18"/>
              </w:rPr>
            </w:pPr>
            <w:r w:rsidRPr="005026F6">
              <w:rPr>
                <w:sz w:val="18"/>
                <w:szCs w:val="18"/>
              </w:rPr>
              <w:t>Unit unitNumerator</w:t>
            </w:r>
          </w:p>
        </w:tc>
        <w:tc>
          <w:tcPr>
            <w:tcW w:w="5953" w:type="dxa"/>
            <w:tcBorders>
              <w:top w:val="single" w:sz="4" w:space="0" w:color="auto"/>
              <w:left w:val="nil"/>
              <w:bottom w:val="single" w:sz="4" w:space="0" w:color="auto"/>
              <w:right w:val="single" w:sz="4" w:space="0" w:color="auto"/>
            </w:tcBorders>
          </w:tcPr>
          <w:p w14:paraId="084BA3DD" w14:textId="77777777" w:rsidR="00273D67" w:rsidRPr="005026F6" w:rsidRDefault="00273D67" w:rsidP="00D26EA2">
            <w:pPr>
              <w:rPr>
                <w:sz w:val="18"/>
                <w:szCs w:val="18"/>
              </w:rPr>
            </w:pPr>
            <w:r w:rsidRPr="005026F6">
              <w:rPr>
                <w:sz w:val="18"/>
                <w:szCs w:val="18"/>
              </w:rPr>
              <w:t>Contains the measure concept for the numerator of the unit of measure</w:t>
            </w:r>
          </w:p>
        </w:tc>
      </w:tr>
      <w:tr w:rsidR="00273D67" w:rsidRPr="00D26EA2" w14:paraId="5865CB7A" w14:textId="77777777" w:rsidTr="00273D67">
        <w:trPr>
          <w:trHeight w:val="492"/>
        </w:trPr>
        <w:tc>
          <w:tcPr>
            <w:tcW w:w="1701" w:type="dxa"/>
            <w:tcBorders>
              <w:top w:val="single" w:sz="4" w:space="0" w:color="auto"/>
              <w:left w:val="single" w:sz="4" w:space="0" w:color="auto"/>
              <w:bottom w:val="single" w:sz="4" w:space="0" w:color="auto"/>
              <w:right w:val="single" w:sz="4" w:space="0" w:color="auto"/>
            </w:tcBorders>
            <w:noWrap/>
          </w:tcPr>
          <w:p w14:paraId="42AE0E8F" w14:textId="77777777" w:rsidR="00273D67" w:rsidRPr="005026F6" w:rsidRDefault="00273D67" w:rsidP="00D26EA2">
            <w:pPr>
              <w:rPr>
                <w:sz w:val="18"/>
                <w:szCs w:val="18"/>
              </w:rPr>
            </w:pPr>
            <w:r w:rsidRPr="005026F6">
              <w:rPr>
                <w:sz w:val="18"/>
                <w:szCs w:val="18"/>
              </w:rPr>
              <w:t>Numerator Unit Measure</w:t>
            </w:r>
          </w:p>
        </w:tc>
        <w:tc>
          <w:tcPr>
            <w:tcW w:w="5953" w:type="dxa"/>
            <w:tcBorders>
              <w:top w:val="single" w:sz="4" w:space="0" w:color="auto"/>
              <w:left w:val="nil"/>
              <w:bottom w:val="single" w:sz="4" w:space="0" w:color="auto"/>
              <w:right w:val="single" w:sz="4" w:space="0" w:color="auto"/>
            </w:tcBorders>
          </w:tcPr>
          <w:p w14:paraId="5ADFD7C7" w14:textId="77777777" w:rsidR="00273D67" w:rsidRPr="005026F6" w:rsidRDefault="00273D67" w:rsidP="00D26EA2">
            <w:pPr>
              <w:rPr>
                <w:sz w:val="18"/>
                <w:szCs w:val="18"/>
              </w:rPr>
            </w:pPr>
            <w:r w:rsidRPr="005026F6">
              <w:rPr>
                <w:sz w:val="18"/>
                <w:szCs w:val="18"/>
              </w:rPr>
              <w:t xml:space="preserve">This must be a monetary unit type recognized by the International Standards Organization standard ISO 4217 (see </w:t>
            </w:r>
            <w:r w:rsidRPr="000B1B54">
              <w:t>www.iso.org</w:t>
            </w:r>
            <w:r w:rsidRPr="005026F6">
              <w:rPr>
                <w:sz w:val="18"/>
                <w:szCs w:val="18"/>
              </w:rPr>
              <w:t>) e.g. iso4217:AUD for Australian dollars</w:t>
            </w:r>
          </w:p>
        </w:tc>
      </w:tr>
      <w:tr w:rsidR="00273D67" w:rsidRPr="00D26EA2" w14:paraId="643B5ADB" w14:textId="77777777" w:rsidTr="00273D67">
        <w:trPr>
          <w:trHeight w:val="492"/>
        </w:trPr>
        <w:tc>
          <w:tcPr>
            <w:tcW w:w="1701" w:type="dxa"/>
            <w:tcBorders>
              <w:top w:val="single" w:sz="4" w:space="0" w:color="auto"/>
              <w:left w:val="single" w:sz="4" w:space="0" w:color="auto"/>
              <w:bottom w:val="single" w:sz="4" w:space="0" w:color="auto"/>
              <w:right w:val="single" w:sz="4" w:space="0" w:color="auto"/>
            </w:tcBorders>
            <w:noWrap/>
          </w:tcPr>
          <w:p w14:paraId="543BED86" w14:textId="77777777" w:rsidR="00273D67" w:rsidRPr="005026F6" w:rsidRDefault="00273D67" w:rsidP="00D26EA2">
            <w:pPr>
              <w:rPr>
                <w:sz w:val="18"/>
                <w:szCs w:val="18"/>
              </w:rPr>
            </w:pPr>
            <w:r w:rsidRPr="005026F6">
              <w:rPr>
                <w:sz w:val="18"/>
                <w:szCs w:val="18"/>
              </w:rPr>
              <w:t>Unit unitDenominator</w:t>
            </w:r>
          </w:p>
        </w:tc>
        <w:tc>
          <w:tcPr>
            <w:tcW w:w="5953" w:type="dxa"/>
            <w:tcBorders>
              <w:top w:val="single" w:sz="4" w:space="0" w:color="auto"/>
              <w:left w:val="nil"/>
              <w:bottom w:val="single" w:sz="4" w:space="0" w:color="auto"/>
              <w:right w:val="single" w:sz="4" w:space="0" w:color="auto"/>
            </w:tcBorders>
          </w:tcPr>
          <w:p w14:paraId="0C0CDB07" w14:textId="77777777" w:rsidR="00273D67" w:rsidRPr="005026F6" w:rsidRDefault="00273D67" w:rsidP="00D26EA2">
            <w:pPr>
              <w:rPr>
                <w:sz w:val="18"/>
                <w:szCs w:val="18"/>
              </w:rPr>
            </w:pPr>
            <w:r w:rsidRPr="005026F6">
              <w:rPr>
                <w:sz w:val="18"/>
                <w:szCs w:val="18"/>
              </w:rPr>
              <w:t>Contains the measure concept for the denominator of the unit of measure</w:t>
            </w:r>
          </w:p>
        </w:tc>
      </w:tr>
      <w:tr w:rsidR="00273D67" w:rsidRPr="00D26EA2" w14:paraId="43EFC13B" w14:textId="77777777" w:rsidTr="00273D67">
        <w:trPr>
          <w:trHeight w:val="492"/>
        </w:trPr>
        <w:tc>
          <w:tcPr>
            <w:tcW w:w="1701" w:type="dxa"/>
            <w:tcBorders>
              <w:top w:val="single" w:sz="4" w:space="0" w:color="auto"/>
              <w:left w:val="single" w:sz="4" w:space="0" w:color="auto"/>
              <w:bottom w:val="single" w:sz="4" w:space="0" w:color="auto"/>
              <w:right w:val="single" w:sz="4" w:space="0" w:color="auto"/>
            </w:tcBorders>
            <w:noWrap/>
          </w:tcPr>
          <w:p w14:paraId="5419700E" w14:textId="77777777" w:rsidR="00273D67" w:rsidRPr="005026F6" w:rsidRDefault="00273D67" w:rsidP="00D26EA2">
            <w:pPr>
              <w:rPr>
                <w:sz w:val="18"/>
                <w:szCs w:val="18"/>
              </w:rPr>
            </w:pPr>
            <w:r w:rsidRPr="005026F6">
              <w:rPr>
                <w:sz w:val="18"/>
                <w:szCs w:val="18"/>
              </w:rPr>
              <w:t>Denominator Unit Measure</w:t>
            </w:r>
          </w:p>
        </w:tc>
        <w:tc>
          <w:tcPr>
            <w:tcW w:w="5953" w:type="dxa"/>
            <w:tcBorders>
              <w:top w:val="single" w:sz="4" w:space="0" w:color="auto"/>
              <w:left w:val="nil"/>
              <w:bottom w:val="single" w:sz="4" w:space="0" w:color="auto"/>
              <w:right w:val="single" w:sz="4" w:space="0" w:color="auto"/>
            </w:tcBorders>
          </w:tcPr>
          <w:p w14:paraId="074A2EBD" w14:textId="77777777" w:rsidR="00273D67" w:rsidRPr="005026F6" w:rsidRDefault="00273D67" w:rsidP="00D26EA2">
            <w:pPr>
              <w:rPr>
                <w:sz w:val="18"/>
                <w:szCs w:val="18"/>
              </w:rPr>
            </w:pPr>
            <w:r w:rsidRPr="005026F6">
              <w:rPr>
                <w:sz w:val="18"/>
                <w:szCs w:val="18"/>
              </w:rPr>
              <w:t>Must have the value xbrli:shares where the namespace prefix xbrli is the prefix of the namespace  "http://www.xbrl.org/2003/instance"</w:t>
            </w:r>
          </w:p>
        </w:tc>
      </w:tr>
    </w:tbl>
    <w:p w14:paraId="64D4BFC4" w14:textId="77777777" w:rsidR="004A0A7D" w:rsidRDefault="004A0A7D" w:rsidP="0037599B">
      <w:pPr>
        <w:pStyle w:val="Maintext"/>
        <w:rPr>
          <w:b/>
        </w:rPr>
      </w:pPr>
      <w:bookmarkStart w:id="245" w:name="_Toc230691303"/>
      <w:bookmarkStart w:id="246" w:name="_Toc230691401"/>
      <w:bookmarkStart w:id="247" w:name="_Toc230691497"/>
      <w:bookmarkStart w:id="248" w:name="_Toc230693445"/>
      <w:bookmarkStart w:id="249" w:name="_Toc230696621"/>
      <w:bookmarkStart w:id="250" w:name="_Toc230699919"/>
      <w:bookmarkStart w:id="251" w:name="_Toc230700260"/>
      <w:bookmarkEnd w:id="111"/>
      <w:bookmarkEnd w:id="112"/>
      <w:bookmarkEnd w:id="113"/>
      <w:bookmarkEnd w:id="245"/>
      <w:bookmarkEnd w:id="246"/>
      <w:bookmarkEnd w:id="247"/>
      <w:bookmarkEnd w:id="248"/>
      <w:bookmarkEnd w:id="249"/>
      <w:bookmarkEnd w:id="250"/>
      <w:bookmarkEnd w:id="251"/>
    </w:p>
    <w:p w14:paraId="572D01CB" w14:textId="4DC26682" w:rsidR="00525C92" w:rsidRPr="0076615C" w:rsidRDefault="00606CAC" w:rsidP="00525C92">
      <w:pPr>
        <w:pStyle w:val="Head3"/>
      </w:pPr>
      <w:bookmarkStart w:id="252" w:name="_Toc205457981"/>
      <w:r>
        <w:t>Calculation’s warning errors</w:t>
      </w:r>
      <w:bookmarkEnd w:id="252"/>
    </w:p>
    <w:p w14:paraId="76155469" w14:textId="77777777" w:rsidR="00A85E77" w:rsidRDefault="00A85E77" w:rsidP="00872BC0">
      <w:pPr>
        <w:pStyle w:val="Maintext"/>
      </w:pPr>
    </w:p>
    <w:p w14:paraId="59625D78" w14:textId="501AAA20" w:rsidR="00114930" w:rsidRPr="00C2529F" w:rsidRDefault="00606CAC" w:rsidP="00114930">
      <w:pPr>
        <w:pStyle w:val="Maintext"/>
        <w:rPr>
          <w:sz w:val="20"/>
          <w:szCs w:val="20"/>
          <w:lang w:val="en-US"/>
        </w:rPr>
      </w:pPr>
      <w:r>
        <w:rPr>
          <w:sz w:val="20"/>
          <w:szCs w:val="20"/>
          <w:lang w:val="en-US"/>
        </w:rPr>
        <w:t>T</w:t>
      </w:r>
      <w:r w:rsidR="00114930" w:rsidRPr="00C2529F">
        <w:rPr>
          <w:sz w:val="20"/>
          <w:szCs w:val="20"/>
          <w:lang w:val="en-US"/>
        </w:rPr>
        <w:t xml:space="preserve">he </w:t>
      </w:r>
      <w:r w:rsidR="00114930">
        <w:rPr>
          <w:sz w:val="20"/>
          <w:szCs w:val="20"/>
          <w:lang w:val="en-US"/>
        </w:rPr>
        <w:t xml:space="preserve">IFRS AU Taxonomy </w:t>
      </w:r>
      <w:r w:rsidR="009A4824">
        <w:rPr>
          <w:sz w:val="20"/>
          <w:szCs w:val="20"/>
          <w:lang w:val="en-US"/>
        </w:rPr>
        <w:t>2025</w:t>
      </w:r>
      <w:r w:rsidR="00114930" w:rsidRPr="00C2529F">
        <w:rPr>
          <w:sz w:val="20"/>
          <w:szCs w:val="20"/>
          <w:lang w:val="en-US"/>
        </w:rPr>
        <w:t xml:space="preserve"> includes ELRs that are alternative in nature – such as “[210000] – Statement of financial position, current/non-current” and “[220000] – Statement of financial position, order of liquidity” – and that the unnecessary ELRs cannot be eliminated </w:t>
      </w:r>
      <w:r w:rsidR="004E2F08">
        <w:rPr>
          <w:sz w:val="20"/>
          <w:szCs w:val="20"/>
          <w:lang w:val="en-US"/>
        </w:rPr>
        <w:t>(as</w:t>
      </w:r>
      <w:r w:rsidR="00114930" w:rsidRPr="00C2529F">
        <w:rPr>
          <w:sz w:val="20"/>
          <w:szCs w:val="20"/>
          <w:lang w:val="en-US"/>
        </w:rPr>
        <w:t xml:space="preserve"> </w:t>
      </w:r>
      <w:r w:rsidR="00114930">
        <w:rPr>
          <w:sz w:val="20"/>
          <w:szCs w:val="20"/>
          <w:lang w:val="en-US"/>
        </w:rPr>
        <w:t>preparer's customisation</w:t>
      </w:r>
      <w:r w:rsidR="00114930" w:rsidRPr="00C2529F">
        <w:rPr>
          <w:sz w:val="20"/>
          <w:szCs w:val="20"/>
          <w:lang w:val="en-US"/>
        </w:rPr>
        <w:t xml:space="preserve"> </w:t>
      </w:r>
      <w:r w:rsidR="00114930">
        <w:rPr>
          <w:sz w:val="20"/>
          <w:szCs w:val="20"/>
          <w:lang w:val="en-US"/>
        </w:rPr>
        <w:t>is</w:t>
      </w:r>
      <w:r w:rsidR="00114930" w:rsidRPr="00C2529F">
        <w:rPr>
          <w:sz w:val="20"/>
          <w:szCs w:val="20"/>
          <w:lang w:val="en-US"/>
        </w:rPr>
        <w:t xml:space="preserve"> not allowed</w:t>
      </w:r>
      <w:r w:rsidR="004E2F08">
        <w:rPr>
          <w:sz w:val="20"/>
          <w:szCs w:val="20"/>
          <w:lang w:val="en-US"/>
        </w:rPr>
        <w:t>)</w:t>
      </w:r>
      <w:r w:rsidR="00114930" w:rsidRPr="00C2529F">
        <w:rPr>
          <w:sz w:val="20"/>
          <w:szCs w:val="20"/>
          <w:lang w:val="en-US"/>
        </w:rPr>
        <w:t xml:space="preserve"> will trigger </w:t>
      </w:r>
      <w:r w:rsidR="00114930">
        <w:rPr>
          <w:sz w:val="20"/>
          <w:szCs w:val="20"/>
          <w:lang w:val="en-US"/>
        </w:rPr>
        <w:t xml:space="preserve">warnings for </w:t>
      </w:r>
      <w:r w:rsidR="00114930" w:rsidRPr="00C2529F">
        <w:rPr>
          <w:sz w:val="20"/>
          <w:szCs w:val="20"/>
          <w:lang w:val="en-US"/>
        </w:rPr>
        <w:t>calculation inconsistencies</w:t>
      </w:r>
      <w:r w:rsidR="004E2F08">
        <w:rPr>
          <w:sz w:val="20"/>
          <w:szCs w:val="20"/>
          <w:lang w:val="en-US"/>
        </w:rPr>
        <w:t>.</w:t>
      </w:r>
      <w:r w:rsidR="00114930" w:rsidRPr="00C2529F">
        <w:rPr>
          <w:sz w:val="20"/>
          <w:szCs w:val="20"/>
          <w:lang w:val="en-US"/>
        </w:rPr>
        <w:t xml:space="preserve"> </w:t>
      </w:r>
      <w:r w:rsidR="004E2F08">
        <w:rPr>
          <w:sz w:val="20"/>
          <w:szCs w:val="20"/>
          <w:lang w:val="en-US"/>
        </w:rPr>
        <w:t>These warnings</w:t>
      </w:r>
      <w:r w:rsidR="00114930" w:rsidRPr="00C2529F">
        <w:rPr>
          <w:sz w:val="20"/>
          <w:szCs w:val="20"/>
          <w:lang w:val="en-US"/>
        </w:rPr>
        <w:t xml:space="preserve"> </w:t>
      </w:r>
      <w:r w:rsidR="00114930">
        <w:rPr>
          <w:sz w:val="20"/>
          <w:szCs w:val="20"/>
          <w:lang w:val="en-US"/>
        </w:rPr>
        <w:t>can</w:t>
      </w:r>
      <w:r w:rsidR="00114930" w:rsidRPr="00C2529F">
        <w:rPr>
          <w:sz w:val="20"/>
          <w:szCs w:val="20"/>
          <w:lang w:val="en-US"/>
        </w:rPr>
        <w:t xml:space="preserve"> be ignored. </w:t>
      </w:r>
    </w:p>
    <w:p w14:paraId="2DA8B2E4" w14:textId="77777777" w:rsidR="00114930" w:rsidRPr="00C2529F" w:rsidRDefault="00114930" w:rsidP="00114930">
      <w:pPr>
        <w:pStyle w:val="Maintext"/>
        <w:rPr>
          <w:sz w:val="20"/>
          <w:szCs w:val="20"/>
          <w:lang w:val="en-US"/>
        </w:rPr>
      </w:pPr>
    </w:p>
    <w:p w14:paraId="3BE396B1" w14:textId="123EE408" w:rsidR="00114930" w:rsidRPr="00C2529F" w:rsidRDefault="00114930" w:rsidP="00114930">
      <w:pPr>
        <w:pStyle w:val="Maintext"/>
        <w:rPr>
          <w:sz w:val="20"/>
          <w:szCs w:val="20"/>
          <w:lang w:val="en-US"/>
        </w:rPr>
      </w:pPr>
      <w:r>
        <w:rPr>
          <w:sz w:val="20"/>
          <w:szCs w:val="20"/>
          <w:lang w:val="en-US"/>
        </w:rPr>
        <w:t>The above calculation errors</w:t>
      </w:r>
      <w:r w:rsidRPr="00C2529F">
        <w:rPr>
          <w:sz w:val="20"/>
          <w:szCs w:val="20"/>
          <w:lang w:val="en-US"/>
        </w:rPr>
        <w:t xml:space="preserve"> happen when two alternative ELRs have some common concepts. </w:t>
      </w:r>
      <w:r>
        <w:rPr>
          <w:sz w:val="20"/>
          <w:szCs w:val="20"/>
          <w:lang w:val="en-US"/>
        </w:rPr>
        <w:t>F</w:t>
      </w:r>
      <w:r w:rsidRPr="00C2529F">
        <w:rPr>
          <w:sz w:val="20"/>
          <w:szCs w:val="20"/>
          <w:lang w:val="en-US"/>
        </w:rPr>
        <w:t xml:space="preserve">or example, an entity that decides to use the “[210000] - Statement of financial position, current/non-current” ELR. The entity will provide facts in the instance document for all the concepts in that ELR, but some of those concepts </w:t>
      </w:r>
      <w:r w:rsidR="004E2F08">
        <w:rPr>
          <w:sz w:val="20"/>
          <w:szCs w:val="20"/>
          <w:lang w:val="en-US"/>
        </w:rPr>
        <w:t xml:space="preserve">(not all) </w:t>
      </w:r>
      <w:r w:rsidRPr="00C2529F">
        <w:rPr>
          <w:sz w:val="20"/>
          <w:szCs w:val="20"/>
          <w:lang w:val="en-US"/>
        </w:rPr>
        <w:t>are also included in the alternative ““[220000] – Statement of financial position, order of liquidity” ELR</w:t>
      </w:r>
      <w:r w:rsidR="004E2F08">
        <w:rPr>
          <w:sz w:val="20"/>
          <w:szCs w:val="20"/>
          <w:lang w:val="en-US"/>
        </w:rPr>
        <w:t>. Because facts are only partially included in [220000], there will be calculation error warnings.</w:t>
      </w:r>
    </w:p>
    <w:p w14:paraId="2518D12E" w14:textId="77777777" w:rsidR="00114930" w:rsidRDefault="00114930" w:rsidP="00114930">
      <w:pPr>
        <w:pStyle w:val="Maintext"/>
        <w:rPr>
          <w:b/>
        </w:rPr>
      </w:pPr>
    </w:p>
    <w:p w14:paraId="441D9320" w14:textId="77777777" w:rsidR="00114930" w:rsidRPr="009E6F33" w:rsidRDefault="00114930" w:rsidP="00114930">
      <w:pPr>
        <w:pStyle w:val="Maintext"/>
        <w:rPr>
          <w:sz w:val="20"/>
          <w:szCs w:val="20"/>
          <w:lang w:val="en-US"/>
        </w:rPr>
      </w:pPr>
      <w:r w:rsidRPr="009E6F33">
        <w:rPr>
          <w:sz w:val="20"/>
          <w:szCs w:val="20"/>
          <w:lang w:val="en-US"/>
        </w:rPr>
        <w:t>P</w:t>
      </w:r>
      <w:r>
        <w:rPr>
          <w:sz w:val="20"/>
          <w:szCs w:val="20"/>
          <w:lang w:val="en-US"/>
        </w:rPr>
        <w:t xml:space="preserve">reparer should ensure that the instance document (XBRL or iXBRL) should only contain facts (data) that are relevant for the reporting entity as identified by the entity identifier. </w:t>
      </w:r>
    </w:p>
    <w:p w14:paraId="2B543722" w14:textId="77777777" w:rsidR="00945C03" w:rsidRPr="00872BC0" w:rsidRDefault="00945C03" w:rsidP="00872BC0">
      <w:pPr>
        <w:pStyle w:val="Maintext"/>
      </w:pPr>
    </w:p>
    <w:p w14:paraId="58D3D7E9" w14:textId="77777777" w:rsidR="00872BC0" w:rsidRDefault="00872BC0" w:rsidP="00945C03">
      <w:pPr>
        <w:pStyle w:val="Head3"/>
        <w:numPr>
          <w:ilvl w:val="0"/>
          <w:numId w:val="0"/>
        </w:numPr>
        <w:rPr>
          <w:b w:val="0"/>
        </w:rPr>
      </w:pPr>
    </w:p>
    <w:p w14:paraId="520EE733" w14:textId="77777777" w:rsidR="00945C03" w:rsidRDefault="00945C03" w:rsidP="00945C03">
      <w:pPr>
        <w:pStyle w:val="Maintext"/>
      </w:pPr>
    </w:p>
    <w:p w14:paraId="20C87C66" w14:textId="77777777" w:rsidR="00945C03" w:rsidRPr="000F69D8" w:rsidRDefault="00945C03" w:rsidP="00945C03">
      <w:pPr>
        <w:pStyle w:val="Maintext"/>
        <w:sectPr w:rsidR="00945C03" w:rsidRPr="000F69D8" w:rsidSect="00643A94">
          <w:pgSz w:w="11906" w:h="16838" w:code="9"/>
          <w:pgMar w:top="1814" w:right="566" w:bottom="1418" w:left="1276" w:header="425" w:footer="680" w:gutter="0"/>
          <w:cols w:space="708"/>
          <w:formProt w:val="0"/>
          <w:docGrid w:linePitch="360"/>
        </w:sectPr>
      </w:pPr>
    </w:p>
    <w:p w14:paraId="3548B174" w14:textId="7737F21A" w:rsidR="00312B02" w:rsidRDefault="00612857" w:rsidP="00612857">
      <w:pPr>
        <w:pStyle w:val="Head1"/>
        <w:numPr>
          <w:ilvl w:val="0"/>
          <w:numId w:val="0"/>
        </w:numPr>
        <w:rPr>
          <w:lang w:val="en-US"/>
        </w:rPr>
      </w:pPr>
      <w:bookmarkStart w:id="253" w:name="_Toc262109046"/>
      <w:bookmarkStart w:id="254" w:name="_Toc262109149"/>
      <w:bookmarkStart w:id="255" w:name="_Toc262109251"/>
      <w:bookmarkStart w:id="256" w:name="_Toc262109047"/>
      <w:bookmarkStart w:id="257" w:name="_Toc262109150"/>
      <w:bookmarkStart w:id="258" w:name="_Toc262109252"/>
      <w:bookmarkStart w:id="259" w:name="_Toc262109048"/>
      <w:bookmarkStart w:id="260" w:name="_Toc262109151"/>
      <w:bookmarkStart w:id="261" w:name="_Toc262109253"/>
      <w:bookmarkStart w:id="262" w:name="_Toc261933148"/>
      <w:bookmarkStart w:id="263" w:name="_Toc261934219"/>
      <w:bookmarkStart w:id="264" w:name="_Toc261934398"/>
      <w:bookmarkStart w:id="265" w:name="_Toc261934576"/>
      <w:bookmarkStart w:id="266" w:name="_Toc261934753"/>
      <w:bookmarkStart w:id="267" w:name="_Toc261935213"/>
      <w:bookmarkStart w:id="268" w:name="_Toc261935311"/>
      <w:bookmarkStart w:id="269" w:name="_Toc261935411"/>
      <w:bookmarkStart w:id="270" w:name="_Toc261937621"/>
      <w:bookmarkStart w:id="271" w:name="_Toc261961171"/>
      <w:bookmarkStart w:id="272" w:name="_Toc262109049"/>
      <w:bookmarkStart w:id="273" w:name="_Toc262109152"/>
      <w:bookmarkStart w:id="274" w:name="_Toc262109254"/>
      <w:bookmarkStart w:id="275" w:name="_Toc261933149"/>
      <w:bookmarkStart w:id="276" w:name="_Toc261934220"/>
      <w:bookmarkStart w:id="277" w:name="_Toc261934399"/>
      <w:bookmarkStart w:id="278" w:name="_Toc261934577"/>
      <w:bookmarkStart w:id="279" w:name="_Toc261934754"/>
      <w:bookmarkStart w:id="280" w:name="_Toc261935214"/>
      <w:bookmarkStart w:id="281" w:name="_Toc261935312"/>
      <w:bookmarkStart w:id="282" w:name="_Toc261935412"/>
      <w:bookmarkStart w:id="283" w:name="_Toc261937622"/>
      <w:bookmarkStart w:id="284" w:name="_Toc261961172"/>
      <w:bookmarkStart w:id="285" w:name="_Toc262109050"/>
      <w:bookmarkStart w:id="286" w:name="_Toc262109153"/>
      <w:bookmarkStart w:id="287" w:name="_Toc262109255"/>
      <w:bookmarkStart w:id="288" w:name="_Toc261933157"/>
      <w:bookmarkStart w:id="289" w:name="_Toc261934228"/>
      <w:bookmarkStart w:id="290" w:name="_Toc261934407"/>
      <w:bookmarkStart w:id="291" w:name="_Toc261934585"/>
      <w:bookmarkStart w:id="292" w:name="_Toc261934762"/>
      <w:bookmarkStart w:id="293" w:name="_Toc261935222"/>
      <w:bookmarkStart w:id="294" w:name="_Toc261935320"/>
      <w:bookmarkStart w:id="295" w:name="_Toc261935420"/>
      <w:bookmarkStart w:id="296" w:name="_Toc261937630"/>
      <w:bookmarkStart w:id="297" w:name="_Toc261961180"/>
      <w:bookmarkStart w:id="298" w:name="_Toc262109058"/>
      <w:bookmarkStart w:id="299" w:name="_Toc262109161"/>
      <w:bookmarkStart w:id="300" w:name="_Toc262109263"/>
      <w:bookmarkStart w:id="301" w:name="_Toc261933158"/>
      <w:bookmarkStart w:id="302" w:name="_Toc261934229"/>
      <w:bookmarkStart w:id="303" w:name="_Toc261934408"/>
      <w:bookmarkStart w:id="304" w:name="_Toc261934586"/>
      <w:bookmarkStart w:id="305" w:name="_Toc261934763"/>
      <w:bookmarkStart w:id="306" w:name="_Toc261935223"/>
      <w:bookmarkStart w:id="307" w:name="_Toc261935321"/>
      <w:bookmarkStart w:id="308" w:name="_Toc261935421"/>
      <w:bookmarkStart w:id="309" w:name="_Toc261937631"/>
      <w:bookmarkStart w:id="310" w:name="_Toc261961181"/>
      <w:bookmarkStart w:id="311" w:name="_Toc262109059"/>
      <w:bookmarkStart w:id="312" w:name="_Toc262109162"/>
      <w:bookmarkStart w:id="313" w:name="_Toc262109264"/>
      <w:bookmarkStart w:id="314" w:name="_Toc261933159"/>
      <w:bookmarkStart w:id="315" w:name="_Toc261934230"/>
      <w:bookmarkStart w:id="316" w:name="_Toc261934409"/>
      <w:bookmarkStart w:id="317" w:name="_Toc261934587"/>
      <w:bookmarkStart w:id="318" w:name="_Toc261934764"/>
      <w:bookmarkStart w:id="319" w:name="_Toc261935224"/>
      <w:bookmarkStart w:id="320" w:name="_Toc261935322"/>
      <w:bookmarkStart w:id="321" w:name="_Toc261935422"/>
      <w:bookmarkStart w:id="322" w:name="_Toc261937632"/>
      <w:bookmarkStart w:id="323" w:name="_Toc261961182"/>
      <w:bookmarkStart w:id="324" w:name="_Toc262109060"/>
      <w:bookmarkStart w:id="325" w:name="_Toc262109163"/>
      <w:bookmarkStart w:id="326" w:name="_Toc262109265"/>
      <w:bookmarkStart w:id="327" w:name="_Toc261933161"/>
      <w:bookmarkStart w:id="328" w:name="_Toc261934232"/>
      <w:bookmarkStart w:id="329" w:name="_Toc261934411"/>
      <w:bookmarkStart w:id="330" w:name="_Toc261934589"/>
      <w:bookmarkStart w:id="331" w:name="_Toc261934766"/>
      <w:bookmarkStart w:id="332" w:name="_Toc261935226"/>
      <w:bookmarkStart w:id="333" w:name="_Toc261935324"/>
      <w:bookmarkStart w:id="334" w:name="_Toc261935424"/>
      <w:bookmarkStart w:id="335" w:name="_Toc261937634"/>
      <w:bookmarkStart w:id="336" w:name="_Toc261961184"/>
      <w:bookmarkStart w:id="337" w:name="_Toc262109063"/>
      <w:bookmarkStart w:id="338" w:name="_Toc262109166"/>
      <w:bookmarkStart w:id="339" w:name="_Toc262109268"/>
      <w:bookmarkStart w:id="340" w:name="_Toc261933178"/>
      <w:bookmarkStart w:id="341" w:name="_Toc261934252"/>
      <w:bookmarkStart w:id="342" w:name="_Toc261934431"/>
      <w:bookmarkStart w:id="343" w:name="_Toc261934609"/>
      <w:bookmarkStart w:id="344" w:name="_Toc261934786"/>
      <w:bookmarkStart w:id="345" w:name="_Toc261935246"/>
      <w:bookmarkStart w:id="346" w:name="_Toc261935344"/>
      <w:bookmarkStart w:id="347" w:name="_Toc261935444"/>
      <w:bookmarkStart w:id="348" w:name="_Toc261937654"/>
      <w:bookmarkStart w:id="349" w:name="_Toc261961204"/>
      <w:bookmarkStart w:id="350" w:name="_Toc262109085"/>
      <w:bookmarkStart w:id="351" w:name="_Toc262109188"/>
      <w:bookmarkStart w:id="352" w:name="_Toc262109290"/>
      <w:bookmarkStart w:id="353" w:name="_Toc20545798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sidRPr="00612857">
        <w:rPr>
          <w:lang w:val="en-US"/>
        </w:rPr>
        <w:t xml:space="preserve">Appendix </w:t>
      </w:r>
      <w:r w:rsidR="005819BE">
        <w:rPr>
          <w:lang w:val="en-US"/>
        </w:rPr>
        <w:t>A</w:t>
      </w:r>
      <w:r w:rsidRPr="00612857">
        <w:rPr>
          <w:lang w:val="en-US"/>
        </w:rPr>
        <w:t xml:space="preserve"> – </w:t>
      </w:r>
      <w:r w:rsidR="00E845BF">
        <w:rPr>
          <w:noProof/>
        </w:rPr>
        <mc:AlternateContent>
          <mc:Choice Requires="wps">
            <w:drawing>
              <wp:anchor distT="0" distB="0" distL="114300" distR="114300" simplePos="0" relativeHeight="251704832" behindDoc="0" locked="0" layoutInCell="1" allowOverlap="1" wp14:anchorId="031136B0" wp14:editId="466BA44D">
                <wp:simplePos x="0" y="0"/>
                <wp:positionH relativeFrom="column">
                  <wp:posOffset>683895</wp:posOffset>
                </wp:positionH>
                <wp:positionV relativeFrom="paragraph">
                  <wp:posOffset>-6464300</wp:posOffset>
                </wp:positionV>
                <wp:extent cx="3886200" cy="685800"/>
                <wp:effectExtent l="0" t="0" r="0" b="0"/>
                <wp:wrapNone/>
                <wp:docPr id="3"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2521B" w14:textId="77777777" w:rsidR="00FE1052" w:rsidRDefault="00FE1052" w:rsidP="00612857">
                            <w:pPr>
                              <w:jc w:val="center"/>
                              <w:rPr>
                                <w:sz w:val="40"/>
                                <w:szCs w:val="40"/>
                              </w:rPr>
                            </w:pPr>
                            <w:r w:rsidRPr="001552FF">
                              <w:rPr>
                                <w:sz w:val="40"/>
                                <w:szCs w:val="40"/>
                              </w:rPr>
                              <w:t xml:space="preserve">Financial Report </w:t>
                            </w:r>
                          </w:p>
                          <w:p w14:paraId="0404BB44" w14:textId="77777777" w:rsidR="00FE1052" w:rsidRPr="001552FF" w:rsidRDefault="00FE1052" w:rsidP="00612857">
                            <w:pPr>
                              <w:jc w:val="center"/>
                              <w:rPr>
                                <w:sz w:val="40"/>
                                <w:szCs w:val="40"/>
                              </w:rPr>
                            </w:pPr>
                            <w:r w:rsidRPr="001552FF">
                              <w:rPr>
                                <w:sz w:val="40"/>
                                <w:szCs w:val="40"/>
                              </w:rPr>
                              <w:t>Implementation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136B0" id="Text Box 416" o:spid="_x0000_s1027" type="#_x0000_t202" style="position:absolute;margin-left:53.85pt;margin-top:-509pt;width:306pt;height:5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" filled="f" stroked="f">
                <v:textbox>
                  <w:txbxContent>
                    <w:p w14:paraId="70B2521B" w14:textId="77777777" w:rsidR="00FE1052" w:rsidRDefault="00FE1052" w:rsidP="00612857">
                      <w:pPr>
                        <w:jc w:val="center"/>
                        <w:rPr>
                          <w:sz w:val="40"/>
                          <w:szCs w:val="40"/>
                        </w:rPr>
                      </w:pPr>
                      <w:r w:rsidRPr="001552FF">
                        <w:rPr>
                          <w:sz w:val="40"/>
                          <w:szCs w:val="40"/>
                        </w:rPr>
                        <w:t xml:space="preserve">Financial Report </w:t>
                      </w:r>
                    </w:p>
                    <w:p w14:paraId="0404BB44" w14:textId="77777777" w:rsidR="00FE1052" w:rsidRPr="001552FF" w:rsidRDefault="00FE1052" w:rsidP="00612857">
                      <w:pPr>
                        <w:jc w:val="center"/>
                        <w:rPr>
                          <w:sz w:val="40"/>
                          <w:szCs w:val="40"/>
                        </w:rPr>
                      </w:pPr>
                      <w:r w:rsidRPr="001552FF">
                        <w:rPr>
                          <w:sz w:val="40"/>
                          <w:szCs w:val="40"/>
                        </w:rPr>
                        <w:t>Implementation Guide</w:t>
                      </w:r>
                    </w:p>
                  </w:txbxContent>
                </v:textbox>
              </v:shape>
            </w:pict>
          </mc:Fallback>
        </mc:AlternateContent>
      </w:r>
      <w:r w:rsidR="00FC3CEC">
        <w:rPr>
          <w:lang w:val="en-US"/>
        </w:rPr>
        <w:t xml:space="preserve">IFRS AU Taxonomy </w:t>
      </w:r>
      <w:r w:rsidR="009A4824">
        <w:rPr>
          <w:lang w:val="en-US"/>
        </w:rPr>
        <w:t>2025</w:t>
      </w:r>
      <w:r>
        <w:rPr>
          <w:lang w:val="en-US"/>
        </w:rPr>
        <w:t xml:space="preserve"> </w:t>
      </w:r>
      <w:r w:rsidR="005D6D72">
        <w:rPr>
          <w:lang w:val="en-US"/>
        </w:rPr>
        <w:t>I</w:t>
      </w:r>
      <w:r>
        <w:rPr>
          <w:lang w:val="en-US"/>
        </w:rPr>
        <w:t>llustration</w:t>
      </w:r>
      <w:bookmarkEnd w:id="353"/>
    </w:p>
    <w:p w14:paraId="40CC7E6A" w14:textId="77777777" w:rsidR="0042038A" w:rsidRPr="0042038A" w:rsidRDefault="0042038A" w:rsidP="0042038A">
      <w:pPr>
        <w:pStyle w:val="Maintext"/>
        <w:rPr>
          <w:b/>
        </w:rPr>
      </w:pPr>
      <w:r w:rsidRPr="0042038A">
        <w:rPr>
          <w:b/>
        </w:rPr>
        <w:t>Introduction</w:t>
      </w:r>
    </w:p>
    <w:p w14:paraId="001A8918" w14:textId="160E7C06" w:rsidR="0042038A" w:rsidRPr="00727B0D" w:rsidRDefault="0042038A" w:rsidP="0042038A">
      <w:pPr>
        <w:pStyle w:val="Maintext"/>
        <w:rPr>
          <w:sz w:val="20"/>
          <w:szCs w:val="20"/>
        </w:rPr>
      </w:pPr>
      <w:r w:rsidRPr="00727B0D">
        <w:rPr>
          <w:sz w:val="20"/>
          <w:szCs w:val="20"/>
        </w:rPr>
        <w:t xml:space="preserve">This document provides a view of the </w:t>
      </w:r>
      <w:r w:rsidR="00FC3CEC">
        <w:rPr>
          <w:sz w:val="20"/>
          <w:szCs w:val="20"/>
        </w:rPr>
        <w:t xml:space="preserve">IFRS AU Taxonomy </w:t>
      </w:r>
      <w:r w:rsidR="009A4824">
        <w:rPr>
          <w:sz w:val="20"/>
          <w:szCs w:val="20"/>
        </w:rPr>
        <w:t>2025</w:t>
      </w:r>
      <w:r w:rsidR="002534BC">
        <w:rPr>
          <w:sz w:val="20"/>
          <w:szCs w:val="20"/>
        </w:rPr>
        <w:t xml:space="preserve"> </w:t>
      </w:r>
      <w:r w:rsidRPr="00727B0D">
        <w:rPr>
          <w:sz w:val="20"/>
          <w:szCs w:val="20"/>
        </w:rPr>
        <w:t>(organised according to financial statements).</w:t>
      </w:r>
      <w:r w:rsidR="00727B0D">
        <w:rPr>
          <w:sz w:val="20"/>
          <w:szCs w:val="20"/>
        </w:rPr>
        <w:t xml:space="preserve"> </w:t>
      </w:r>
      <w:r w:rsidR="00C1723F">
        <w:rPr>
          <w:sz w:val="20"/>
          <w:szCs w:val="20"/>
        </w:rPr>
        <w:t>Th</w:t>
      </w:r>
      <w:r w:rsidRPr="00727B0D">
        <w:rPr>
          <w:sz w:val="20"/>
          <w:szCs w:val="20"/>
        </w:rPr>
        <w:t xml:space="preserve">e </w:t>
      </w:r>
      <w:r w:rsidR="00FC3CEC">
        <w:rPr>
          <w:sz w:val="20"/>
          <w:szCs w:val="20"/>
        </w:rPr>
        <w:t xml:space="preserve">IFRS AU Taxonomy </w:t>
      </w:r>
      <w:r w:rsidR="009A4824">
        <w:rPr>
          <w:sz w:val="20"/>
          <w:szCs w:val="20"/>
        </w:rPr>
        <w:t>2025</w:t>
      </w:r>
      <w:r w:rsidR="00753C7B" w:rsidRPr="00727B0D">
        <w:rPr>
          <w:sz w:val="20"/>
          <w:szCs w:val="20"/>
        </w:rPr>
        <w:t xml:space="preserve"> </w:t>
      </w:r>
      <w:r w:rsidRPr="00727B0D">
        <w:rPr>
          <w:sz w:val="20"/>
          <w:szCs w:val="20"/>
        </w:rPr>
        <w:t xml:space="preserve">is composed of a set of electronic XBRL files, as a result it </w:t>
      </w:r>
      <w:r w:rsidR="00AD6431">
        <w:rPr>
          <w:sz w:val="20"/>
          <w:szCs w:val="20"/>
        </w:rPr>
        <w:t xml:space="preserve">will require relevant XBRL tools </w:t>
      </w:r>
      <w:r w:rsidRPr="00727B0D">
        <w:rPr>
          <w:sz w:val="20"/>
          <w:szCs w:val="20"/>
        </w:rPr>
        <w:t xml:space="preserve">to </w:t>
      </w:r>
      <w:r w:rsidR="00AD6431">
        <w:rPr>
          <w:sz w:val="20"/>
          <w:szCs w:val="20"/>
        </w:rPr>
        <w:t xml:space="preserve">view </w:t>
      </w:r>
      <w:r w:rsidR="00727B0D">
        <w:rPr>
          <w:sz w:val="20"/>
          <w:szCs w:val="20"/>
        </w:rPr>
        <w:t xml:space="preserve">the structure </w:t>
      </w:r>
      <w:r w:rsidR="00AD6431">
        <w:rPr>
          <w:sz w:val="20"/>
          <w:szCs w:val="20"/>
        </w:rPr>
        <w:t xml:space="preserve">and content </w:t>
      </w:r>
      <w:r w:rsidR="00727B0D">
        <w:rPr>
          <w:sz w:val="20"/>
          <w:szCs w:val="20"/>
        </w:rPr>
        <w:t>of the T</w:t>
      </w:r>
      <w:r w:rsidRPr="00727B0D">
        <w:rPr>
          <w:sz w:val="20"/>
          <w:szCs w:val="20"/>
        </w:rPr>
        <w:t xml:space="preserve">axonomy. </w:t>
      </w:r>
      <w:r w:rsidR="00727B0D">
        <w:rPr>
          <w:sz w:val="20"/>
          <w:szCs w:val="20"/>
        </w:rPr>
        <w:t>This</w:t>
      </w:r>
      <w:r w:rsidRPr="00727B0D">
        <w:rPr>
          <w:sz w:val="20"/>
          <w:szCs w:val="20"/>
        </w:rPr>
        <w:t xml:space="preserve"> illustration </w:t>
      </w:r>
      <w:r w:rsidR="00727B0D">
        <w:rPr>
          <w:sz w:val="20"/>
          <w:szCs w:val="20"/>
        </w:rPr>
        <w:t xml:space="preserve">is prepared </w:t>
      </w:r>
      <w:r w:rsidRPr="00727B0D">
        <w:rPr>
          <w:sz w:val="20"/>
          <w:szCs w:val="20"/>
        </w:rPr>
        <w:t xml:space="preserve">in a simplified and visual format to facilitate </w:t>
      </w:r>
      <w:r w:rsidR="00727B0D">
        <w:rPr>
          <w:sz w:val="20"/>
          <w:szCs w:val="20"/>
        </w:rPr>
        <w:t xml:space="preserve">a </w:t>
      </w:r>
      <w:r w:rsidRPr="00727B0D">
        <w:rPr>
          <w:sz w:val="20"/>
          <w:szCs w:val="20"/>
        </w:rPr>
        <w:t>review of the Taxonomy's contents and its structure</w:t>
      </w:r>
      <w:r w:rsidR="00AD6431">
        <w:rPr>
          <w:sz w:val="20"/>
          <w:szCs w:val="20"/>
        </w:rPr>
        <w:t xml:space="preserve"> without XBRL tools</w:t>
      </w:r>
      <w:r w:rsidRPr="00727B0D">
        <w:rPr>
          <w:sz w:val="20"/>
          <w:szCs w:val="20"/>
        </w:rPr>
        <w:t>. This illustration includes:</w:t>
      </w:r>
    </w:p>
    <w:p w14:paraId="150A165E" w14:textId="77777777" w:rsidR="0042038A" w:rsidRPr="00727B0D" w:rsidRDefault="0042038A" w:rsidP="00F069A2">
      <w:pPr>
        <w:pStyle w:val="Maintext"/>
        <w:numPr>
          <w:ilvl w:val="0"/>
          <w:numId w:val="35"/>
        </w:numPr>
        <w:rPr>
          <w:sz w:val="20"/>
          <w:szCs w:val="20"/>
        </w:rPr>
      </w:pPr>
      <w:r w:rsidRPr="00727B0D">
        <w:rPr>
          <w:sz w:val="20"/>
          <w:szCs w:val="20"/>
        </w:rPr>
        <w:t>The hierarchy, elements and s</w:t>
      </w:r>
      <w:r w:rsidR="00727B0D">
        <w:rPr>
          <w:sz w:val="20"/>
          <w:szCs w:val="20"/>
        </w:rPr>
        <w:t>tandard references of the IFRS T</w:t>
      </w:r>
      <w:r w:rsidRPr="00727B0D">
        <w:rPr>
          <w:sz w:val="20"/>
          <w:szCs w:val="20"/>
        </w:rPr>
        <w:t>axonomy. These elements represent IFRS disclosure requirements which are also adopted in Australia.</w:t>
      </w:r>
    </w:p>
    <w:p w14:paraId="3F08D3EA" w14:textId="65038500" w:rsidR="0042038A" w:rsidRPr="00727B0D" w:rsidRDefault="0042038A" w:rsidP="00F069A2">
      <w:pPr>
        <w:pStyle w:val="Maintext"/>
        <w:numPr>
          <w:ilvl w:val="0"/>
          <w:numId w:val="35"/>
        </w:numPr>
        <w:rPr>
          <w:sz w:val="20"/>
          <w:szCs w:val="20"/>
        </w:rPr>
      </w:pPr>
      <w:r w:rsidRPr="00727B0D">
        <w:rPr>
          <w:sz w:val="20"/>
          <w:szCs w:val="20"/>
        </w:rPr>
        <w:t>The hierarchy, elements and standard references of the Australia</w:t>
      </w:r>
      <w:r w:rsidR="00727B0D">
        <w:rPr>
          <w:sz w:val="20"/>
          <w:szCs w:val="20"/>
        </w:rPr>
        <w:t>n</w:t>
      </w:r>
      <w:r w:rsidRPr="00727B0D">
        <w:rPr>
          <w:sz w:val="20"/>
          <w:szCs w:val="20"/>
        </w:rPr>
        <w:t xml:space="preserve"> extension</w:t>
      </w:r>
      <w:r w:rsidR="00727B0D">
        <w:rPr>
          <w:sz w:val="20"/>
          <w:szCs w:val="20"/>
        </w:rPr>
        <w:t>s</w:t>
      </w:r>
      <w:r w:rsidRPr="00727B0D">
        <w:rPr>
          <w:sz w:val="20"/>
          <w:szCs w:val="20"/>
        </w:rPr>
        <w:t xml:space="preserve"> to the </w:t>
      </w:r>
      <w:r w:rsidR="00FC3CEC">
        <w:rPr>
          <w:sz w:val="20"/>
          <w:szCs w:val="20"/>
        </w:rPr>
        <w:t xml:space="preserve">IFRS Taxonomy </w:t>
      </w:r>
      <w:r w:rsidR="009A4824">
        <w:rPr>
          <w:sz w:val="20"/>
          <w:szCs w:val="20"/>
        </w:rPr>
        <w:t>2025</w:t>
      </w:r>
      <w:r w:rsidRPr="00727B0D">
        <w:rPr>
          <w:sz w:val="20"/>
          <w:szCs w:val="20"/>
        </w:rPr>
        <w:t xml:space="preserve">. These elements represent additional Australian disclosure requirements in accordance with relevant Australian Accounting Standards (AASB), </w:t>
      </w:r>
      <w:r w:rsidR="00A37510" w:rsidRPr="00727B0D">
        <w:rPr>
          <w:sz w:val="20"/>
          <w:szCs w:val="20"/>
        </w:rPr>
        <w:t>Act</w:t>
      </w:r>
      <w:r w:rsidRPr="00727B0D">
        <w:rPr>
          <w:sz w:val="20"/>
          <w:szCs w:val="20"/>
        </w:rPr>
        <w:t xml:space="preserve"> and ASX listing rules.</w:t>
      </w:r>
    </w:p>
    <w:p w14:paraId="50B68FF4" w14:textId="6E3D325C" w:rsidR="0042038A" w:rsidRPr="002534BC" w:rsidRDefault="00727B0D" w:rsidP="00F069A2">
      <w:pPr>
        <w:pStyle w:val="Maintext"/>
        <w:numPr>
          <w:ilvl w:val="0"/>
          <w:numId w:val="35"/>
        </w:numPr>
        <w:rPr>
          <w:sz w:val="20"/>
          <w:szCs w:val="20"/>
          <w:lang w:val="en-US"/>
        </w:rPr>
      </w:pPr>
      <w:r>
        <w:rPr>
          <w:sz w:val="20"/>
          <w:szCs w:val="20"/>
        </w:rPr>
        <w:t xml:space="preserve">The </w:t>
      </w:r>
      <w:r w:rsidR="00FC3CEC">
        <w:rPr>
          <w:sz w:val="20"/>
          <w:szCs w:val="20"/>
        </w:rPr>
        <w:t xml:space="preserve">IFRS AU Taxonomy </w:t>
      </w:r>
      <w:r w:rsidR="009A4824">
        <w:rPr>
          <w:sz w:val="20"/>
          <w:szCs w:val="20"/>
        </w:rPr>
        <w:t>2025</w:t>
      </w:r>
      <w:r w:rsidR="00753C7B" w:rsidRPr="00727B0D">
        <w:rPr>
          <w:sz w:val="20"/>
          <w:szCs w:val="20"/>
        </w:rPr>
        <w:t xml:space="preserve"> </w:t>
      </w:r>
      <w:r w:rsidR="0042038A" w:rsidRPr="00727B0D">
        <w:rPr>
          <w:sz w:val="20"/>
          <w:szCs w:val="20"/>
        </w:rPr>
        <w:t>reflect</w:t>
      </w:r>
      <w:r>
        <w:rPr>
          <w:sz w:val="20"/>
          <w:szCs w:val="20"/>
        </w:rPr>
        <w:t>s</w:t>
      </w:r>
      <w:r w:rsidR="0042038A" w:rsidRPr="00727B0D">
        <w:rPr>
          <w:sz w:val="20"/>
          <w:szCs w:val="20"/>
        </w:rPr>
        <w:t xml:space="preserve"> the requirements from accounting standards issued as at 1 January </w:t>
      </w:r>
      <w:r w:rsidR="009A4824">
        <w:rPr>
          <w:sz w:val="20"/>
          <w:szCs w:val="20"/>
        </w:rPr>
        <w:t>2025</w:t>
      </w:r>
      <w:r w:rsidR="0042038A" w:rsidRPr="00727B0D">
        <w:rPr>
          <w:sz w:val="20"/>
          <w:szCs w:val="20"/>
        </w:rPr>
        <w:t>.</w:t>
      </w:r>
    </w:p>
    <w:p w14:paraId="06BD6ECB" w14:textId="77777777" w:rsidR="002534BC" w:rsidRPr="00727B0D" w:rsidRDefault="002534BC" w:rsidP="00F069A2">
      <w:pPr>
        <w:pStyle w:val="Maintext"/>
        <w:numPr>
          <w:ilvl w:val="0"/>
          <w:numId w:val="35"/>
        </w:numPr>
        <w:rPr>
          <w:sz w:val="20"/>
          <w:szCs w:val="20"/>
          <w:lang w:val="en-US"/>
        </w:rPr>
      </w:pPr>
      <w:r w:rsidRPr="002534BC">
        <w:rPr>
          <w:bCs/>
          <w:iCs/>
          <w:sz w:val="20"/>
          <w:szCs w:val="20"/>
        </w:rPr>
        <w:t xml:space="preserve">The illustration </w:t>
      </w:r>
      <w:r w:rsidR="00ED48D3">
        <w:rPr>
          <w:bCs/>
          <w:iCs/>
          <w:sz w:val="20"/>
          <w:szCs w:val="20"/>
        </w:rPr>
        <w:t>is based on</w:t>
      </w:r>
      <w:r w:rsidR="00ED48D3" w:rsidRPr="002534BC">
        <w:rPr>
          <w:bCs/>
          <w:iCs/>
          <w:sz w:val="20"/>
          <w:szCs w:val="20"/>
        </w:rPr>
        <w:t xml:space="preserve"> </w:t>
      </w:r>
      <w:r w:rsidRPr="002534BC">
        <w:rPr>
          <w:bCs/>
          <w:iCs/>
          <w:sz w:val="20"/>
          <w:szCs w:val="20"/>
        </w:rPr>
        <w:t xml:space="preserve">the presentation linkbase of </w:t>
      </w:r>
      <w:r w:rsidR="008E0D42">
        <w:rPr>
          <w:bCs/>
          <w:iCs/>
          <w:sz w:val="20"/>
          <w:szCs w:val="20"/>
        </w:rPr>
        <w:t xml:space="preserve">the </w:t>
      </w:r>
      <w:r w:rsidRPr="002534BC">
        <w:rPr>
          <w:bCs/>
          <w:iCs/>
          <w:sz w:val="20"/>
          <w:szCs w:val="20"/>
        </w:rPr>
        <w:t xml:space="preserve">entry point </w:t>
      </w:r>
      <w:r w:rsidR="00ED48D3">
        <w:rPr>
          <w:bCs/>
          <w:iCs/>
          <w:sz w:val="20"/>
          <w:szCs w:val="20"/>
        </w:rPr>
        <w:t>one</w:t>
      </w:r>
      <w:r w:rsidR="008E0D42">
        <w:rPr>
          <w:bCs/>
          <w:iCs/>
          <w:sz w:val="20"/>
          <w:szCs w:val="20"/>
        </w:rPr>
        <w:t>.</w:t>
      </w:r>
    </w:p>
    <w:p w14:paraId="2C500B7C" w14:textId="77777777" w:rsidR="0042038A" w:rsidRPr="00727B0D" w:rsidRDefault="0042038A" w:rsidP="0042038A">
      <w:pPr>
        <w:pStyle w:val="Maintext"/>
        <w:rPr>
          <w:b/>
          <w:bCs/>
          <w:sz w:val="20"/>
          <w:szCs w:val="20"/>
        </w:rPr>
      </w:pPr>
    </w:p>
    <w:p w14:paraId="15D54E32" w14:textId="77777777" w:rsidR="0042038A" w:rsidRPr="0042038A" w:rsidRDefault="0042038A" w:rsidP="0042038A">
      <w:pPr>
        <w:pStyle w:val="Maintext"/>
        <w:rPr>
          <w:b/>
          <w:bCs/>
        </w:rPr>
      </w:pPr>
      <w:r w:rsidRPr="0042038A">
        <w:rPr>
          <w:b/>
          <w:bCs/>
        </w:rPr>
        <w:t>How to read this illustration?</w:t>
      </w:r>
    </w:p>
    <w:p w14:paraId="332585D8" w14:textId="77777777" w:rsidR="0042038A" w:rsidRPr="00727B0D" w:rsidRDefault="0042038A" w:rsidP="0042038A">
      <w:pPr>
        <w:pStyle w:val="Maintext"/>
        <w:rPr>
          <w:sz w:val="20"/>
          <w:szCs w:val="20"/>
        </w:rPr>
      </w:pPr>
    </w:p>
    <w:p w14:paraId="418C735B" w14:textId="77777777" w:rsidR="0042038A" w:rsidRPr="00727B0D" w:rsidRDefault="00645FFA" w:rsidP="0042038A">
      <w:pPr>
        <w:pStyle w:val="Maintext"/>
        <w:rPr>
          <w:sz w:val="20"/>
          <w:szCs w:val="20"/>
        </w:rPr>
      </w:pPr>
      <w:r>
        <w:rPr>
          <w:b/>
          <w:bCs/>
          <w:i/>
          <w:sz w:val="20"/>
          <w:szCs w:val="20"/>
        </w:rPr>
        <w:t xml:space="preserve">Column </w:t>
      </w:r>
      <w:r w:rsidR="005D550D">
        <w:rPr>
          <w:b/>
          <w:bCs/>
          <w:i/>
          <w:sz w:val="20"/>
          <w:szCs w:val="20"/>
        </w:rPr>
        <w:t xml:space="preserve">1 </w:t>
      </w:r>
      <w:r>
        <w:rPr>
          <w:b/>
          <w:bCs/>
          <w:i/>
          <w:sz w:val="20"/>
          <w:szCs w:val="20"/>
        </w:rPr>
        <w:t>(L</w:t>
      </w:r>
      <w:r w:rsidR="0042038A" w:rsidRPr="00727B0D">
        <w:rPr>
          <w:b/>
          <w:bCs/>
          <w:i/>
          <w:sz w:val="20"/>
          <w:szCs w:val="20"/>
        </w:rPr>
        <w:t xml:space="preserve">abel) </w:t>
      </w:r>
      <w:r w:rsidR="0042038A" w:rsidRPr="00727B0D">
        <w:rPr>
          <w:b/>
          <w:bCs/>
          <w:sz w:val="20"/>
          <w:szCs w:val="20"/>
        </w:rPr>
        <w:t xml:space="preserve">- </w:t>
      </w:r>
      <w:r w:rsidR="0042038A" w:rsidRPr="00727B0D">
        <w:rPr>
          <w:sz w:val="20"/>
          <w:szCs w:val="20"/>
        </w:rPr>
        <w:t>This column provides the name of each element and its presentation hierarchy in the taxonomy.</w:t>
      </w:r>
    </w:p>
    <w:p w14:paraId="44323343" w14:textId="77777777" w:rsidR="0042038A" w:rsidRPr="00727B0D" w:rsidRDefault="0042038A" w:rsidP="0042038A">
      <w:pPr>
        <w:pStyle w:val="Maintext"/>
        <w:rPr>
          <w:sz w:val="20"/>
          <w:szCs w:val="20"/>
        </w:rPr>
      </w:pPr>
    </w:p>
    <w:p w14:paraId="54E57CF0" w14:textId="77777777" w:rsidR="0042038A" w:rsidRPr="00727B0D" w:rsidRDefault="0042038A" w:rsidP="0042038A">
      <w:pPr>
        <w:pStyle w:val="Maintext"/>
        <w:rPr>
          <w:sz w:val="20"/>
          <w:szCs w:val="20"/>
        </w:rPr>
      </w:pPr>
      <w:r w:rsidRPr="00727B0D">
        <w:rPr>
          <w:b/>
          <w:bCs/>
          <w:i/>
          <w:sz w:val="20"/>
          <w:szCs w:val="20"/>
        </w:rPr>
        <w:t xml:space="preserve">Column </w:t>
      </w:r>
      <w:r w:rsidR="005D550D">
        <w:rPr>
          <w:b/>
          <w:bCs/>
          <w:i/>
          <w:sz w:val="20"/>
          <w:szCs w:val="20"/>
        </w:rPr>
        <w:t>2</w:t>
      </w:r>
      <w:r w:rsidR="005D550D" w:rsidRPr="00727B0D">
        <w:rPr>
          <w:b/>
          <w:bCs/>
          <w:i/>
          <w:sz w:val="20"/>
          <w:szCs w:val="20"/>
        </w:rPr>
        <w:t xml:space="preserve"> </w:t>
      </w:r>
      <w:r w:rsidRPr="00727B0D">
        <w:rPr>
          <w:b/>
          <w:bCs/>
          <w:i/>
          <w:sz w:val="20"/>
          <w:szCs w:val="20"/>
        </w:rPr>
        <w:t>(Type)</w:t>
      </w:r>
      <w:r w:rsidRPr="00727B0D">
        <w:rPr>
          <w:b/>
          <w:bCs/>
          <w:sz w:val="20"/>
          <w:szCs w:val="20"/>
        </w:rPr>
        <w:t xml:space="preserve"> - </w:t>
      </w:r>
      <w:r w:rsidRPr="00727B0D">
        <w:rPr>
          <w:sz w:val="20"/>
          <w:szCs w:val="20"/>
        </w:rPr>
        <w:t>This column provides the disclosure format of each element such as: text, text block, monetary, date, etc...</w:t>
      </w:r>
    </w:p>
    <w:p w14:paraId="02F6D6BD" w14:textId="77777777" w:rsidR="0042038A" w:rsidRPr="00727B0D" w:rsidRDefault="0042038A" w:rsidP="0042038A">
      <w:pPr>
        <w:pStyle w:val="Maintext"/>
        <w:rPr>
          <w:sz w:val="20"/>
          <w:szCs w:val="20"/>
        </w:rPr>
      </w:pPr>
    </w:p>
    <w:p w14:paraId="5298B214" w14:textId="77777777" w:rsidR="0042038A" w:rsidRPr="00727B0D" w:rsidRDefault="0042038A" w:rsidP="0042038A">
      <w:pPr>
        <w:pStyle w:val="Maintext"/>
        <w:rPr>
          <w:sz w:val="20"/>
          <w:szCs w:val="20"/>
        </w:rPr>
      </w:pPr>
      <w:r w:rsidRPr="00727B0D">
        <w:rPr>
          <w:b/>
          <w:bCs/>
          <w:i/>
          <w:sz w:val="20"/>
          <w:szCs w:val="20"/>
        </w:rPr>
        <w:t xml:space="preserve">Column </w:t>
      </w:r>
      <w:r w:rsidR="005D550D">
        <w:rPr>
          <w:b/>
          <w:bCs/>
          <w:i/>
          <w:sz w:val="20"/>
          <w:szCs w:val="20"/>
        </w:rPr>
        <w:t>3</w:t>
      </w:r>
      <w:r w:rsidRPr="00727B0D">
        <w:rPr>
          <w:b/>
          <w:bCs/>
          <w:i/>
          <w:sz w:val="20"/>
          <w:szCs w:val="20"/>
        </w:rPr>
        <w:t>(IFRS references)</w:t>
      </w:r>
      <w:r w:rsidRPr="00727B0D">
        <w:rPr>
          <w:b/>
          <w:bCs/>
          <w:sz w:val="20"/>
          <w:szCs w:val="20"/>
        </w:rPr>
        <w:t xml:space="preserve"> - </w:t>
      </w:r>
      <w:r w:rsidRPr="00727B0D">
        <w:rPr>
          <w:sz w:val="20"/>
          <w:szCs w:val="20"/>
        </w:rPr>
        <w:t>This column provides the IFRS reference of each element. These references are equivalent to AASB references</w:t>
      </w:r>
      <w:r w:rsidR="00727B0D">
        <w:rPr>
          <w:sz w:val="20"/>
          <w:szCs w:val="20"/>
        </w:rPr>
        <w:t xml:space="preserve"> because AASB references can be derived from IFRS references</w:t>
      </w:r>
      <w:r w:rsidRPr="00727B0D">
        <w:rPr>
          <w:sz w:val="20"/>
          <w:szCs w:val="20"/>
        </w:rPr>
        <w:t>. For example, the reference to IAS 7.31 should be equivalent to AASB107.31</w:t>
      </w:r>
    </w:p>
    <w:p w14:paraId="46F4838E" w14:textId="77777777" w:rsidR="0042038A" w:rsidRPr="00727B0D" w:rsidRDefault="0042038A" w:rsidP="0042038A">
      <w:pPr>
        <w:pStyle w:val="Maintext"/>
        <w:rPr>
          <w:sz w:val="20"/>
          <w:szCs w:val="20"/>
        </w:rPr>
      </w:pPr>
    </w:p>
    <w:p w14:paraId="2D67CAB5" w14:textId="77777777" w:rsidR="0042038A" w:rsidRPr="00727B0D" w:rsidRDefault="0042038A" w:rsidP="0042038A">
      <w:pPr>
        <w:pStyle w:val="Maintext"/>
        <w:rPr>
          <w:sz w:val="20"/>
          <w:szCs w:val="20"/>
        </w:rPr>
      </w:pPr>
      <w:r w:rsidRPr="00727B0D">
        <w:rPr>
          <w:b/>
          <w:bCs/>
          <w:i/>
          <w:sz w:val="20"/>
          <w:szCs w:val="20"/>
        </w:rPr>
        <w:t>Co</w:t>
      </w:r>
      <w:r w:rsidR="00645FFA">
        <w:rPr>
          <w:b/>
          <w:bCs/>
          <w:i/>
          <w:sz w:val="20"/>
          <w:szCs w:val="20"/>
        </w:rPr>
        <w:t xml:space="preserve">lumn </w:t>
      </w:r>
      <w:r w:rsidR="005D550D">
        <w:rPr>
          <w:b/>
          <w:bCs/>
          <w:i/>
          <w:sz w:val="20"/>
          <w:szCs w:val="20"/>
        </w:rPr>
        <w:t xml:space="preserve">4 </w:t>
      </w:r>
      <w:r w:rsidR="00645FFA">
        <w:rPr>
          <w:b/>
          <w:bCs/>
          <w:i/>
          <w:sz w:val="20"/>
          <w:szCs w:val="20"/>
        </w:rPr>
        <w:t>(Additional AU reference</w:t>
      </w:r>
      <w:r w:rsidRPr="00727B0D">
        <w:rPr>
          <w:b/>
          <w:bCs/>
          <w:i/>
          <w:sz w:val="20"/>
          <w:szCs w:val="20"/>
        </w:rPr>
        <w:t xml:space="preserve"> to IFRS elements) </w:t>
      </w:r>
      <w:r w:rsidRPr="00727B0D">
        <w:rPr>
          <w:sz w:val="20"/>
          <w:szCs w:val="20"/>
        </w:rPr>
        <w:t xml:space="preserve">- This column provides additional references to IFRS elements which are used for similar disclosure requirements in Australia. </w:t>
      </w:r>
    </w:p>
    <w:p w14:paraId="01D85FB8" w14:textId="77777777" w:rsidR="0042038A" w:rsidRPr="00727B0D" w:rsidRDefault="0042038A" w:rsidP="0042038A">
      <w:pPr>
        <w:pStyle w:val="Maintext"/>
        <w:rPr>
          <w:sz w:val="20"/>
          <w:szCs w:val="20"/>
        </w:rPr>
      </w:pPr>
    </w:p>
    <w:p w14:paraId="64DCC0C7" w14:textId="77777777" w:rsidR="0042038A" w:rsidRPr="00727B0D" w:rsidRDefault="0042038A" w:rsidP="0042038A">
      <w:pPr>
        <w:pStyle w:val="Maintext"/>
        <w:rPr>
          <w:sz w:val="20"/>
          <w:szCs w:val="20"/>
        </w:rPr>
      </w:pPr>
      <w:r w:rsidRPr="00727B0D">
        <w:rPr>
          <w:b/>
          <w:bCs/>
          <w:i/>
          <w:sz w:val="20"/>
          <w:szCs w:val="20"/>
        </w:rPr>
        <w:t>C</w:t>
      </w:r>
      <w:r w:rsidR="00645FFA">
        <w:rPr>
          <w:b/>
          <w:bCs/>
          <w:i/>
          <w:sz w:val="20"/>
          <w:szCs w:val="20"/>
        </w:rPr>
        <w:t xml:space="preserve">olumn </w:t>
      </w:r>
      <w:r w:rsidR="005D550D">
        <w:rPr>
          <w:b/>
          <w:bCs/>
          <w:i/>
          <w:sz w:val="20"/>
          <w:szCs w:val="20"/>
        </w:rPr>
        <w:t xml:space="preserve">5 </w:t>
      </w:r>
      <w:r w:rsidR="00645FFA">
        <w:rPr>
          <w:b/>
          <w:bCs/>
          <w:i/>
          <w:sz w:val="20"/>
          <w:szCs w:val="20"/>
        </w:rPr>
        <w:t>(AU Extension reference</w:t>
      </w:r>
      <w:r w:rsidRPr="00727B0D">
        <w:rPr>
          <w:b/>
          <w:bCs/>
          <w:i/>
          <w:sz w:val="20"/>
          <w:szCs w:val="20"/>
        </w:rPr>
        <w:t xml:space="preserve">) </w:t>
      </w:r>
      <w:r w:rsidRPr="00727B0D">
        <w:rPr>
          <w:b/>
          <w:bCs/>
          <w:sz w:val="20"/>
          <w:szCs w:val="20"/>
        </w:rPr>
        <w:t xml:space="preserve">- </w:t>
      </w:r>
      <w:r w:rsidRPr="00727B0D">
        <w:rPr>
          <w:sz w:val="20"/>
          <w:szCs w:val="20"/>
        </w:rPr>
        <w:t>This column provides accounting standard or legal references for Australian extension elements.</w:t>
      </w:r>
    </w:p>
    <w:p w14:paraId="03DC6F36" w14:textId="77777777" w:rsidR="0042038A" w:rsidRPr="00727B0D" w:rsidRDefault="0042038A" w:rsidP="0042038A">
      <w:pPr>
        <w:pStyle w:val="Maintext"/>
        <w:rPr>
          <w:sz w:val="20"/>
          <w:szCs w:val="20"/>
        </w:rPr>
      </w:pPr>
    </w:p>
    <w:p w14:paraId="3AA317BA" w14:textId="77777777" w:rsidR="008E0D42" w:rsidRDefault="008E0D42" w:rsidP="0042038A">
      <w:pPr>
        <w:pStyle w:val="Maintext"/>
        <w:rPr>
          <w:sz w:val="20"/>
          <w:szCs w:val="20"/>
        </w:rPr>
      </w:pPr>
    </w:p>
    <w:p w14:paraId="1DD1FB63" w14:textId="77777777" w:rsidR="005D6D72" w:rsidRDefault="005D6D72" w:rsidP="00612857">
      <w:pPr>
        <w:pStyle w:val="Maintext"/>
        <w:rPr>
          <w:lang w:val="en-US"/>
        </w:rPr>
      </w:pPr>
    </w:p>
    <w:p w14:paraId="1BA5BD04" w14:textId="77777777" w:rsidR="005D6D72" w:rsidRDefault="005D6D72" w:rsidP="00612857">
      <w:pPr>
        <w:pStyle w:val="Maintext"/>
        <w:rPr>
          <w:lang w:val="en-US"/>
        </w:rPr>
      </w:pPr>
    </w:p>
    <w:p w14:paraId="4050F0D6" w14:textId="77777777" w:rsidR="005D6D72" w:rsidRDefault="005D6D72" w:rsidP="00612857">
      <w:pPr>
        <w:pStyle w:val="Maintext"/>
        <w:rPr>
          <w:lang w:val="en-US"/>
        </w:rPr>
      </w:pPr>
    </w:p>
    <w:p w14:paraId="7C3405EC" w14:textId="77777777" w:rsidR="005D6D72" w:rsidRDefault="005D6D72" w:rsidP="00612857">
      <w:pPr>
        <w:pStyle w:val="Maintext"/>
        <w:rPr>
          <w:lang w:val="en-US"/>
        </w:rPr>
      </w:pPr>
    </w:p>
    <w:p w14:paraId="72D43A2C" w14:textId="77777777" w:rsidR="005D6D72" w:rsidRDefault="005D6D72" w:rsidP="00612857">
      <w:pPr>
        <w:pStyle w:val="Maintext"/>
        <w:rPr>
          <w:lang w:val="en-US"/>
        </w:rPr>
      </w:pPr>
    </w:p>
    <w:p w14:paraId="52C8AB89" w14:textId="77777777" w:rsidR="005D6D72" w:rsidRDefault="005D6D72" w:rsidP="00612857">
      <w:pPr>
        <w:pStyle w:val="Maintext"/>
        <w:rPr>
          <w:lang w:val="en-US"/>
        </w:rPr>
      </w:pPr>
    </w:p>
    <w:sectPr w:rsidR="005D6D72" w:rsidSect="00423952">
      <w:headerReference w:type="even" r:id="rId44"/>
      <w:headerReference w:type="default" r:id="rId45"/>
      <w:footerReference w:type="even" r:id="rId46"/>
      <w:footerReference w:type="default" r:id="rId47"/>
      <w:headerReference w:type="first" r:id="rId48"/>
      <w:footerReference w:type="first" r:id="rId49"/>
      <w:pgSz w:w="11906" w:h="16838" w:code="9"/>
      <w:pgMar w:top="993" w:right="1274" w:bottom="1134" w:left="1276"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64A3E" w14:textId="77777777" w:rsidR="00347CFE" w:rsidRDefault="00347CFE">
      <w:r>
        <w:separator/>
      </w:r>
    </w:p>
  </w:endnote>
  <w:endnote w:type="continuationSeparator" w:id="0">
    <w:p w14:paraId="33CD921E" w14:textId="77777777" w:rsidR="00347CFE" w:rsidRDefault="00347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
    <w:altName w:val="Arial"/>
    <w:panose1 w:val="020B0604020202030204"/>
    <w:charset w:val="00"/>
    <w:family w:val="swiss"/>
    <w:pitch w:val="variable"/>
    <w:sig w:usb0="00000003" w:usb1="00000000" w:usb2="00000000" w:usb3="00000000" w:csb0="00000001" w:csb1="00000000"/>
  </w:font>
  <w:font w:name="SwiftLT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52B22" w14:textId="5564FB4B" w:rsidR="00B40078" w:rsidRDefault="009274C1">
    <w:pPr>
      <w:pStyle w:val="Footer"/>
    </w:pPr>
    <w:r>
      <w:rPr>
        <w:noProof/>
      </w:rPr>
      <mc:AlternateContent>
        <mc:Choice Requires="wps">
          <w:drawing>
            <wp:anchor distT="0" distB="0" distL="0" distR="0" simplePos="0" relativeHeight="251696128" behindDoc="0" locked="0" layoutInCell="1" allowOverlap="1" wp14:anchorId="1E0956B9" wp14:editId="5A9658D9">
              <wp:simplePos x="635" y="635"/>
              <wp:positionH relativeFrom="page">
                <wp:align>center</wp:align>
              </wp:positionH>
              <wp:positionV relativeFrom="page">
                <wp:align>bottom</wp:align>
              </wp:positionV>
              <wp:extent cx="599440" cy="344805"/>
              <wp:effectExtent l="0" t="0" r="10160" b="0"/>
              <wp:wrapNone/>
              <wp:docPr id="1548785055"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1D54A5E0" w14:textId="536C570B"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0956B9" id="_x0000_t202" coordsize="21600,21600" o:spt="202" path="m,l,21600r21600,l21600,xe">
              <v:stroke joinstyle="miter"/>
              <v:path gradientshapeok="t" o:connecttype="rect"/>
            </v:shapetype>
            <v:shape id="Text Box 14" o:spid="_x0000_s1030" type="#_x0000_t202" alt="OFFICIAL" style="position:absolute;margin-left:0;margin-top:0;width:47.2pt;height:27.15pt;z-index:251696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ubDQIAABw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" filled="f" stroked="f">
              <v:fill o:detectmouseclick="t"/>
              <v:textbox style="mso-fit-shape-to-text:t" inset="0,0,0,15pt">
                <w:txbxContent>
                  <w:p w14:paraId="1D54A5E0" w14:textId="536C570B"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BDA27" w14:textId="7965A161" w:rsidR="00B40078" w:rsidRDefault="009274C1">
    <w:pPr>
      <w:pStyle w:val="Footer"/>
    </w:pPr>
    <w:r>
      <w:rPr>
        <w:noProof/>
      </w:rPr>
      <mc:AlternateContent>
        <mc:Choice Requires="wps">
          <w:drawing>
            <wp:anchor distT="0" distB="0" distL="0" distR="0" simplePos="0" relativeHeight="251705344" behindDoc="0" locked="0" layoutInCell="1" allowOverlap="1" wp14:anchorId="4AED095D" wp14:editId="214E6B6B">
              <wp:simplePos x="635" y="635"/>
              <wp:positionH relativeFrom="page">
                <wp:align>center</wp:align>
              </wp:positionH>
              <wp:positionV relativeFrom="page">
                <wp:align>bottom</wp:align>
              </wp:positionV>
              <wp:extent cx="599440" cy="344805"/>
              <wp:effectExtent l="0" t="0" r="10160" b="0"/>
              <wp:wrapNone/>
              <wp:docPr id="1574188140"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77BEEA12" w14:textId="7226AF7F"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ED095D" id="_x0000_t202" coordsize="21600,21600" o:spt="202" path="m,l,21600r21600,l21600,xe">
              <v:stroke joinstyle="miter"/>
              <v:path gradientshapeok="t" o:connecttype="rect"/>
            </v:shapetype>
            <v:shape id="Text Box 23" o:spid="_x0000_s1048" type="#_x0000_t202" alt="OFFICIAL" style="position:absolute;margin-left:0;margin-top:0;width:47.2pt;height:27.15pt;z-index:2517053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CcH+IUDgIAAB0E&#10;AAAOAAAAAAAAAAAAAAAAAC4CAABkcnMvZTJvRG9jLnhtbFBLAQItABQABgAIAAAAIQAd+bPT2gAA&#10;AAMBAAAPAAAAAAAAAAAAAAAAAGgEAABkcnMvZG93bnJldi54bWxQSwUGAAAAAAQABADzAAAAbwUA&#10;AAAA&#10;" filled="f" stroked="f">
              <v:fill o:detectmouseclick="t"/>
              <v:textbox style="mso-fit-shape-to-text:t" inset="0,0,0,15pt">
                <w:txbxContent>
                  <w:p w14:paraId="77BEEA12" w14:textId="7226AF7F"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DE101" w14:textId="1BACB85B" w:rsidR="00FE1052" w:rsidRPr="009A241C" w:rsidRDefault="009274C1" w:rsidP="000E5315">
    <w:pPr>
      <w:pStyle w:val="FooterPortrait"/>
      <w:pBdr>
        <w:top w:val="single" w:sz="4" w:space="1" w:color="auto"/>
      </w:pBdr>
      <w:tabs>
        <w:tab w:val="clear" w:pos="1021"/>
        <w:tab w:val="center" w:pos="4730"/>
        <w:tab w:val="left" w:pos="7938"/>
      </w:tabs>
      <w:rPr>
        <w:color w:val="335876"/>
      </w:rPr>
    </w:pPr>
    <w:r>
      <w:rPr>
        <w:noProof/>
        <w:color w:val="335876"/>
      </w:rPr>
      <mc:AlternateContent>
        <mc:Choice Requires="wps">
          <w:drawing>
            <wp:anchor distT="0" distB="0" distL="0" distR="0" simplePos="0" relativeHeight="251706368" behindDoc="0" locked="0" layoutInCell="1" allowOverlap="1" wp14:anchorId="4C2942D7" wp14:editId="2F2BDA8F">
              <wp:simplePos x="635" y="635"/>
              <wp:positionH relativeFrom="page">
                <wp:align>center</wp:align>
              </wp:positionH>
              <wp:positionV relativeFrom="page">
                <wp:align>bottom</wp:align>
              </wp:positionV>
              <wp:extent cx="599440" cy="344805"/>
              <wp:effectExtent l="0" t="0" r="10160" b="0"/>
              <wp:wrapNone/>
              <wp:docPr id="1598197853"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2B4653D0" w14:textId="440A133A"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2942D7" id="_x0000_t202" coordsize="21600,21600" o:spt="202" path="m,l,21600r21600,l21600,xe">
              <v:stroke joinstyle="miter"/>
              <v:path gradientshapeok="t" o:connecttype="rect"/>
            </v:shapetype>
            <v:shape id="Text Box 24" o:spid="_x0000_s1049" type="#_x0000_t202" alt="OFFICIAL" style="position:absolute;margin-left:0;margin-top:0;width:47.2pt;height:27.15pt;z-index:2517063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" filled="f" stroked="f">
              <v:fill o:detectmouseclick="t"/>
              <v:textbox style="mso-fit-shape-to-text:t" inset="0,0,0,15pt">
                <w:txbxContent>
                  <w:p w14:paraId="2B4653D0" w14:textId="440A133A"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v:textbox>
              <w10:wrap anchorx="page" anchory="page"/>
            </v:shape>
          </w:pict>
        </mc:Fallback>
      </mc:AlternateContent>
    </w:r>
    <w:r w:rsidR="00FE1052" w:rsidRPr="009A241C">
      <w:rPr>
        <w:color w:val="335876"/>
      </w:rPr>
      <w:t xml:space="preserve">Version </w:t>
    </w:r>
    <w:r w:rsidR="00FE1052">
      <w:rPr>
        <w:color w:val="335876"/>
      </w:rPr>
      <w:t>202</w:t>
    </w:r>
    <w:r w:rsidR="0028549C">
      <w:rPr>
        <w:color w:val="335876"/>
      </w:rPr>
      <w:t>5</w:t>
    </w:r>
    <w:r w:rsidR="00FE1052" w:rsidRPr="009A241C">
      <w:rPr>
        <w:color w:val="335876"/>
      </w:rPr>
      <w:tab/>
      <w:t>Unclassified</w:t>
    </w:r>
    <w:r w:rsidR="00FE1052" w:rsidRPr="009A241C">
      <w:rPr>
        <w:color w:val="335876"/>
      </w:rPr>
      <w:tab/>
      <w:t>PAGE</w:t>
    </w:r>
    <w:r w:rsidR="00FE1052" w:rsidRPr="009A241C">
      <w:rPr>
        <w:color w:val="335876"/>
        <w:spacing w:val="20"/>
      </w:rPr>
      <w:t xml:space="preserve"> </w:t>
    </w:r>
    <w:r w:rsidR="00FE1052" w:rsidRPr="009A241C">
      <w:rPr>
        <w:color w:val="335876"/>
      </w:rPr>
      <w:fldChar w:fldCharType="begin"/>
    </w:r>
    <w:r w:rsidR="00FE1052" w:rsidRPr="009A241C">
      <w:rPr>
        <w:color w:val="335876"/>
      </w:rPr>
      <w:instrText xml:space="preserve"> PAGE   \* MERGEFORMAT </w:instrText>
    </w:r>
    <w:r w:rsidR="00FE1052" w:rsidRPr="009A241C">
      <w:rPr>
        <w:color w:val="335876"/>
      </w:rPr>
      <w:fldChar w:fldCharType="separate"/>
    </w:r>
    <w:r w:rsidR="00FE1052">
      <w:rPr>
        <w:noProof/>
        <w:color w:val="335876"/>
      </w:rPr>
      <w:t>42</w:t>
    </w:r>
    <w:r w:rsidR="00FE1052" w:rsidRPr="009A241C">
      <w:rPr>
        <w:color w:val="335876"/>
      </w:rPr>
      <w:fldChar w:fldCharType="end"/>
    </w:r>
    <w:r w:rsidR="00FE1052" w:rsidRPr="009A241C">
      <w:rPr>
        <w:color w:val="335876"/>
      </w:rPr>
      <w:t xml:space="preserve"> OF </w:t>
    </w:r>
    <w:r w:rsidR="00FE1052">
      <w:rPr>
        <w:noProof/>
        <w:color w:val="335876"/>
      </w:rPr>
      <w:fldChar w:fldCharType="begin"/>
    </w:r>
    <w:r w:rsidR="00FE1052">
      <w:rPr>
        <w:noProof/>
        <w:color w:val="335876"/>
      </w:rPr>
      <w:instrText xml:space="preserve"> NUMPAGES   \* MERGEFORMAT </w:instrText>
    </w:r>
    <w:r w:rsidR="00FE1052">
      <w:rPr>
        <w:noProof/>
        <w:color w:val="335876"/>
      </w:rPr>
      <w:fldChar w:fldCharType="separate"/>
    </w:r>
    <w:r w:rsidR="00FE1052" w:rsidRPr="00EA171C">
      <w:rPr>
        <w:noProof/>
        <w:color w:val="335876"/>
      </w:rPr>
      <w:t>42</w:t>
    </w:r>
    <w:r w:rsidR="00FE1052">
      <w:rPr>
        <w:noProof/>
        <w:color w:val="335876"/>
      </w:rPr>
      <w:fldChar w:fldCharType="end"/>
    </w:r>
  </w:p>
  <w:p w14:paraId="0E8DCAEB" w14:textId="77777777" w:rsidR="00FE1052" w:rsidRPr="00607411" w:rsidRDefault="00FE1052" w:rsidP="000E5315">
    <w:pPr>
      <w:pStyle w:val="Footer"/>
      <w:rPr>
        <w:rStyle w:val="PageNumber"/>
        <w:vanish/>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54E28" w14:textId="6BF4F0BD" w:rsidR="00B40078" w:rsidRDefault="009274C1">
    <w:pPr>
      <w:pStyle w:val="Footer"/>
    </w:pPr>
    <w:r>
      <w:rPr>
        <w:noProof/>
      </w:rPr>
      <mc:AlternateContent>
        <mc:Choice Requires="wps">
          <w:drawing>
            <wp:anchor distT="0" distB="0" distL="0" distR="0" simplePos="0" relativeHeight="251704320" behindDoc="0" locked="0" layoutInCell="1" allowOverlap="1" wp14:anchorId="2EC478E6" wp14:editId="2D1FBD0C">
              <wp:simplePos x="635" y="635"/>
              <wp:positionH relativeFrom="page">
                <wp:align>center</wp:align>
              </wp:positionH>
              <wp:positionV relativeFrom="page">
                <wp:align>bottom</wp:align>
              </wp:positionV>
              <wp:extent cx="599440" cy="344805"/>
              <wp:effectExtent l="0" t="0" r="10160" b="0"/>
              <wp:wrapNone/>
              <wp:docPr id="1435575565"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4C1031AD" w14:textId="244E9ABB"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C478E6" id="_x0000_t202" coordsize="21600,21600" o:spt="202" path="m,l,21600r21600,l21600,xe">
              <v:stroke joinstyle="miter"/>
              <v:path gradientshapeok="t" o:connecttype="rect"/>
            </v:shapetype>
            <v:shape id="Text Box 22" o:spid="_x0000_s1051" type="#_x0000_t202" alt="OFFICIAL" style="position:absolute;margin-left:0;margin-top:0;width:47.2pt;height:27.15pt;z-index:251704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DxoFApDgIAAB0E&#10;AAAOAAAAAAAAAAAAAAAAAC4CAABkcnMvZTJvRG9jLnhtbFBLAQItABQABgAIAAAAIQAd+bPT2gAA&#10;AAMBAAAPAAAAAAAAAAAAAAAAAGgEAABkcnMvZG93bnJldi54bWxQSwUGAAAAAAQABADzAAAAbwUA&#10;AAAA&#10;" filled="f" stroked="f">
              <v:fill o:detectmouseclick="t"/>
              <v:textbox style="mso-fit-shape-to-text:t" inset="0,0,0,15pt">
                <w:txbxContent>
                  <w:p w14:paraId="4C1031AD" w14:textId="244E9ABB"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FE1052" w14:paraId="51EC8683" w14:textId="77777777">
      <w:trPr>
        <w:trHeight w:hRule="exact" w:val="567"/>
      </w:trPr>
      <w:tc>
        <w:tcPr>
          <w:tcW w:w="3629" w:type="dxa"/>
          <w:vAlign w:val="bottom"/>
        </w:tcPr>
        <w:p w14:paraId="4C4C784C" w14:textId="00B51256" w:rsidR="00FE1052" w:rsidRPr="00961BA8" w:rsidRDefault="009274C1">
          <w:pPr>
            <w:pStyle w:val="ClassificationFooter"/>
          </w:pPr>
          <w:r>
            <w:rPr>
              <w:noProof/>
            </w:rPr>
            <mc:AlternateContent>
              <mc:Choice Requires="wps">
                <w:drawing>
                  <wp:anchor distT="0" distB="0" distL="0" distR="0" simplePos="0" relativeHeight="251697152" behindDoc="0" locked="0" layoutInCell="1" allowOverlap="1" wp14:anchorId="3D8D29A3" wp14:editId="75B4F0AA">
                    <wp:simplePos x="635" y="635"/>
                    <wp:positionH relativeFrom="page">
                      <wp:align>center</wp:align>
                    </wp:positionH>
                    <wp:positionV relativeFrom="page">
                      <wp:align>bottom</wp:align>
                    </wp:positionV>
                    <wp:extent cx="599440" cy="344805"/>
                    <wp:effectExtent l="0" t="0" r="10160" b="0"/>
                    <wp:wrapNone/>
                    <wp:docPr id="2121130649"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1ECE59CC" w14:textId="6D57B39C"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8D29A3" id="_x0000_t202" coordsize="21600,21600" o:spt="202" path="m,l,21600r21600,l21600,xe">
                    <v:stroke joinstyle="miter"/>
                    <v:path gradientshapeok="t" o:connecttype="rect"/>
                  </v:shapetype>
                  <v:shape id="Text Box 15" o:spid="_x0000_s1031" type="#_x0000_t202" alt="OFFICIAL" style="position:absolute;margin-left:0;margin-top:0;width:47.2pt;height:27.15pt;z-index:251697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QWDQIAABw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" filled="f" stroked="f">
                    <v:fill o:detectmouseclick="t"/>
                    <v:textbox style="mso-fit-shape-to-text:t" inset="0,0,0,15pt">
                      <w:txbxContent>
                        <w:p w14:paraId="1ECE59CC" w14:textId="6D57B39C"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v:textbox>
                    <w10:wrap anchorx="page" anchory="page"/>
                  </v:shape>
                </w:pict>
              </mc:Fallback>
            </mc:AlternateContent>
          </w:r>
          <w:r w:rsidR="00FE1052">
            <w:fldChar w:fldCharType="begin"/>
          </w:r>
          <w:r w:rsidR="00FE1052">
            <w:instrText xml:space="preserve"> DOCPROPERTY  Classification  \* MERGEFORMAT </w:instrText>
          </w:r>
          <w:r w:rsidR="00FE1052">
            <w:fldChar w:fldCharType="separate"/>
          </w:r>
          <w:r w:rsidR="00FE1052">
            <w:rPr>
              <w:b/>
              <w:bCs/>
              <w:lang w:val="en-US"/>
            </w:rPr>
            <w:t>Error! Unknown document property name.</w:t>
          </w:r>
          <w:r w:rsidR="00FE1052">
            <w:fldChar w:fldCharType="end"/>
          </w:r>
        </w:p>
      </w:tc>
      <w:tc>
        <w:tcPr>
          <w:tcW w:w="4309" w:type="dxa"/>
          <w:vAlign w:val="bottom"/>
        </w:tcPr>
        <w:p w14:paraId="2CAFD5E6" w14:textId="77777777" w:rsidR="00FE1052" w:rsidRDefault="00FE1052">
          <w:pPr>
            <w:pStyle w:val="FooterPortrait"/>
          </w:pPr>
          <w:r>
            <w:tab/>
          </w:r>
          <w:r>
            <w:fldChar w:fldCharType="begin"/>
          </w:r>
          <w:r>
            <w:instrText xml:space="preserve"> KEYWORDS   \* MERGEFORMAT </w:instrText>
          </w:r>
          <w:r>
            <w:fldChar w:fldCharType="end"/>
          </w:r>
        </w:p>
      </w:tc>
      <w:tc>
        <w:tcPr>
          <w:tcW w:w="1701" w:type="dxa"/>
          <w:vAlign w:val="bottom"/>
        </w:tcPr>
        <w:p w14:paraId="70ADADAC" w14:textId="77777777" w:rsidR="00FE1052" w:rsidRDefault="00FE1052"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Pr>
              <w:noProof/>
            </w:rPr>
            <w:t>44</w:t>
          </w:r>
          <w:r>
            <w:rPr>
              <w:noProof/>
            </w:rPr>
            <w:fldChar w:fldCharType="end"/>
          </w:r>
        </w:p>
      </w:tc>
    </w:tr>
  </w:tbl>
  <w:p w14:paraId="79F12022" w14:textId="77777777" w:rsidR="00FE1052" w:rsidRPr="004E35EF" w:rsidRDefault="00FE1052" w:rsidP="000E5315">
    <w:pPr>
      <w:pStyle w:val="Footer"/>
      <w:rPr>
        <w:vanish/>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150DC" w14:textId="1E621A20" w:rsidR="00B40078" w:rsidRDefault="009274C1">
    <w:pPr>
      <w:pStyle w:val="Footer"/>
    </w:pPr>
    <w:r>
      <w:rPr>
        <w:noProof/>
      </w:rPr>
      <mc:AlternateContent>
        <mc:Choice Requires="wps">
          <w:drawing>
            <wp:anchor distT="0" distB="0" distL="0" distR="0" simplePos="0" relativeHeight="251695104" behindDoc="0" locked="0" layoutInCell="1" allowOverlap="1" wp14:anchorId="349106AE" wp14:editId="3F8827B2">
              <wp:simplePos x="831850" y="10318750"/>
              <wp:positionH relativeFrom="page">
                <wp:align>center</wp:align>
              </wp:positionH>
              <wp:positionV relativeFrom="page">
                <wp:align>bottom</wp:align>
              </wp:positionV>
              <wp:extent cx="599440" cy="344805"/>
              <wp:effectExtent l="0" t="0" r="10160" b="0"/>
              <wp:wrapNone/>
              <wp:docPr id="1157830725"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113F2CCD" w14:textId="3FA67B81"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9106AE" id="_x0000_t202" coordsize="21600,21600" o:spt="202" path="m,l,21600r21600,l21600,xe">
              <v:stroke joinstyle="miter"/>
              <v:path gradientshapeok="t" o:connecttype="rect"/>
            </v:shapetype>
            <v:shape id="Text Box 13" o:spid="_x0000_s1033" type="#_x0000_t202" alt="OFFICIAL" style="position:absolute;margin-left:0;margin-top:0;width:47.2pt;height:27.15pt;z-index:251695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A//+mmDgIAABwE&#10;AAAOAAAAAAAAAAAAAAAAAC4CAABkcnMvZTJvRG9jLnhtbFBLAQItABQABgAIAAAAIQAd+bPT2gAA&#10;AAMBAAAPAAAAAAAAAAAAAAAAAGgEAABkcnMvZG93bnJldi54bWxQSwUGAAAAAAQABADzAAAAbwUA&#10;AAAA&#10;" filled="f" stroked="f">
              <v:fill o:detectmouseclick="t"/>
              <v:textbox style="mso-fit-shape-to-text:t" inset="0,0,0,15pt">
                <w:txbxContent>
                  <w:p w14:paraId="113F2CCD" w14:textId="3FA67B81"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5A44" w14:textId="1907E15D" w:rsidR="00B40078" w:rsidRDefault="009274C1">
    <w:pPr>
      <w:pStyle w:val="Footer"/>
    </w:pPr>
    <w:r>
      <w:rPr>
        <w:noProof/>
      </w:rPr>
      <mc:AlternateContent>
        <mc:Choice Requires="wps">
          <w:drawing>
            <wp:anchor distT="0" distB="0" distL="0" distR="0" simplePos="0" relativeHeight="251699200" behindDoc="0" locked="0" layoutInCell="1" allowOverlap="1" wp14:anchorId="5E5D68CD" wp14:editId="59297559">
              <wp:simplePos x="635" y="635"/>
              <wp:positionH relativeFrom="page">
                <wp:align>center</wp:align>
              </wp:positionH>
              <wp:positionV relativeFrom="page">
                <wp:align>bottom</wp:align>
              </wp:positionV>
              <wp:extent cx="599440" cy="344805"/>
              <wp:effectExtent l="0" t="0" r="10160" b="0"/>
              <wp:wrapNone/>
              <wp:docPr id="1035896286"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198EC004" w14:textId="14692C07"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5D68CD" id="_x0000_t202" coordsize="21600,21600" o:spt="202" path="m,l,21600r21600,l21600,xe">
              <v:stroke joinstyle="miter"/>
              <v:path gradientshapeok="t" o:connecttype="rect"/>
            </v:shapetype>
            <v:shape id="Text Box 17" o:spid="_x0000_s1036" type="#_x0000_t202" alt="OFFICIAL" style="position:absolute;margin-left:0;margin-top:0;width:47.2pt;height:27.15pt;z-index:2516992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9rWDgIAABw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1Luhi7r6A+4VAOhn17yzctlt4yH56ZwwVjtyja&#10;8ISHVNCVFM4WJQ24n3/zx3zkHaOUdCiYkhpUNCXqu8F9RG2NhhuNKhnTRT7PMW4O+h5QhlN8EZYn&#10;E70uqNGUDvQrynkdC2GIGY7lSlqN5n0YlIvPgYv1OiWhjCwLW7OzPEJHuiKXL/0rc/ZMeMBNPcKo&#10;Jla8433IjTe9XR8Csp+WEqkdiDwzjhJMaz0/l6jxt/8p6/qoV78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Chw9rWDgIAABwE&#10;AAAOAAAAAAAAAAAAAAAAAC4CAABkcnMvZTJvRG9jLnhtbFBLAQItABQABgAIAAAAIQAd+bPT2gAA&#10;AAMBAAAPAAAAAAAAAAAAAAAAAGgEAABkcnMvZG93bnJldi54bWxQSwUGAAAAAAQABADzAAAAbwUA&#10;AAAA&#10;" filled="f" stroked="f">
              <v:fill o:detectmouseclick="t"/>
              <v:textbox style="mso-fit-shape-to-text:t" inset="0,0,0,15pt">
                <w:txbxContent>
                  <w:p w14:paraId="198EC004" w14:textId="14692C07"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D3FB" w14:textId="404E2384" w:rsidR="00FE1052" w:rsidRPr="009A241C" w:rsidRDefault="009274C1" w:rsidP="000E5315">
    <w:pPr>
      <w:pStyle w:val="FooterPortrait"/>
      <w:pBdr>
        <w:top w:val="single" w:sz="4" w:space="1" w:color="auto"/>
      </w:pBdr>
      <w:tabs>
        <w:tab w:val="clear" w:pos="1021"/>
        <w:tab w:val="center" w:pos="4730"/>
        <w:tab w:val="left" w:pos="7938"/>
      </w:tabs>
      <w:rPr>
        <w:color w:val="335876"/>
      </w:rPr>
    </w:pPr>
    <w:r>
      <w:rPr>
        <w:noProof/>
        <w:color w:val="335876"/>
      </w:rPr>
      <mc:AlternateContent>
        <mc:Choice Requires="wps">
          <w:drawing>
            <wp:anchor distT="0" distB="0" distL="0" distR="0" simplePos="0" relativeHeight="251700224" behindDoc="0" locked="0" layoutInCell="1" allowOverlap="1" wp14:anchorId="10B55C3E" wp14:editId="10DAF5AB">
              <wp:simplePos x="828675" y="9991090"/>
              <wp:positionH relativeFrom="page">
                <wp:align>center</wp:align>
              </wp:positionH>
              <wp:positionV relativeFrom="page">
                <wp:align>bottom</wp:align>
              </wp:positionV>
              <wp:extent cx="599440" cy="344805"/>
              <wp:effectExtent l="0" t="0" r="10160" b="0"/>
              <wp:wrapNone/>
              <wp:docPr id="1241851105"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5DE12A3B" w14:textId="221DF8E5"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B55C3E" id="_x0000_t202" coordsize="21600,21600" o:spt="202" path="m,l,21600r21600,l21600,xe">
              <v:stroke joinstyle="miter"/>
              <v:path gradientshapeok="t" o:connecttype="rect"/>
            </v:shapetype>
            <v:shape id="Text Box 18" o:spid="_x0000_s1037" type="#_x0000_t202" alt="OFFICIAL" style="position:absolute;margin-left:0;margin-top:0;width:47.2pt;height:27.15pt;z-index:251700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qFBDgIAAB0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0v7FdQnnMrBsHBv+abF2lvmwzNzuGFsF1Ub&#10;nvCQCrqSwtmipAH382/+mI/EY5SSDhVTUoOSpkR9N7iQKK7RcKNRJWO6yOc5xs1B3wPqcIpPwvJk&#10;otcFNZrSgX5FPa9jIQwxw7FcSavRvA+DdPE9cLFepyTUkWVha3aWR+jIVyTzpX9lzp4ZD7iqRxjl&#10;xIp3xA+58aa360NA+tNWIrcDkWfKUYNpr+f3EkX+9j9lXV/16hc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By7qFBDgIAAB0E&#10;AAAOAAAAAAAAAAAAAAAAAC4CAABkcnMvZTJvRG9jLnhtbFBLAQItABQABgAIAAAAIQAd+bPT2gAA&#10;AAMBAAAPAAAAAAAAAAAAAAAAAGgEAABkcnMvZG93bnJldi54bWxQSwUGAAAAAAQABADzAAAAbwUA&#10;AAAA&#10;" filled="f" stroked="f">
              <v:fill o:detectmouseclick="t"/>
              <v:textbox style="mso-fit-shape-to-text:t" inset="0,0,0,15pt">
                <w:txbxContent>
                  <w:p w14:paraId="5DE12A3B" w14:textId="221DF8E5"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v:textbox>
              <w10:wrap anchorx="page" anchory="page"/>
            </v:shape>
          </w:pict>
        </mc:Fallback>
      </mc:AlternateContent>
    </w:r>
    <w:r w:rsidR="00FE1052" w:rsidRPr="009A241C">
      <w:rPr>
        <w:color w:val="335876"/>
      </w:rPr>
      <w:t>Version</w:t>
    </w:r>
    <w:r w:rsidR="00FE1052">
      <w:rPr>
        <w:color w:val="335876"/>
      </w:rPr>
      <w:t xml:space="preserve"> </w:t>
    </w:r>
    <w:r w:rsidR="0020582C">
      <w:rPr>
        <w:color w:val="335876"/>
      </w:rPr>
      <w:t>2025</w:t>
    </w:r>
    <w:r w:rsidR="00FE1052" w:rsidRPr="009A241C">
      <w:rPr>
        <w:color w:val="335876"/>
      </w:rPr>
      <w:tab/>
      <w:t>Unclassified</w:t>
    </w:r>
    <w:r w:rsidR="00FE1052" w:rsidRPr="009A241C">
      <w:rPr>
        <w:color w:val="335876"/>
      </w:rPr>
      <w:tab/>
      <w:t>PAGE</w:t>
    </w:r>
    <w:r w:rsidR="00FE1052" w:rsidRPr="009A241C">
      <w:rPr>
        <w:color w:val="335876"/>
        <w:spacing w:val="20"/>
      </w:rPr>
      <w:t xml:space="preserve"> </w:t>
    </w:r>
    <w:r w:rsidR="00FE1052" w:rsidRPr="009A241C">
      <w:rPr>
        <w:color w:val="335876"/>
      </w:rPr>
      <w:fldChar w:fldCharType="begin"/>
    </w:r>
    <w:r w:rsidR="00FE1052" w:rsidRPr="009A241C">
      <w:rPr>
        <w:color w:val="335876"/>
      </w:rPr>
      <w:instrText xml:space="preserve"> PAGE   \* MERGEFORMAT </w:instrText>
    </w:r>
    <w:r w:rsidR="00FE1052" w:rsidRPr="009A241C">
      <w:rPr>
        <w:color w:val="335876"/>
      </w:rPr>
      <w:fldChar w:fldCharType="separate"/>
    </w:r>
    <w:r w:rsidR="00FE1052">
      <w:rPr>
        <w:noProof/>
        <w:color w:val="335876"/>
      </w:rPr>
      <w:t>25</w:t>
    </w:r>
    <w:r w:rsidR="00FE1052" w:rsidRPr="009A241C">
      <w:rPr>
        <w:color w:val="335876"/>
      </w:rPr>
      <w:fldChar w:fldCharType="end"/>
    </w:r>
    <w:r w:rsidR="00FE1052" w:rsidRPr="009A241C">
      <w:rPr>
        <w:color w:val="335876"/>
      </w:rPr>
      <w:t xml:space="preserve"> OF </w:t>
    </w:r>
    <w:r w:rsidR="00FE1052">
      <w:rPr>
        <w:noProof/>
        <w:color w:val="335876"/>
      </w:rPr>
      <w:fldChar w:fldCharType="begin"/>
    </w:r>
    <w:r w:rsidR="00FE1052">
      <w:rPr>
        <w:noProof/>
        <w:color w:val="335876"/>
      </w:rPr>
      <w:instrText xml:space="preserve"> NUMPAGES   \* MERGEFORMAT </w:instrText>
    </w:r>
    <w:r w:rsidR="00FE1052">
      <w:rPr>
        <w:noProof/>
        <w:color w:val="335876"/>
      </w:rPr>
      <w:fldChar w:fldCharType="separate"/>
    </w:r>
    <w:r w:rsidR="00FE1052" w:rsidRPr="00EA171C">
      <w:rPr>
        <w:noProof/>
        <w:color w:val="335876"/>
      </w:rPr>
      <w:t>42</w:t>
    </w:r>
    <w:r w:rsidR="00FE1052">
      <w:rPr>
        <w:noProof/>
        <w:color w:val="335876"/>
      </w:rPr>
      <w:fldChar w:fldCharType="end"/>
    </w:r>
  </w:p>
  <w:p w14:paraId="795B2E47" w14:textId="77777777" w:rsidR="00FE1052" w:rsidRPr="00607411" w:rsidRDefault="00FE1052" w:rsidP="000E5315">
    <w:pPr>
      <w:pStyle w:val="Footer"/>
      <w:rPr>
        <w:rStyle w:val="PageNumber"/>
        <w:vanish/>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4C97" w14:textId="3F50A975" w:rsidR="00B40078" w:rsidRDefault="009274C1">
    <w:pPr>
      <w:pStyle w:val="Footer"/>
    </w:pPr>
    <w:r>
      <w:rPr>
        <w:noProof/>
      </w:rPr>
      <mc:AlternateContent>
        <mc:Choice Requires="wps">
          <w:drawing>
            <wp:anchor distT="0" distB="0" distL="0" distR="0" simplePos="0" relativeHeight="251698176" behindDoc="0" locked="0" layoutInCell="1" allowOverlap="1" wp14:anchorId="1481B1B1" wp14:editId="72CB6573">
              <wp:simplePos x="635" y="635"/>
              <wp:positionH relativeFrom="page">
                <wp:align>center</wp:align>
              </wp:positionH>
              <wp:positionV relativeFrom="page">
                <wp:align>bottom</wp:align>
              </wp:positionV>
              <wp:extent cx="599440" cy="344805"/>
              <wp:effectExtent l="0" t="0" r="10160" b="0"/>
              <wp:wrapNone/>
              <wp:docPr id="1241996661"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35107E91" w14:textId="54D455B8"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81B1B1" id="_x0000_t202" coordsize="21600,21600" o:spt="202" path="m,l,21600r21600,l21600,xe">
              <v:stroke joinstyle="miter"/>
              <v:path gradientshapeok="t" o:connecttype="rect"/>
            </v:shapetype>
            <v:shape id="Text Box 16" o:spid="_x0000_s1039" type="#_x0000_t202" alt="OFFICIAL" style="position:absolute;margin-left:0;margin-top:0;width:47.2pt;height:27.15pt;z-index:251698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DMfGjrDgIAABwE&#10;AAAOAAAAAAAAAAAAAAAAAC4CAABkcnMvZTJvRG9jLnhtbFBLAQItABQABgAIAAAAIQAd+bPT2gAA&#10;AAMBAAAPAAAAAAAAAAAAAAAAAGgEAABkcnMvZG93bnJldi54bWxQSwUGAAAAAAQABADzAAAAbwUA&#10;AAAA&#10;" filled="f" stroked="f">
              <v:fill o:detectmouseclick="t"/>
              <v:textbox style="mso-fit-shape-to-text:t" inset="0,0,0,15pt">
                <w:txbxContent>
                  <w:p w14:paraId="35107E91" w14:textId="54D455B8"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6DC1" w14:textId="541D1D65" w:rsidR="00B40078" w:rsidRDefault="009274C1">
    <w:pPr>
      <w:pStyle w:val="Footer"/>
    </w:pPr>
    <w:r>
      <w:rPr>
        <w:noProof/>
      </w:rPr>
      <mc:AlternateContent>
        <mc:Choice Requires="wps">
          <w:drawing>
            <wp:anchor distT="0" distB="0" distL="0" distR="0" simplePos="0" relativeHeight="251702272" behindDoc="0" locked="0" layoutInCell="1" allowOverlap="1" wp14:anchorId="7BFD7C63" wp14:editId="5449D615">
              <wp:simplePos x="635" y="635"/>
              <wp:positionH relativeFrom="page">
                <wp:align>center</wp:align>
              </wp:positionH>
              <wp:positionV relativeFrom="page">
                <wp:align>bottom</wp:align>
              </wp:positionV>
              <wp:extent cx="599440" cy="344805"/>
              <wp:effectExtent l="0" t="0" r="10160" b="0"/>
              <wp:wrapNone/>
              <wp:docPr id="459780423"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166155FF" w14:textId="2F2CDE85"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FD7C63" id="_x0000_t202" coordsize="21600,21600" o:spt="202" path="m,l,21600r21600,l21600,xe">
              <v:stroke joinstyle="miter"/>
              <v:path gradientshapeok="t" o:connecttype="rect"/>
            </v:shapetype>
            <v:shape id="Text Box 20" o:spid="_x0000_s1042" type="#_x0000_t202" alt="OFFICIAL" style="position:absolute;margin-left:0;margin-top:0;width:47.2pt;height:27.15pt;z-index:251702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" filled="f" stroked="f">
              <v:fill o:detectmouseclick="t"/>
              <v:textbox style="mso-fit-shape-to-text:t" inset="0,0,0,15pt">
                <w:txbxContent>
                  <w:p w14:paraId="166155FF" w14:textId="2F2CDE85"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F74D" w14:textId="2AA8774D" w:rsidR="00B40078" w:rsidRDefault="009274C1">
    <w:pPr>
      <w:pStyle w:val="Footer"/>
    </w:pPr>
    <w:r>
      <w:rPr>
        <w:noProof/>
      </w:rPr>
      <mc:AlternateContent>
        <mc:Choice Requires="wps">
          <w:drawing>
            <wp:anchor distT="0" distB="0" distL="0" distR="0" simplePos="0" relativeHeight="251703296" behindDoc="0" locked="0" layoutInCell="1" allowOverlap="1" wp14:anchorId="1BF598F8" wp14:editId="7D501327">
              <wp:simplePos x="635" y="635"/>
              <wp:positionH relativeFrom="page">
                <wp:align>center</wp:align>
              </wp:positionH>
              <wp:positionV relativeFrom="page">
                <wp:align>bottom</wp:align>
              </wp:positionV>
              <wp:extent cx="599440" cy="344805"/>
              <wp:effectExtent l="0" t="0" r="10160" b="0"/>
              <wp:wrapNone/>
              <wp:docPr id="672005290"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13A98AB8" w14:textId="6A3B65D8"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F598F8" id="_x0000_t202" coordsize="21600,21600" o:spt="202" path="m,l,21600r21600,l21600,xe">
              <v:stroke joinstyle="miter"/>
              <v:path gradientshapeok="t" o:connecttype="rect"/>
            </v:shapetype>
            <v:shape id="Text Box 21" o:spid="_x0000_s1043" type="#_x0000_t202" alt="OFFICIAL" style="position:absolute;margin-left:0;margin-top:0;width:47.2pt;height:27.15pt;z-index:251703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" filled="f" stroked="f">
              <v:fill o:detectmouseclick="t"/>
              <v:textbox style="mso-fit-shape-to-text:t" inset="0,0,0,15pt">
                <w:txbxContent>
                  <w:p w14:paraId="13A98AB8" w14:textId="6A3B65D8"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C8D4" w14:textId="58B12649" w:rsidR="00B40078" w:rsidRDefault="009274C1">
    <w:pPr>
      <w:pStyle w:val="Footer"/>
    </w:pPr>
    <w:r>
      <w:rPr>
        <w:noProof/>
      </w:rPr>
      <mc:AlternateContent>
        <mc:Choice Requires="wps">
          <w:drawing>
            <wp:anchor distT="0" distB="0" distL="0" distR="0" simplePos="0" relativeHeight="251701248" behindDoc="0" locked="0" layoutInCell="1" allowOverlap="1" wp14:anchorId="1F169583" wp14:editId="4ADE271B">
              <wp:simplePos x="635" y="635"/>
              <wp:positionH relativeFrom="page">
                <wp:align>center</wp:align>
              </wp:positionH>
              <wp:positionV relativeFrom="page">
                <wp:align>bottom</wp:align>
              </wp:positionV>
              <wp:extent cx="599440" cy="344805"/>
              <wp:effectExtent l="0" t="0" r="10160" b="0"/>
              <wp:wrapNone/>
              <wp:docPr id="1655310427"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073E6144" w14:textId="7F262DB0"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169583" id="_x0000_t202" coordsize="21600,21600" o:spt="202" path="m,l,21600r21600,l21600,xe">
              <v:stroke joinstyle="miter"/>
              <v:path gradientshapeok="t" o:connecttype="rect"/>
            </v:shapetype>
            <v:shape id="Text Box 19" o:spid="_x0000_s1045" type="#_x0000_t202" alt="OFFICIAL" style="position:absolute;margin-left:0;margin-top:0;width:47.2pt;height:27.15pt;z-index:251701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mKDgIAAB0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9nYfgX1CadyMCzcW75psfaW+fDMHG4Y20XV&#10;hic8pIKupHC2KGnA/fybP+Yj8RilpEPFlNSgpClR3w0uJIprNNxoVMmYLvJ5jnFz0PeAOpzik7A8&#10;meh1QY2mdKBfUc/rWAhDzHAsV9JqNO/DIF18D1ys1ykJdWRZ2Jqd5RE68hXJfOlfmbNnxgOu6hFG&#10;ObHiHfFDbrzp7foQkP60lcjtQOSZctRg2uv5vUSRv/1PWddXvfoF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CrrNmKDgIAAB0E&#10;AAAOAAAAAAAAAAAAAAAAAC4CAABkcnMvZTJvRG9jLnhtbFBLAQItABQABgAIAAAAIQAd+bPT2gAA&#10;AAMBAAAPAAAAAAAAAAAAAAAAAGgEAABkcnMvZG93bnJldi54bWxQSwUGAAAAAAQABADzAAAAbwUA&#10;AAAA&#10;" filled="f" stroked="f">
              <v:fill o:detectmouseclick="t"/>
              <v:textbox style="mso-fit-shape-to-text:t" inset="0,0,0,15pt">
                <w:txbxContent>
                  <w:p w14:paraId="073E6144" w14:textId="7F262DB0"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F16F1" w14:textId="77777777" w:rsidR="00347CFE" w:rsidRDefault="00347CFE">
      <w:r>
        <w:separator/>
      </w:r>
    </w:p>
  </w:footnote>
  <w:footnote w:type="continuationSeparator" w:id="0">
    <w:p w14:paraId="656FB83D" w14:textId="77777777" w:rsidR="00347CFE" w:rsidRDefault="00347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A4FCC" w14:textId="34A41ADC" w:rsidR="00B40078" w:rsidRDefault="009274C1">
    <w:pPr>
      <w:pStyle w:val="Header"/>
    </w:pPr>
    <w:r>
      <w:rPr>
        <w:noProof/>
      </w:rPr>
      <mc:AlternateContent>
        <mc:Choice Requires="wps">
          <w:drawing>
            <wp:anchor distT="0" distB="0" distL="0" distR="0" simplePos="0" relativeHeight="251683840" behindDoc="0" locked="0" layoutInCell="1" allowOverlap="1" wp14:anchorId="16A73DEB" wp14:editId="4E4FBD54">
              <wp:simplePos x="635" y="635"/>
              <wp:positionH relativeFrom="page">
                <wp:align>center</wp:align>
              </wp:positionH>
              <wp:positionV relativeFrom="page">
                <wp:align>top</wp:align>
              </wp:positionV>
              <wp:extent cx="599440" cy="344805"/>
              <wp:effectExtent l="0" t="0" r="10160" b="17145"/>
              <wp:wrapNone/>
              <wp:docPr id="72373794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60387482" w14:textId="70DA7697"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A73DEB" id="_x0000_t202" coordsize="21600,21600" o:spt="202" path="m,l,21600r21600,l21600,xe">
              <v:stroke joinstyle="miter"/>
              <v:path gradientshapeok="t" o:connecttype="rect"/>
            </v:shapetype>
            <v:shape id="Text Box 2" o:spid="_x0000_s1028" type="#_x0000_t202" alt="OFFICIAL" style="position:absolute;margin-left:0;margin-top:0;width:47.2pt;height:27.15pt;z-index:251683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9UDAIAABw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" filled="f" stroked="f">
              <v:fill o:detectmouseclick="t"/>
              <v:textbox style="mso-fit-shape-to-text:t" inset="0,15pt,0,0">
                <w:txbxContent>
                  <w:p w14:paraId="60387482" w14:textId="70DA7697"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3BB8" w14:textId="181DAB57" w:rsidR="00B40078" w:rsidRDefault="009274C1">
    <w:pPr>
      <w:pStyle w:val="Header"/>
    </w:pPr>
    <w:r>
      <w:rPr>
        <w:noProof/>
      </w:rPr>
      <mc:AlternateContent>
        <mc:Choice Requires="wps">
          <w:drawing>
            <wp:anchor distT="0" distB="0" distL="0" distR="0" simplePos="0" relativeHeight="251693056" behindDoc="0" locked="0" layoutInCell="1" allowOverlap="1" wp14:anchorId="4542E9A5" wp14:editId="3E7ED4FB">
              <wp:simplePos x="635" y="635"/>
              <wp:positionH relativeFrom="page">
                <wp:align>center</wp:align>
              </wp:positionH>
              <wp:positionV relativeFrom="page">
                <wp:align>top</wp:align>
              </wp:positionV>
              <wp:extent cx="599440" cy="344805"/>
              <wp:effectExtent l="0" t="0" r="10160" b="17145"/>
              <wp:wrapNone/>
              <wp:docPr id="1411907474"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2842B893" w14:textId="22AFA4B7"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42E9A5" id="_x0000_t202" coordsize="21600,21600" o:spt="202" path="m,l,21600r21600,l21600,xe">
              <v:stroke joinstyle="miter"/>
              <v:path gradientshapeok="t" o:connecttype="rect"/>
            </v:shapetype>
            <v:shape id="Text Box 11" o:spid="_x0000_s1046" type="#_x0000_t202" alt="OFFICIAL" style="position:absolute;margin-left:0;margin-top:0;width:47.2pt;height:27.15pt;z-index:2516930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BTDDgIAAB0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SFNh94ux/T1UZ5zKQb9wb/mmwdpb5sMzc7hhbBdV&#10;G57wkAraksJgUVKD+/k3f8xH4jFKSYuKKalBSVOivhtcSBRXMqaLfJ7jzY3u/WiYo74H1OEUn4Tl&#10;yYx5QY2mdKBfUc/rWAhDzHAsV9Iwmvehly6+By7W65SEOrIsbM3O8ggd+YpkvnSvzNmB8YCreoRR&#10;Tqx4R3yfG//0dn0MSH/aSuS2J3KgHDWY9jq8lyjyt/eUdX3Vq1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DF1BTDDgIAAB0E&#10;AAAOAAAAAAAAAAAAAAAAAC4CAABkcnMvZTJvRG9jLnhtbFBLAQItABQABgAIAAAAIQD+Cm9s2gAA&#10;AAMBAAAPAAAAAAAAAAAAAAAAAGgEAABkcnMvZG93bnJldi54bWxQSwUGAAAAAAQABADzAAAAbwUA&#10;AAAA&#10;" filled="f" stroked="f">
              <v:fill o:detectmouseclick="t"/>
              <v:textbox style="mso-fit-shape-to-text:t" inset="0,15pt,0,0">
                <w:txbxContent>
                  <w:p w14:paraId="2842B893" w14:textId="22AFA4B7"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2059" w14:textId="57FA9FCF" w:rsidR="00FE1052" w:rsidRDefault="009274C1">
    <w:pPr>
      <w:pStyle w:val="Header"/>
      <w:rPr>
        <w:color w:val="335876"/>
        <w:sz w:val="16"/>
        <w:szCs w:val="16"/>
      </w:rPr>
    </w:pPr>
    <w:r>
      <w:rPr>
        <w:noProof/>
        <w:color w:val="335876"/>
        <w:sz w:val="16"/>
        <w:szCs w:val="16"/>
      </w:rPr>
      <mc:AlternateContent>
        <mc:Choice Requires="wps">
          <w:drawing>
            <wp:anchor distT="0" distB="0" distL="0" distR="0" simplePos="0" relativeHeight="251694080" behindDoc="0" locked="0" layoutInCell="1" allowOverlap="1" wp14:anchorId="44D1BDB0" wp14:editId="2BBC6F31">
              <wp:simplePos x="635" y="635"/>
              <wp:positionH relativeFrom="page">
                <wp:align>center</wp:align>
              </wp:positionH>
              <wp:positionV relativeFrom="page">
                <wp:align>top</wp:align>
              </wp:positionV>
              <wp:extent cx="599440" cy="344805"/>
              <wp:effectExtent l="0" t="0" r="10160" b="17145"/>
              <wp:wrapNone/>
              <wp:docPr id="1284530973"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2E02CA62" w14:textId="3C1AD09E"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D1BDB0" id="_x0000_t202" coordsize="21600,21600" o:spt="202" path="m,l,21600r21600,l21600,xe">
              <v:stroke joinstyle="miter"/>
              <v:path gradientshapeok="t" o:connecttype="rect"/>
            </v:shapetype>
            <v:shape id="Text Box 12" o:spid="_x0000_s1047" type="#_x0000_t202" alt="OFFICIAL" style="position:absolute;margin-left:0;margin-top:0;width:47.2pt;height:27.15pt;z-index:2516940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C1GWTmDgIAAB0E&#10;AAAOAAAAAAAAAAAAAAAAAC4CAABkcnMvZTJvRG9jLnhtbFBLAQItABQABgAIAAAAIQD+Cm9s2gAA&#10;AAMBAAAPAAAAAAAAAAAAAAAAAGgEAABkcnMvZG93bnJldi54bWxQSwUGAAAAAAQABADzAAAAbwUA&#10;AAAA&#10;" filled="f" stroked="f">
              <v:fill o:detectmouseclick="t"/>
              <v:textbox style="mso-fit-shape-to-text:t" inset="0,15pt,0,0">
                <w:txbxContent>
                  <w:p w14:paraId="2E02CA62" w14:textId="3C1AD09E"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v:textbox>
              <w10:wrap anchorx="page" anchory="page"/>
            </v:shape>
          </w:pict>
        </mc:Fallback>
      </mc:AlternateContent>
    </w:r>
    <w:r w:rsidR="00FE1052" w:rsidRPr="009A241C">
      <w:rPr>
        <w:color w:val="335876"/>
        <w:sz w:val="16"/>
        <w:szCs w:val="16"/>
      </w:rPr>
      <w:t xml:space="preserve">Standard business reporting </w:t>
    </w:r>
    <w:r w:rsidR="00FE1052" w:rsidRPr="009A241C">
      <w:rPr>
        <w:color w:val="335876"/>
        <w:sz w:val="16"/>
        <w:szCs w:val="16"/>
      </w:rPr>
      <w:tab/>
    </w:r>
    <w:r w:rsidR="00FE1052" w:rsidRPr="009A241C">
      <w:rPr>
        <w:color w:val="335876"/>
        <w:sz w:val="16"/>
        <w:szCs w:val="16"/>
      </w:rPr>
      <w:tab/>
    </w:r>
    <w:r w:rsidR="00FE1052" w:rsidRPr="009A241C">
      <w:rPr>
        <w:color w:val="335876"/>
        <w:sz w:val="16"/>
        <w:szCs w:val="16"/>
      </w:rPr>
      <w:tab/>
    </w:r>
    <w:r w:rsidR="00FE1052">
      <w:rPr>
        <w:color w:val="335876"/>
        <w:sz w:val="16"/>
        <w:szCs w:val="16"/>
      </w:rPr>
      <w:tab/>
    </w:r>
    <w:r w:rsidR="00FE1052">
      <w:rPr>
        <w:color w:val="335876"/>
        <w:sz w:val="16"/>
        <w:szCs w:val="16"/>
      </w:rPr>
      <w:tab/>
    </w:r>
    <w:r w:rsidR="00FE1052">
      <w:rPr>
        <w:color w:val="335876"/>
        <w:sz w:val="16"/>
        <w:szCs w:val="16"/>
      </w:rPr>
      <w:tab/>
      <w:t>IFRS AU Taxonomy 202</w:t>
    </w:r>
    <w:r w:rsidR="0028549C">
      <w:rPr>
        <w:color w:val="335876"/>
        <w:sz w:val="16"/>
        <w:szCs w:val="16"/>
      </w:rPr>
      <w:t>5</w:t>
    </w:r>
    <w:r w:rsidR="00FE1052">
      <w:rPr>
        <w:color w:val="335876"/>
        <w:sz w:val="16"/>
        <w:szCs w:val="16"/>
      </w:rPr>
      <w:t xml:space="preserve"> Guide</w:t>
    </w:r>
    <w:r w:rsidR="00FE1052">
      <w:rPr>
        <w:caps w:val="0"/>
        <w:color w:val="335876"/>
        <w:sz w:val="16"/>
        <w:szCs w:val="16"/>
      </w:rPr>
      <w:t xml:space="preserve"> </w:t>
    </w:r>
  </w:p>
  <w:p w14:paraId="4CD7F795" w14:textId="77777777" w:rsidR="00FE1052" w:rsidRPr="009A241C" w:rsidRDefault="00FE1052" w:rsidP="00423952">
    <w:pPr>
      <w:pStyle w:val="Header"/>
      <w:pBdr>
        <w:bottom w:val="single" w:sz="4" w:space="1" w:color="auto"/>
      </w:pBdr>
      <w:rPr>
        <w:color w:val="335876"/>
        <w:sz w:val="15"/>
      </w:rPr>
    </w:pPr>
  </w:p>
  <w:p w14:paraId="1441F5B5" w14:textId="77777777" w:rsidR="00FE1052" w:rsidRPr="00607411" w:rsidRDefault="00FE1052" w:rsidP="000E5315">
    <w:pPr>
      <w:pStyle w:val="Header"/>
      <w:rPr>
        <w:vanish/>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9228" w14:textId="2F3459D0" w:rsidR="00B40078" w:rsidRDefault="009274C1">
    <w:pPr>
      <w:pStyle w:val="Header"/>
    </w:pPr>
    <w:r>
      <w:rPr>
        <w:noProof/>
      </w:rPr>
      <mc:AlternateContent>
        <mc:Choice Requires="wps">
          <w:drawing>
            <wp:anchor distT="0" distB="0" distL="0" distR="0" simplePos="0" relativeHeight="251692032" behindDoc="0" locked="0" layoutInCell="1" allowOverlap="1" wp14:anchorId="06665A1B" wp14:editId="1149D8F6">
              <wp:simplePos x="635" y="635"/>
              <wp:positionH relativeFrom="page">
                <wp:align>center</wp:align>
              </wp:positionH>
              <wp:positionV relativeFrom="page">
                <wp:align>top</wp:align>
              </wp:positionV>
              <wp:extent cx="599440" cy="344805"/>
              <wp:effectExtent l="0" t="0" r="10160" b="17145"/>
              <wp:wrapNone/>
              <wp:docPr id="1464529027"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29AEEB2F" w14:textId="368136CD"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665A1B" id="_x0000_t202" coordsize="21600,21600" o:spt="202" path="m,l,21600r21600,l21600,xe">
              <v:stroke joinstyle="miter"/>
              <v:path gradientshapeok="t" o:connecttype="rect"/>
            </v:shapetype>
            <v:shape id="Text Box 10" o:spid="_x0000_s1050" type="#_x0000_t202" alt="OFFICIAL" style="position:absolute;margin-left:0;margin-top:0;width:47.2pt;height:27.15pt;z-index:2516920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Coa6b+DgIAAB0E&#10;AAAOAAAAAAAAAAAAAAAAAC4CAABkcnMvZTJvRG9jLnhtbFBLAQItABQABgAIAAAAIQD+Cm9s2gAA&#10;AAMBAAAPAAAAAAAAAAAAAAAAAGgEAABkcnMvZG93bnJldi54bWxQSwUGAAAAAAQABADzAAAAbwUA&#10;AAAA&#10;" filled="f" stroked="f">
              <v:fill o:detectmouseclick="t"/>
              <v:textbox style="mso-fit-shape-to-text:t" inset="0,15pt,0,0">
                <w:txbxContent>
                  <w:p w14:paraId="29AEEB2F" w14:textId="368136CD"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FE1052" w:rsidRPr="00BE2B9A" w14:paraId="5122CE1B" w14:textId="77777777">
      <w:trPr>
        <w:trHeight w:hRule="exact" w:val="567"/>
      </w:trPr>
      <w:tc>
        <w:tcPr>
          <w:tcW w:w="3629" w:type="dxa"/>
          <w:shd w:val="clear" w:color="auto" w:fill="auto"/>
        </w:tcPr>
        <w:p w14:paraId="022B3126" w14:textId="172834BA" w:rsidR="00FE1052" w:rsidRPr="00BE2B9A" w:rsidRDefault="009274C1" w:rsidP="000E5315">
          <w:pPr>
            <w:pStyle w:val="Header"/>
            <w:spacing w:before="100" w:after="100"/>
            <w:rPr>
              <w:sz w:val="32"/>
            </w:rPr>
          </w:pPr>
          <w:r>
            <w:rPr>
              <w:noProof/>
            </w:rPr>
            <mc:AlternateContent>
              <mc:Choice Requires="wps">
                <w:drawing>
                  <wp:anchor distT="0" distB="0" distL="0" distR="0" simplePos="0" relativeHeight="251684864" behindDoc="0" locked="0" layoutInCell="1" allowOverlap="1" wp14:anchorId="7C7B7B9D" wp14:editId="2FC1C7AC">
                    <wp:simplePos x="635" y="635"/>
                    <wp:positionH relativeFrom="page">
                      <wp:align>center</wp:align>
                    </wp:positionH>
                    <wp:positionV relativeFrom="page">
                      <wp:align>top</wp:align>
                    </wp:positionV>
                    <wp:extent cx="599440" cy="344805"/>
                    <wp:effectExtent l="0" t="0" r="10160" b="17145"/>
                    <wp:wrapNone/>
                    <wp:docPr id="26984021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0E641CB4" w14:textId="31ADEB13"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7B7B9D" id="_x0000_t202" coordsize="21600,21600" o:spt="202" path="m,l,21600r21600,l21600,xe">
                    <v:stroke joinstyle="miter"/>
                    <v:path gradientshapeok="t" o:connecttype="rect"/>
                  </v:shapetype>
                  <v:shape id="Text Box 3" o:spid="_x0000_s1029" type="#_x0000_t202" alt="OFFICIAL" style="position:absolute;margin-left:0;margin-top:0;width:47.2pt;height:27.15pt;z-index:251684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xefDQIAABw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" filled="f" stroked="f">
                    <v:fill o:detectmouseclick="t"/>
                    <v:textbox style="mso-fit-shape-to-text:t" inset="0,15pt,0,0">
                      <w:txbxContent>
                        <w:p w14:paraId="0E641CB4" w14:textId="31ADEB13"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v:textbox>
                    <w10:wrap anchorx="page" anchory="page"/>
                  </v:shape>
                </w:pict>
              </mc:Fallback>
            </mc:AlternateContent>
          </w:r>
          <w:r w:rsidR="00FE1052">
            <w:fldChar w:fldCharType="begin"/>
          </w:r>
          <w:r w:rsidR="00FE1052">
            <w:instrText xml:space="preserve"> DOCPROPERTY  Classification  \* MERGEFORMAT </w:instrText>
          </w:r>
          <w:r w:rsidR="00FE1052">
            <w:fldChar w:fldCharType="separate"/>
          </w:r>
          <w:r w:rsidR="00FE1052">
            <w:rPr>
              <w:b/>
              <w:bCs/>
              <w:lang w:val="en-US"/>
            </w:rPr>
            <w:t>Error! Unknown document property name.</w:t>
          </w:r>
          <w:r w:rsidR="00FE1052">
            <w:fldChar w:fldCharType="end"/>
          </w:r>
        </w:p>
      </w:tc>
      <w:tc>
        <w:tcPr>
          <w:tcW w:w="6010" w:type="dxa"/>
          <w:shd w:val="clear" w:color="auto" w:fill="auto"/>
        </w:tcPr>
        <w:p w14:paraId="4E092D7C" w14:textId="77777777" w:rsidR="00FE1052" w:rsidRPr="00BE2B9A" w:rsidRDefault="00FE1052" w:rsidP="00513723">
          <w:pPr>
            <w:pStyle w:val="Header"/>
            <w:spacing w:before="160" w:after="100"/>
            <w:jc w:val="right"/>
            <w:rPr>
              <w:sz w:val="15"/>
            </w:rPr>
          </w:pPr>
          <w:r>
            <w:rPr>
              <w:sz w:val="15"/>
            </w:rPr>
            <w:fldChar w:fldCharType="begin"/>
          </w:r>
          <w:r>
            <w:rPr>
              <w:sz w:val="15"/>
            </w:rPr>
            <w:instrText xml:space="preserve"> TITLE  \* Upper  \* MERGEFORMAT </w:instrText>
          </w:r>
          <w:r>
            <w:rPr>
              <w:sz w:val="15"/>
            </w:rPr>
            <w:fldChar w:fldCharType="separate"/>
          </w:r>
          <w:r w:rsidRPr="00EA171C">
            <w:rPr>
              <w:sz w:val="15"/>
            </w:rPr>
            <w:t>IFRS</w:t>
          </w:r>
          <w:r>
            <w:rPr>
              <w:caps w:val="0"/>
            </w:rPr>
            <w:t xml:space="preserve"> AU TAXONOMY 2012 GUIDE</w:t>
          </w:r>
          <w:r>
            <w:rPr>
              <w:caps w:val="0"/>
            </w:rPr>
            <w:fldChar w:fldCharType="end"/>
          </w:r>
        </w:p>
      </w:tc>
    </w:tr>
  </w:tbl>
  <w:p w14:paraId="3F49CD68" w14:textId="77777777" w:rsidR="00FE1052" w:rsidRPr="004E35EF" w:rsidRDefault="00FE1052" w:rsidP="000E5315">
    <w:pPr>
      <w:pStyle w:val="Header"/>
      <w:rPr>
        <w:vanish/>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2E95" w14:textId="0D730DDA" w:rsidR="00B40078" w:rsidRDefault="009274C1">
    <w:pPr>
      <w:pStyle w:val="Header"/>
    </w:pPr>
    <w:r>
      <w:rPr>
        <w:noProof/>
      </w:rPr>
      <mc:AlternateContent>
        <mc:Choice Requires="wps">
          <w:drawing>
            <wp:anchor distT="0" distB="0" distL="0" distR="0" simplePos="0" relativeHeight="251682816" behindDoc="0" locked="0" layoutInCell="1" allowOverlap="1" wp14:anchorId="11E72DA1" wp14:editId="34246B36">
              <wp:simplePos x="831850" y="450850"/>
              <wp:positionH relativeFrom="page">
                <wp:align>center</wp:align>
              </wp:positionH>
              <wp:positionV relativeFrom="page">
                <wp:align>top</wp:align>
              </wp:positionV>
              <wp:extent cx="599440" cy="344805"/>
              <wp:effectExtent l="0" t="0" r="10160" b="17145"/>
              <wp:wrapNone/>
              <wp:docPr id="183218103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3CAB50E3" w14:textId="134ADD86"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E72DA1" id="_x0000_t202" coordsize="21600,21600" o:spt="202" path="m,l,21600r21600,l21600,xe">
              <v:stroke joinstyle="miter"/>
              <v:path gradientshapeok="t" o:connecttype="rect"/>
            </v:shapetype>
            <v:shape id="Text Box 1" o:spid="_x0000_s1032" type="#_x0000_t202" alt="OFFICIAL" style="position:absolute;margin-left:0;margin-top:0;width:47.2pt;height:27.15pt;z-index:251682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BJeCQIAABU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" filled="f" stroked="f">
              <v:fill o:detectmouseclick="t"/>
              <v:textbox style="mso-fit-shape-to-text:t" inset="0,15pt,0,0">
                <w:txbxContent>
                  <w:p w14:paraId="3CAB50E3" w14:textId="134ADD86"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FFF3" w14:textId="3CD47354" w:rsidR="00FE1052" w:rsidRDefault="009274C1">
    <w:pPr>
      <w:pStyle w:val="Header"/>
    </w:pPr>
    <w:r>
      <w:rPr>
        <w:noProof/>
      </w:rPr>
      <mc:AlternateContent>
        <mc:Choice Requires="wps">
          <w:drawing>
            <wp:anchor distT="0" distB="0" distL="0" distR="0" simplePos="0" relativeHeight="251686912" behindDoc="0" locked="0" layoutInCell="1" allowOverlap="1" wp14:anchorId="3D593B07" wp14:editId="08E2906C">
              <wp:simplePos x="635" y="635"/>
              <wp:positionH relativeFrom="page">
                <wp:align>center</wp:align>
              </wp:positionH>
              <wp:positionV relativeFrom="page">
                <wp:align>top</wp:align>
              </wp:positionV>
              <wp:extent cx="599440" cy="344805"/>
              <wp:effectExtent l="0" t="0" r="10160" b="17145"/>
              <wp:wrapNone/>
              <wp:docPr id="11393006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0E1E76F8" w14:textId="41C6C250"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593B07" id="_x0000_t202" coordsize="21600,21600" o:spt="202" path="m,l,21600r21600,l21600,xe">
              <v:stroke joinstyle="miter"/>
              <v:path gradientshapeok="t" o:connecttype="rect"/>
            </v:shapetype>
            <v:shape id="_x0000_s1034" type="#_x0000_t202" alt="OFFICIAL" style="position:absolute;margin-left:0;margin-top:0;width:47.2pt;height:27.15pt;z-index:2516869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B4esDZDgIAABwE&#10;AAAOAAAAAAAAAAAAAAAAAC4CAABkcnMvZTJvRG9jLnhtbFBLAQItABQABgAIAAAAIQD+Cm9s2gAA&#10;AAMBAAAPAAAAAAAAAAAAAAAAAGgEAABkcnMvZG93bnJldi54bWxQSwUGAAAAAAQABADzAAAAbwUA&#10;AAAA&#10;" filled="f" stroked="f">
              <v:fill o:detectmouseclick="t"/>
              <v:textbox style="mso-fit-shape-to-text:t" inset="0,15pt,0,0">
                <w:txbxContent>
                  <w:p w14:paraId="0E1E76F8" w14:textId="41C6C250"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6E588" w14:textId="6B6E0CE9" w:rsidR="00FE1052" w:rsidRDefault="009274C1" w:rsidP="000E5315">
    <w:pPr>
      <w:pStyle w:val="Header"/>
      <w:pBdr>
        <w:bottom w:val="single" w:sz="4" w:space="1" w:color="auto"/>
      </w:pBdr>
      <w:rPr>
        <w:color w:val="335876"/>
        <w:sz w:val="16"/>
        <w:szCs w:val="16"/>
      </w:rPr>
    </w:pPr>
    <w:r>
      <w:rPr>
        <w:noProof/>
        <w:color w:val="335876"/>
        <w:sz w:val="16"/>
        <w:szCs w:val="16"/>
      </w:rPr>
      <mc:AlternateContent>
        <mc:Choice Requires="wps">
          <w:drawing>
            <wp:anchor distT="0" distB="0" distL="0" distR="0" simplePos="0" relativeHeight="251687936" behindDoc="0" locked="0" layoutInCell="1" allowOverlap="1" wp14:anchorId="77F2292C" wp14:editId="03FB0B18">
              <wp:simplePos x="828675" y="270510"/>
              <wp:positionH relativeFrom="page">
                <wp:align>center</wp:align>
              </wp:positionH>
              <wp:positionV relativeFrom="page">
                <wp:align>top</wp:align>
              </wp:positionV>
              <wp:extent cx="599440" cy="344805"/>
              <wp:effectExtent l="0" t="0" r="10160" b="17145"/>
              <wp:wrapNone/>
              <wp:docPr id="88201052"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655A757E" w14:textId="5A5A5F4E"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F2292C" id="_x0000_t202" coordsize="21600,21600" o:spt="202" path="m,l,21600r21600,l21600,xe">
              <v:stroke joinstyle="miter"/>
              <v:path gradientshapeok="t" o:connecttype="rect"/>
            </v:shapetype>
            <v:shape id="Text Box 6" o:spid="_x0000_s1035" type="#_x0000_t202" alt="OFFICIAL" style="position:absolute;margin-left:0;margin-top:0;width:47.2pt;height:27.15pt;z-index:2516879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" filled="f" stroked="f">
              <v:fill o:detectmouseclick="t"/>
              <v:textbox style="mso-fit-shape-to-text:t" inset="0,15pt,0,0">
                <w:txbxContent>
                  <w:p w14:paraId="655A757E" w14:textId="5A5A5F4E"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v:textbox>
              <w10:wrap anchorx="page" anchory="page"/>
            </v:shape>
          </w:pict>
        </mc:Fallback>
      </mc:AlternateContent>
    </w:r>
    <w:r w:rsidR="00FE1052" w:rsidRPr="009A241C">
      <w:rPr>
        <w:color w:val="335876"/>
        <w:sz w:val="16"/>
        <w:szCs w:val="16"/>
      </w:rPr>
      <w:t xml:space="preserve">Standard business reporting </w:t>
    </w:r>
    <w:r w:rsidR="00FE1052" w:rsidRPr="009A241C">
      <w:rPr>
        <w:color w:val="335876"/>
        <w:sz w:val="16"/>
        <w:szCs w:val="16"/>
      </w:rPr>
      <w:tab/>
    </w:r>
    <w:r w:rsidR="00FE1052" w:rsidRPr="009A241C">
      <w:rPr>
        <w:color w:val="335876"/>
        <w:sz w:val="16"/>
        <w:szCs w:val="16"/>
      </w:rPr>
      <w:tab/>
    </w:r>
    <w:r w:rsidR="00FE1052" w:rsidRPr="009A241C">
      <w:rPr>
        <w:color w:val="335876"/>
        <w:sz w:val="16"/>
        <w:szCs w:val="16"/>
      </w:rPr>
      <w:tab/>
    </w:r>
    <w:r w:rsidR="00FE1052">
      <w:rPr>
        <w:color w:val="335876"/>
        <w:sz w:val="16"/>
        <w:szCs w:val="16"/>
      </w:rPr>
      <w:tab/>
    </w:r>
    <w:r w:rsidR="00FE1052">
      <w:rPr>
        <w:color w:val="335876"/>
        <w:sz w:val="16"/>
        <w:szCs w:val="16"/>
      </w:rPr>
      <w:tab/>
    </w:r>
    <w:r w:rsidR="00FE1052">
      <w:rPr>
        <w:color w:val="335876"/>
        <w:sz w:val="16"/>
        <w:szCs w:val="16"/>
      </w:rPr>
      <w:tab/>
      <w:t xml:space="preserve">IFRS AU Taxonomy </w:t>
    </w:r>
    <w:r w:rsidR="0020582C">
      <w:rPr>
        <w:color w:val="335876"/>
        <w:sz w:val="16"/>
        <w:szCs w:val="16"/>
      </w:rPr>
      <w:t>2025</w:t>
    </w:r>
    <w:r w:rsidR="00FE1052">
      <w:rPr>
        <w:color w:val="335876"/>
        <w:sz w:val="16"/>
        <w:szCs w:val="16"/>
      </w:rPr>
      <w:t xml:space="preserve"> Guide</w:t>
    </w:r>
    <w:r w:rsidR="00FE1052">
      <w:rPr>
        <w:caps w:val="0"/>
        <w:color w:val="335876"/>
        <w:sz w:val="16"/>
        <w:szCs w:val="16"/>
      </w:rPr>
      <w:t xml:space="preserve"> </w:t>
    </w:r>
  </w:p>
  <w:p w14:paraId="67E04FD8" w14:textId="77777777" w:rsidR="00FE1052" w:rsidRPr="009A241C" w:rsidRDefault="00FE1052" w:rsidP="000E5315">
    <w:pPr>
      <w:pStyle w:val="Header"/>
      <w:pBdr>
        <w:bottom w:val="single" w:sz="4" w:space="1" w:color="auto"/>
      </w:pBdr>
      <w:rPr>
        <w:color w:val="335876"/>
        <w:sz w:val="15"/>
      </w:rPr>
    </w:pPr>
  </w:p>
  <w:p w14:paraId="23640F93" w14:textId="77777777" w:rsidR="00FE1052" w:rsidRPr="00607411" w:rsidRDefault="00FE1052"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4FEF" w14:textId="3B5387F0" w:rsidR="00FE1052" w:rsidRDefault="009274C1">
    <w:pPr>
      <w:pStyle w:val="Header"/>
    </w:pPr>
    <w:r>
      <w:rPr>
        <w:noProof/>
      </w:rPr>
      <mc:AlternateContent>
        <mc:Choice Requires="wps">
          <w:drawing>
            <wp:anchor distT="0" distB="0" distL="0" distR="0" simplePos="0" relativeHeight="251685888" behindDoc="0" locked="0" layoutInCell="1" allowOverlap="1" wp14:anchorId="0E92D80F" wp14:editId="1A83970D">
              <wp:simplePos x="635" y="635"/>
              <wp:positionH relativeFrom="page">
                <wp:align>center</wp:align>
              </wp:positionH>
              <wp:positionV relativeFrom="page">
                <wp:align>top</wp:align>
              </wp:positionV>
              <wp:extent cx="599440" cy="344805"/>
              <wp:effectExtent l="0" t="0" r="10160" b="17145"/>
              <wp:wrapNone/>
              <wp:docPr id="762596660"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2B398D2B" w14:textId="59E964FD"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92D80F" id="_x0000_t202" coordsize="21600,21600" o:spt="202" path="m,l,21600r21600,l21600,xe">
              <v:stroke joinstyle="miter"/>
              <v:path gradientshapeok="t" o:connecttype="rect"/>
            </v:shapetype>
            <v:shape id="Text Box 4" o:spid="_x0000_s1038" type="#_x0000_t202" alt="OFFICIAL" style="position:absolute;margin-left:0;margin-top:0;width:47.2pt;height:27.15pt;z-index:251685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AVxXLkDgIAABwE&#10;AAAOAAAAAAAAAAAAAAAAAC4CAABkcnMvZTJvRG9jLnhtbFBLAQItABQABgAIAAAAIQD+Cm9s2gAA&#10;AAMBAAAPAAAAAAAAAAAAAAAAAGgEAABkcnMvZG93bnJldi54bWxQSwUGAAAAAAQABADzAAAAbwUA&#10;AAAA&#10;" filled="f" stroked="f">
              <v:fill o:detectmouseclick="t"/>
              <v:textbox style="mso-fit-shape-to-text:t" inset="0,15pt,0,0">
                <w:txbxContent>
                  <w:p w14:paraId="2B398D2B" w14:textId="59E964FD"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9348F" w14:textId="33FD8E13" w:rsidR="00FE1052" w:rsidRDefault="009274C1">
    <w:pPr>
      <w:pStyle w:val="Header"/>
    </w:pPr>
    <w:r>
      <w:rPr>
        <w:noProof/>
      </w:rPr>
      <mc:AlternateContent>
        <mc:Choice Requires="wps">
          <w:drawing>
            <wp:anchor distT="0" distB="0" distL="0" distR="0" simplePos="0" relativeHeight="251689984" behindDoc="0" locked="0" layoutInCell="1" allowOverlap="1" wp14:anchorId="2140351D" wp14:editId="16D0F8D4">
              <wp:simplePos x="635" y="635"/>
              <wp:positionH relativeFrom="page">
                <wp:align>center</wp:align>
              </wp:positionH>
              <wp:positionV relativeFrom="page">
                <wp:align>top</wp:align>
              </wp:positionV>
              <wp:extent cx="599440" cy="344805"/>
              <wp:effectExtent l="0" t="0" r="10160" b="17145"/>
              <wp:wrapNone/>
              <wp:docPr id="538335483"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0A260900" w14:textId="7033FE9E"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40351D" id="_x0000_t202" coordsize="21600,21600" o:spt="202" path="m,l,21600r21600,l21600,xe">
              <v:stroke joinstyle="miter"/>
              <v:path gradientshapeok="t" o:connecttype="rect"/>
            </v:shapetype>
            <v:shape id="Text Box 8" o:spid="_x0000_s1040" type="#_x0000_t202" alt="OFFICIAL" style="position:absolute;margin-left:0;margin-top:0;width:47.2pt;height:27.15pt;z-index:2516899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A2V5WODgIAAB0E&#10;AAAOAAAAAAAAAAAAAAAAAC4CAABkcnMvZTJvRG9jLnhtbFBLAQItABQABgAIAAAAIQD+Cm9s2gAA&#10;AAMBAAAPAAAAAAAAAAAAAAAAAGgEAABkcnMvZG93bnJldi54bWxQSwUGAAAAAAQABADzAAAAbwUA&#10;AAAA&#10;" filled="f" stroked="f">
              <v:fill o:detectmouseclick="t"/>
              <v:textbox style="mso-fit-shape-to-text:t" inset="0,15pt,0,0">
                <w:txbxContent>
                  <w:p w14:paraId="0A260900" w14:textId="7033FE9E"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4FE9" w14:textId="4E8F7471" w:rsidR="00B40078" w:rsidRDefault="009274C1">
    <w:pPr>
      <w:pStyle w:val="Header"/>
    </w:pPr>
    <w:r>
      <w:rPr>
        <w:noProof/>
      </w:rPr>
      <mc:AlternateContent>
        <mc:Choice Requires="wps">
          <w:drawing>
            <wp:anchor distT="0" distB="0" distL="0" distR="0" simplePos="0" relativeHeight="251691008" behindDoc="0" locked="0" layoutInCell="1" allowOverlap="1" wp14:anchorId="7073011E" wp14:editId="524D8E2D">
              <wp:simplePos x="635" y="635"/>
              <wp:positionH relativeFrom="page">
                <wp:align>center</wp:align>
              </wp:positionH>
              <wp:positionV relativeFrom="page">
                <wp:align>top</wp:align>
              </wp:positionV>
              <wp:extent cx="599440" cy="344805"/>
              <wp:effectExtent l="0" t="0" r="10160" b="17145"/>
              <wp:wrapNone/>
              <wp:docPr id="328086575"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79548E5E" w14:textId="3BE692CD"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73011E" id="_x0000_t202" coordsize="21600,21600" o:spt="202" path="m,l,21600r21600,l21600,xe">
              <v:stroke joinstyle="miter"/>
              <v:path gradientshapeok="t" o:connecttype="rect"/>
            </v:shapetype>
            <v:shape id="Text Box 9" o:spid="_x0000_s1041" type="#_x0000_t202" alt="OFFICIAL" style="position:absolute;margin-left:0;margin-top:0;width:47.2pt;height:27.15pt;z-index:2516910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DvFe1FDgIAAB0E&#10;AAAOAAAAAAAAAAAAAAAAAC4CAABkcnMvZTJvRG9jLnhtbFBLAQItABQABgAIAAAAIQD+Cm9s2gAA&#10;AAMBAAAPAAAAAAAAAAAAAAAAAGgEAABkcnMvZG93bnJldi54bWxQSwUGAAAAAAQABADzAAAAbwUA&#10;AAAA&#10;" filled="f" stroked="f">
              <v:fill o:detectmouseclick="t"/>
              <v:textbox style="mso-fit-shape-to-text:t" inset="0,15pt,0,0">
                <w:txbxContent>
                  <w:p w14:paraId="79548E5E" w14:textId="3BE692CD"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8FB8" w14:textId="0987F790" w:rsidR="00FE1052" w:rsidRDefault="009274C1">
    <w:pPr>
      <w:pStyle w:val="Header"/>
    </w:pPr>
    <w:r>
      <w:rPr>
        <w:noProof/>
      </w:rPr>
      <mc:AlternateContent>
        <mc:Choice Requires="wps">
          <w:drawing>
            <wp:anchor distT="0" distB="0" distL="0" distR="0" simplePos="0" relativeHeight="251688960" behindDoc="0" locked="0" layoutInCell="1" allowOverlap="1" wp14:anchorId="4030F574" wp14:editId="610E74AF">
              <wp:simplePos x="635" y="635"/>
              <wp:positionH relativeFrom="page">
                <wp:align>center</wp:align>
              </wp:positionH>
              <wp:positionV relativeFrom="page">
                <wp:align>top</wp:align>
              </wp:positionV>
              <wp:extent cx="599440" cy="344805"/>
              <wp:effectExtent l="0" t="0" r="10160" b="17145"/>
              <wp:wrapNone/>
              <wp:docPr id="943625964"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451F3EF0" w14:textId="5ABE5574"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30F574" id="_x0000_t202" coordsize="21600,21600" o:spt="202" path="m,l,21600r21600,l21600,xe">
              <v:stroke joinstyle="miter"/>
              <v:path gradientshapeok="t" o:connecttype="rect"/>
            </v:shapetype>
            <v:shape id="Text Box 7" o:spid="_x0000_s1044" type="#_x0000_t202" alt="OFFICIAL" style="position:absolute;margin-left:0;margin-top:0;width:47.2pt;height:27.15pt;z-index:2516889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Bb6CezDgIAAB0E&#10;AAAOAAAAAAAAAAAAAAAAAC4CAABkcnMvZTJvRG9jLnhtbFBLAQItABQABgAIAAAAIQD+Cm9s2gAA&#10;AAMBAAAPAAAAAAAAAAAAAAAAAGgEAABkcnMvZG93bnJldi54bWxQSwUGAAAAAAQABADzAAAAbwUA&#10;AAAA&#10;" filled="f" stroked="f">
              <v:fill o:detectmouseclick="t"/>
              <v:textbox style="mso-fit-shape-to-text:t" inset="0,15pt,0,0">
                <w:txbxContent>
                  <w:p w14:paraId="451F3EF0" w14:textId="5ABE5574" w:rsidR="009274C1" w:rsidRPr="009274C1" w:rsidRDefault="009274C1" w:rsidP="009274C1">
                    <w:pPr>
                      <w:rPr>
                        <w:rFonts w:ascii="Verdana" w:eastAsia="Verdana" w:hAnsi="Verdana" w:cs="Verdana"/>
                        <w:noProof/>
                        <w:color w:val="B40029"/>
                        <w:sz w:val="20"/>
                        <w:szCs w:val="20"/>
                      </w:rPr>
                    </w:pPr>
                    <w:r w:rsidRPr="009274C1">
                      <w:rPr>
                        <w:rFonts w:ascii="Verdana" w:eastAsia="Verdana" w:hAnsi="Verdana" w:cs="Verdana"/>
                        <w:noProof/>
                        <w:color w:val="B40029"/>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7626CDC"/>
    <w:multiLevelType w:val="hybridMultilevel"/>
    <w:tmpl w:val="59D6EEF6"/>
    <w:lvl w:ilvl="0" w:tplc="0C090001">
      <w:start w:val="1"/>
      <w:numFmt w:val="bullet"/>
      <w:lvlText w:val=""/>
      <w:lvlJc w:val="left"/>
      <w:pPr>
        <w:ind w:left="766" w:hanging="360"/>
      </w:pPr>
      <w:rPr>
        <w:rFonts w:ascii="Symbol" w:hAnsi="Symbol" w:hint="default"/>
      </w:rPr>
    </w:lvl>
    <w:lvl w:ilvl="1" w:tplc="0C090003">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8C4557B"/>
    <w:multiLevelType w:val="hybridMultilevel"/>
    <w:tmpl w:val="7410F646"/>
    <w:lvl w:ilvl="0" w:tplc="E8A25050">
      <w:start w:val="1"/>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A3814E3"/>
    <w:multiLevelType w:val="hybridMultilevel"/>
    <w:tmpl w:val="DA325C46"/>
    <w:lvl w:ilvl="0" w:tplc="C046F994">
      <w:start w:val="5"/>
      <w:numFmt w:val="decimal"/>
      <w:lvlText w:val="Illustra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4D52682"/>
    <w:multiLevelType w:val="hybridMultilevel"/>
    <w:tmpl w:val="0C7E9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6" w15:restartNumberingAfterBreak="0">
    <w:nsid w:val="2E652371"/>
    <w:multiLevelType w:val="hybridMultilevel"/>
    <w:tmpl w:val="AAD09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E9D72F9"/>
    <w:multiLevelType w:val="hybridMultilevel"/>
    <w:tmpl w:val="F31AD2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0"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15:restartNumberingAfterBreak="0">
    <w:nsid w:val="31456F63"/>
    <w:multiLevelType w:val="hybridMultilevel"/>
    <w:tmpl w:val="5CCC76B0"/>
    <w:lvl w:ilvl="0" w:tplc="27AAFD06">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4"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54961A8"/>
    <w:multiLevelType w:val="multilevel"/>
    <w:tmpl w:val="78B666F0"/>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1"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3"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3E82360E"/>
    <w:multiLevelType w:val="hybridMultilevel"/>
    <w:tmpl w:val="DB20F35C"/>
    <w:lvl w:ilvl="0" w:tplc="CB5C44C4">
      <w:start w:val="1"/>
      <w:numFmt w:val="decimal"/>
      <w:lvlText w:val="Illustra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45924216"/>
    <w:multiLevelType w:val="hybridMultilevel"/>
    <w:tmpl w:val="FF8E823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9"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F811696"/>
    <w:multiLevelType w:val="hybridMultilevel"/>
    <w:tmpl w:val="5D806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8"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6B613169"/>
    <w:multiLevelType w:val="hybridMultilevel"/>
    <w:tmpl w:val="9D8C8F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D262B85"/>
    <w:multiLevelType w:val="hybridMultilevel"/>
    <w:tmpl w:val="94A4C23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7"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70AD722F"/>
    <w:multiLevelType w:val="multilevel"/>
    <w:tmpl w:val="0D862CF4"/>
    <w:lvl w:ilvl="0">
      <w:start w:val="1"/>
      <w:numFmt w:val="decimal"/>
      <w:pStyle w:val="Head1"/>
      <w:lvlText w:val="%1"/>
      <w:lvlJc w:val="left"/>
      <w:pPr>
        <w:tabs>
          <w:tab w:val="num" w:pos="1928"/>
        </w:tabs>
        <w:ind w:left="1850"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9" w15:restartNumberingAfterBreak="0">
    <w:nsid w:val="72353652"/>
    <w:multiLevelType w:val="hybridMultilevel"/>
    <w:tmpl w:val="B950DBC4"/>
    <w:lvl w:ilvl="0" w:tplc="91469A80">
      <w:start w:val="1"/>
      <w:numFmt w:val="decimal"/>
      <w:lvlText w:val="Table %1"/>
      <w:lvlJc w:val="left"/>
      <w:pPr>
        <w:ind w:left="1070" w:hanging="360"/>
      </w:pPr>
      <w:rPr>
        <w:rFonts w:ascii="Arial Bold" w:hAnsi="Arial Bold" w:hint="default"/>
        <w:b/>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72E175AE"/>
    <w:multiLevelType w:val="hybridMultilevel"/>
    <w:tmpl w:val="C15A2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2"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3"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7A206B05"/>
    <w:multiLevelType w:val="hybridMultilevel"/>
    <w:tmpl w:val="D35AD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2" w15:restartNumberingAfterBreak="0">
    <w:nsid w:val="7F2A497F"/>
    <w:multiLevelType w:val="hybridMultilevel"/>
    <w:tmpl w:val="A19C7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F5A7583"/>
    <w:multiLevelType w:val="multilevel"/>
    <w:tmpl w:val="0C09001D"/>
    <w:lvl w:ilvl="0">
      <w:start w:val="1"/>
      <w:numFmt w:val="decimal"/>
      <w:lvlText w:val="%1)"/>
      <w:lvlJc w:val="left"/>
      <w:pPr>
        <w:tabs>
          <w:tab w:val="num" w:pos="2960"/>
        </w:tabs>
        <w:ind w:left="2960" w:hanging="360"/>
      </w:pPr>
    </w:lvl>
    <w:lvl w:ilvl="1">
      <w:start w:val="1"/>
      <w:numFmt w:val="lowerLetter"/>
      <w:lvlText w:val="%2)"/>
      <w:lvlJc w:val="left"/>
      <w:pPr>
        <w:tabs>
          <w:tab w:val="num" w:pos="3320"/>
        </w:tabs>
        <w:ind w:left="3320" w:hanging="360"/>
      </w:pPr>
    </w:lvl>
    <w:lvl w:ilvl="2">
      <w:start w:val="1"/>
      <w:numFmt w:val="lowerRoman"/>
      <w:lvlText w:val="%3)"/>
      <w:lvlJc w:val="left"/>
      <w:pPr>
        <w:tabs>
          <w:tab w:val="num" w:pos="3680"/>
        </w:tabs>
        <w:ind w:left="3680" w:hanging="360"/>
      </w:pPr>
    </w:lvl>
    <w:lvl w:ilvl="3">
      <w:start w:val="1"/>
      <w:numFmt w:val="decimal"/>
      <w:lvlText w:val="(%4)"/>
      <w:lvlJc w:val="left"/>
      <w:pPr>
        <w:tabs>
          <w:tab w:val="num" w:pos="4040"/>
        </w:tabs>
        <w:ind w:left="4040" w:hanging="360"/>
      </w:pPr>
    </w:lvl>
    <w:lvl w:ilvl="4">
      <w:start w:val="1"/>
      <w:numFmt w:val="lowerLetter"/>
      <w:lvlText w:val="(%5)"/>
      <w:lvlJc w:val="left"/>
      <w:pPr>
        <w:tabs>
          <w:tab w:val="num" w:pos="4400"/>
        </w:tabs>
        <w:ind w:left="4400" w:hanging="360"/>
      </w:pPr>
    </w:lvl>
    <w:lvl w:ilvl="5">
      <w:start w:val="1"/>
      <w:numFmt w:val="lowerRoman"/>
      <w:lvlText w:val="(%6)"/>
      <w:lvlJc w:val="left"/>
      <w:pPr>
        <w:tabs>
          <w:tab w:val="num" w:pos="4760"/>
        </w:tabs>
        <w:ind w:left="4760" w:hanging="360"/>
      </w:pPr>
    </w:lvl>
    <w:lvl w:ilvl="6">
      <w:start w:val="1"/>
      <w:numFmt w:val="decimal"/>
      <w:lvlText w:val="%7."/>
      <w:lvlJc w:val="left"/>
      <w:pPr>
        <w:tabs>
          <w:tab w:val="num" w:pos="5120"/>
        </w:tabs>
        <w:ind w:left="5120" w:hanging="360"/>
      </w:pPr>
    </w:lvl>
    <w:lvl w:ilvl="7">
      <w:start w:val="1"/>
      <w:numFmt w:val="lowerLetter"/>
      <w:lvlText w:val="%8."/>
      <w:lvlJc w:val="left"/>
      <w:pPr>
        <w:tabs>
          <w:tab w:val="num" w:pos="5480"/>
        </w:tabs>
        <w:ind w:left="5480" w:hanging="360"/>
      </w:pPr>
    </w:lvl>
    <w:lvl w:ilvl="8">
      <w:start w:val="1"/>
      <w:numFmt w:val="lowerRoman"/>
      <w:lvlText w:val="%9."/>
      <w:lvlJc w:val="left"/>
      <w:pPr>
        <w:tabs>
          <w:tab w:val="num" w:pos="5840"/>
        </w:tabs>
        <w:ind w:left="5840" w:hanging="360"/>
      </w:pPr>
    </w:lvl>
  </w:abstractNum>
  <w:num w:numId="1" w16cid:durableId="852643401">
    <w:abstractNumId w:val="52"/>
  </w:num>
  <w:num w:numId="2" w16cid:durableId="2001809857">
    <w:abstractNumId w:val="68"/>
  </w:num>
  <w:num w:numId="3" w16cid:durableId="1109819344">
    <w:abstractNumId w:val="96"/>
  </w:num>
  <w:num w:numId="4" w16cid:durableId="1336033803">
    <w:abstractNumId w:val="50"/>
  </w:num>
  <w:num w:numId="5" w16cid:durableId="1259489322">
    <w:abstractNumId w:val="103"/>
  </w:num>
  <w:num w:numId="6" w16cid:durableId="616064019">
    <w:abstractNumId w:val="86"/>
  </w:num>
  <w:num w:numId="7" w16cid:durableId="296761509">
    <w:abstractNumId w:val="39"/>
  </w:num>
  <w:num w:numId="8" w16cid:durableId="1275867799">
    <w:abstractNumId w:val="77"/>
  </w:num>
  <w:num w:numId="9" w16cid:durableId="1632398900">
    <w:abstractNumId w:val="64"/>
  </w:num>
  <w:num w:numId="10" w16cid:durableId="2318413">
    <w:abstractNumId w:val="1"/>
  </w:num>
  <w:num w:numId="11" w16cid:durableId="1042438684">
    <w:abstractNumId w:val="54"/>
  </w:num>
  <w:num w:numId="12" w16cid:durableId="868759949">
    <w:abstractNumId w:val="88"/>
  </w:num>
  <w:num w:numId="13" w16cid:durableId="265698592">
    <w:abstractNumId w:val="35"/>
  </w:num>
  <w:num w:numId="14" w16cid:durableId="908274067">
    <w:abstractNumId w:val="58"/>
  </w:num>
  <w:num w:numId="15" w16cid:durableId="1376075802">
    <w:abstractNumId w:val="0"/>
  </w:num>
  <w:num w:numId="16" w16cid:durableId="535891564">
    <w:abstractNumId w:val="72"/>
  </w:num>
  <w:num w:numId="17" w16cid:durableId="1695572212">
    <w:abstractNumId w:val="42"/>
  </w:num>
  <w:num w:numId="18" w16cid:durableId="196307224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59687779">
    <w:abstractNumId w:val="82"/>
  </w:num>
  <w:num w:numId="20" w16cid:durableId="593630038">
    <w:abstractNumId w:val="63"/>
  </w:num>
  <w:num w:numId="21" w16cid:durableId="1681664783">
    <w:abstractNumId w:val="46"/>
  </w:num>
  <w:num w:numId="22" w16cid:durableId="1768385276">
    <w:abstractNumId w:val="74"/>
  </w:num>
  <w:num w:numId="23" w16cid:durableId="570896192">
    <w:abstractNumId w:val="57"/>
  </w:num>
  <w:num w:numId="24" w16cid:durableId="1354309931">
    <w:abstractNumId w:val="20"/>
  </w:num>
  <w:num w:numId="25" w16cid:durableId="221796714">
    <w:abstractNumId w:val="102"/>
  </w:num>
  <w:num w:numId="26" w16cid:durableId="458687240">
    <w:abstractNumId w:val="36"/>
  </w:num>
  <w:num w:numId="27" w16cid:durableId="687407527">
    <w:abstractNumId w:val="28"/>
  </w:num>
  <w:num w:numId="28" w16cid:durableId="1366059916">
    <w:abstractNumId w:val="89"/>
  </w:num>
  <w:num w:numId="29" w16cid:durableId="941575368">
    <w:abstractNumId w:val="55"/>
  </w:num>
  <w:num w:numId="30" w16cid:durableId="167906676">
    <w:abstractNumId w:val="7"/>
  </w:num>
  <w:num w:numId="31" w16cid:durableId="1343241310">
    <w:abstractNumId w:val="43"/>
  </w:num>
  <w:num w:numId="32" w16cid:durableId="380788527">
    <w:abstractNumId w:val="97"/>
  </w:num>
  <w:num w:numId="33" w16cid:durableId="1937202200">
    <w:abstractNumId w:val="84"/>
  </w:num>
  <w:num w:numId="34" w16cid:durableId="1756899968">
    <w:abstractNumId w:val="37"/>
  </w:num>
  <w:num w:numId="35" w16cid:durableId="1242760218">
    <w:abstractNumId w:val="90"/>
  </w:num>
  <w:num w:numId="36" w16cid:durableId="844444269">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1"/>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2007"/>
    <w:rsid w:val="000034BB"/>
    <w:rsid w:val="00003F1E"/>
    <w:rsid w:val="000045F5"/>
    <w:rsid w:val="00006A99"/>
    <w:rsid w:val="00006B5C"/>
    <w:rsid w:val="0000728F"/>
    <w:rsid w:val="00007B0D"/>
    <w:rsid w:val="00010B6A"/>
    <w:rsid w:val="00011048"/>
    <w:rsid w:val="0001158C"/>
    <w:rsid w:val="0001171A"/>
    <w:rsid w:val="00013100"/>
    <w:rsid w:val="00013155"/>
    <w:rsid w:val="00013C25"/>
    <w:rsid w:val="000140C2"/>
    <w:rsid w:val="00014C65"/>
    <w:rsid w:val="00014CD4"/>
    <w:rsid w:val="0001526A"/>
    <w:rsid w:val="00016D93"/>
    <w:rsid w:val="00016DF4"/>
    <w:rsid w:val="000177BD"/>
    <w:rsid w:val="00020129"/>
    <w:rsid w:val="0002033D"/>
    <w:rsid w:val="0002121C"/>
    <w:rsid w:val="00021715"/>
    <w:rsid w:val="00023B0B"/>
    <w:rsid w:val="00023FC5"/>
    <w:rsid w:val="000241D1"/>
    <w:rsid w:val="00024EAF"/>
    <w:rsid w:val="0002509F"/>
    <w:rsid w:val="0002622B"/>
    <w:rsid w:val="000267AF"/>
    <w:rsid w:val="00026B2C"/>
    <w:rsid w:val="0002748B"/>
    <w:rsid w:val="0003012B"/>
    <w:rsid w:val="00030765"/>
    <w:rsid w:val="000335BA"/>
    <w:rsid w:val="000336CC"/>
    <w:rsid w:val="00033B97"/>
    <w:rsid w:val="00033C66"/>
    <w:rsid w:val="00033E8A"/>
    <w:rsid w:val="00033EAB"/>
    <w:rsid w:val="00034219"/>
    <w:rsid w:val="000345F5"/>
    <w:rsid w:val="00035139"/>
    <w:rsid w:val="000362F1"/>
    <w:rsid w:val="0003635C"/>
    <w:rsid w:val="00036912"/>
    <w:rsid w:val="00036A49"/>
    <w:rsid w:val="00036DB3"/>
    <w:rsid w:val="0003772D"/>
    <w:rsid w:val="00037CA1"/>
    <w:rsid w:val="000404BF"/>
    <w:rsid w:val="0004097D"/>
    <w:rsid w:val="000428AC"/>
    <w:rsid w:val="00042FD1"/>
    <w:rsid w:val="00043D49"/>
    <w:rsid w:val="00044669"/>
    <w:rsid w:val="00044BE5"/>
    <w:rsid w:val="00044C66"/>
    <w:rsid w:val="00044EEF"/>
    <w:rsid w:val="00044F83"/>
    <w:rsid w:val="00045D40"/>
    <w:rsid w:val="00045E2D"/>
    <w:rsid w:val="00045ECF"/>
    <w:rsid w:val="00047193"/>
    <w:rsid w:val="000477CF"/>
    <w:rsid w:val="00047BDD"/>
    <w:rsid w:val="00047C04"/>
    <w:rsid w:val="00047C77"/>
    <w:rsid w:val="000512C6"/>
    <w:rsid w:val="00051A4B"/>
    <w:rsid w:val="00051BA9"/>
    <w:rsid w:val="00052656"/>
    <w:rsid w:val="00052C95"/>
    <w:rsid w:val="00054368"/>
    <w:rsid w:val="00056C8A"/>
    <w:rsid w:val="00057B9A"/>
    <w:rsid w:val="00057EE3"/>
    <w:rsid w:val="00060058"/>
    <w:rsid w:val="00060954"/>
    <w:rsid w:val="00061515"/>
    <w:rsid w:val="00061E3B"/>
    <w:rsid w:val="00062B2B"/>
    <w:rsid w:val="00062DAA"/>
    <w:rsid w:val="0006381D"/>
    <w:rsid w:val="00063FFB"/>
    <w:rsid w:val="00064BC5"/>
    <w:rsid w:val="000656D4"/>
    <w:rsid w:val="000657CD"/>
    <w:rsid w:val="0006596C"/>
    <w:rsid w:val="00065D6E"/>
    <w:rsid w:val="0006768F"/>
    <w:rsid w:val="00067C80"/>
    <w:rsid w:val="0007044B"/>
    <w:rsid w:val="000706F4"/>
    <w:rsid w:val="00071714"/>
    <w:rsid w:val="00071BB8"/>
    <w:rsid w:val="00072618"/>
    <w:rsid w:val="000750A2"/>
    <w:rsid w:val="000753FF"/>
    <w:rsid w:val="0007553A"/>
    <w:rsid w:val="00075D54"/>
    <w:rsid w:val="000768B6"/>
    <w:rsid w:val="0007795A"/>
    <w:rsid w:val="00080F49"/>
    <w:rsid w:val="00081161"/>
    <w:rsid w:val="00081FFF"/>
    <w:rsid w:val="000825E2"/>
    <w:rsid w:val="00082FAD"/>
    <w:rsid w:val="00083352"/>
    <w:rsid w:val="00083B6B"/>
    <w:rsid w:val="00083F20"/>
    <w:rsid w:val="0008474B"/>
    <w:rsid w:val="00084A87"/>
    <w:rsid w:val="000850EF"/>
    <w:rsid w:val="00085AAD"/>
    <w:rsid w:val="00086503"/>
    <w:rsid w:val="00086DFD"/>
    <w:rsid w:val="000908AA"/>
    <w:rsid w:val="000910DB"/>
    <w:rsid w:val="000913C5"/>
    <w:rsid w:val="00091CB1"/>
    <w:rsid w:val="00093426"/>
    <w:rsid w:val="0009436F"/>
    <w:rsid w:val="00094E45"/>
    <w:rsid w:val="0009542C"/>
    <w:rsid w:val="00095DCA"/>
    <w:rsid w:val="00095FE3"/>
    <w:rsid w:val="00096214"/>
    <w:rsid w:val="00096D70"/>
    <w:rsid w:val="00096F09"/>
    <w:rsid w:val="000A01FB"/>
    <w:rsid w:val="000A0A4B"/>
    <w:rsid w:val="000A0AA0"/>
    <w:rsid w:val="000A1754"/>
    <w:rsid w:val="000A1EF9"/>
    <w:rsid w:val="000A244E"/>
    <w:rsid w:val="000A268D"/>
    <w:rsid w:val="000A28D6"/>
    <w:rsid w:val="000A3C8F"/>
    <w:rsid w:val="000A57E7"/>
    <w:rsid w:val="000A594E"/>
    <w:rsid w:val="000A5CA0"/>
    <w:rsid w:val="000A63D0"/>
    <w:rsid w:val="000A73E7"/>
    <w:rsid w:val="000B03DB"/>
    <w:rsid w:val="000B1B54"/>
    <w:rsid w:val="000B2537"/>
    <w:rsid w:val="000B2E81"/>
    <w:rsid w:val="000B3679"/>
    <w:rsid w:val="000B548E"/>
    <w:rsid w:val="000B55A8"/>
    <w:rsid w:val="000B5C31"/>
    <w:rsid w:val="000B7A1F"/>
    <w:rsid w:val="000C04A4"/>
    <w:rsid w:val="000C0729"/>
    <w:rsid w:val="000C1974"/>
    <w:rsid w:val="000C4863"/>
    <w:rsid w:val="000C4953"/>
    <w:rsid w:val="000C58A9"/>
    <w:rsid w:val="000C5923"/>
    <w:rsid w:val="000C6153"/>
    <w:rsid w:val="000C6567"/>
    <w:rsid w:val="000C676C"/>
    <w:rsid w:val="000C7F9D"/>
    <w:rsid w:val="000C7FC8"/>
    <w:rsid w:val="000D039F"/>
    <w:rsid w:val="000D07CB"/>
    <w:rsid w:val="000D0E7B"/>
    <w:rsid w:val="000D1CD5"/>
    <w:rsid w:val="000D1D32"/>
    <w:rsid w:val="000D231B"/>
    <w:rsid w:val="000D23F0"/>
    <w:rsid w:val="000D24CF"/>
    <w:rsid w:val="000D26D2"/>
    <w:rsid w:val="000D2D11"/>
    <w:rsid w:val="000D364C"/>
    <w:rsid w:val="000D3A3C"/>
    <w:rsid w:val="000D3B0E"/>
    <w:rsid w:val="000D41AC"/>
    <w:rsid w:val="000D4DAA"/>
    <w:rsid w:val="000D76AC"/>
    <w:rsid w:val="000E012E"/>
    <w:rsid w:val="000E11AD"/>
    <w:rsid w:val="000E1890"/>
    <w:rsid w:val="000E1EA8"/>
    <w:rsid w:val="000E1FAF"/>
    <w:rsid w:val="000E210F"/>
    <w:rsid w:val="000E28A3"/>
    <w:rsid w:val="000E3652"/>
    <w:rsid w:val="000E3C7A"/>
    <w:rsid w:val="000E4D2E"/>
    <w:rsid w:val="000E4E8E"/>
    <w:rsid w:val="000E5315"/>
    <w:rsid w:val="000E7B5F"/>
    <w:rsid w:val="000F02C2"/>
    <w:rsid w:val="000F0EF1"/>
    <w:rsid w:val="000F1055"/>
    <w:rsid w:val="000F153A"/>
    <w:rsid w:val="000F27E9"/>
    <w:rsid w:val="000F2B20"/>
    <w:rsid w:val="000F6049"/>
    <w:rsid w:val="000F684C"/>
    <w:rsid w:val="000F69D8"/>
    <w:rsid w:val="000F72F0"/>
    <w:rsid w:val="000F7425"/>
    <w:rsid w:val="00102501"/>
    <w:rsid w:val="0010271C"/>
    <w:rsid w:val="001031FD"/>
    <w:rsid w:val="00103562"/>
    <w:rsid w:val="001043AF"/>
    <w:rsid w:val="00104779"/>
    <w:rsid w:val="00104A0E"/>
    <w:rsid w:val="00104CC0"/>
    <w:rsid w:val="001050A8"/>
    <w:rsid w:val="0010598B"/>
    <w:rsid w:val="0010637B"/>
    <w:rsid w:val="00106CAA"/>
    <w:rsid w:val="00107A8F"/>
    <w:rsid w:val="00110322"/>
    <w:rsid w:val="0011041D"/>
    <w:rsid w:val="00111343"/>
    <w:rsid w:val="00111633"/>
    <w:rsid w:val="00113270"/>
    <w:rsid w:val="0011440D"/>
    <w:rsid w:val="00114834"/>
    <w:rsid w:val="00114930"/>
    <w:rsid w:val="001156E8"/>
    <w:rsid w:val="00115CD2"/>
    <w:rsid w:val="001167B2"/>
    <w:rsid w:val="00116E43"/>
    <w:rsid w:val="00116F48"/>
    <w:rsid w:val="001178BC"/>
    <w:rsid w:val="001200AA"/>
    <w:rsid w:val="00120D59"/>
    <w:rsid w:val="00121371"/>
    <w:rsid w:val="001218C3"/>
    <w:rsid w:val="00121D32"/>
    <w:rsid w:val="00122EB0"/>
    <w:rsid w:val="00124166"/>
    <w:rsid w:val="0012496D"/>
    <w:rsid w:val="00124B0E"/>
    <w:rsid w:val="00124BA8"/>
    <w:rsid w:val="00133DC7"/>
    <w:rsid w:val="001341C8"/>
    <w:rsid w:val="001344D7"/>
    <w:rsid w:val="0013586C"/>
    <w:rsid w:val="00135A2A"/>
    <w:rsid w:val="00135C3F"/>
    <w:rsid w:val="00135E58"/>
    <w:rsid w:val="00136098"/>
    <w:rsid w:val="0013720E"/>
    <w:rsid w:val="001375BD"/>
    <w:rsid w:val="00137CDF"/>
    <w:rsid w:val="00140375"/>
    <w:rsid w:val="00140C5C"/>
    <w:rsid w:val="00141041"/>
    <w:rsid w:val="00141A0F"/>
    <w:rsid w:val="00141B9B"/>
    <w:rsid w:val="001421F8"/>
    <w:rsid w:val="00142DF8"/>
    <w:rsid w:val="00143EF4"/>
    <w:rsid w:val="0014406F"/>
    <w:rsid w:val="00144B8E"/>
    <w:rsid w:val="001469A6"/>
    <w:rsid w:val="001477A0"/>
    <w:rsid w:val="00147E2C"/>
    <w:rsid w:val="00150122"/>
    <w:rsid w:val="00150148"/>
    <w:rsid w:val="00150E89"/>
    <w:rsid w:val="00152E86"/>
    <w:rsid w:val="001544D9"/>
    <w:rsid w:val="0015487A"/>
    <w:rsid w:val="00154E82"/>
    <w:rsid w:val="00155F11"/>
    <w:rsid w:val="00156572"/>
    <w:rsid w:val="00156AA3"/>
    <w:rsid w:val="0015783B"/>
    <w:rsid w:val="00157EB7"/>
    <w:rsid w:val="00162916"/>
    <w:rsid w:val="00163040"/>
    <w:rsid w:val="00163DBF"/>
    <w:rsid w:val="0016565C"/>
    <w:rsid w:val="0016565E"/>
    <w:rsid w:val="00165A47"/>
    <w:rsid w:val="00166A83"/>
    <w:rsid w:val="00170D1D"/>
    <w:rsid w:val="00170E08"/>
    <w:rsid w:val="00170FFB"/>
    <w:rsid w:val="00171335"/>
    <w:rsid w:val="00171B08"/>
    <w:rsid w:val="00172FFC"/>
    <w:rsid w:val="00174661"/>
    <w:rsid w:val="001746C3"/>
    <w:rsid w:val="0017568C"/>
    <w:rsid w:val="00176952"/>
    <w:rsid w:val="00177EDB"/>
    <w:rsid w:val="001808F0"/>
    <w:rsid w:val="00180A0E"/>
    <w:rsid w:val="00181712"/>
    <w:rsid w:val="00181779"/>
    <w:rsid w:val="001822EC"/>
    <w:rsid w:val="00182334"/>
    <w:rsid w:val="0018289C"/>
    <w:rsid w:val="001829F9"/>
    <w:rsid w:val="00182BFA"/>
    <w:rsid w:val="00183BB3"/>
    <w:rsid w:val="00183D65"/>
    <w:rsid w:val="00184203"/>
    <w:rsid w:val="00184527"/>
    <w:rsid w:val="00184A82"/>
    <w:rsid w:val="00185AF4"/>
    <w:rsid w:val="00186737"/>
    <w:rsid w:val="001871E6"/>
    <w:rsid w:val="001875CF"/>
    <w:rsid w:val="00190029"/>
    <w:rsid w:val="001902A0"/>
    <w:rsid w:val="00191051"/>
    <w:rsid w:val="001910DE"/>
    <w:rsid w:val="0019130D"/>
    <w:rsid w:val="00191926"/>
    <w:rsid w:val="00191AD0"/>
    <w:rsid w:val="00191DF2"/>
    <w:rsid w:val="00191F50"/>
    <w:rsid w:val="00192082"/>
    <w:rsid w:val="00193114"/>
    <w:rsid w:val="0019350B"/>
    <w:rsid w:val="00193AE3"/>
    <w:rsid w:val="00193E95"/>
    <w:rsid w:val="00194715"/>
    <w:rsid w:val="00194DE6"/>
    <w:rsid w:val="00195BA6"/>
    <w:rsid w:val="00195F63"/>
    <w:rsid w:val="00197DAB"/>
    <w:rsid w:val="00197EB0"/>
    <w:rsid w:val="001A02AF"/>
    <w:rsid w:val="001A1002"/>
    <w:rsid w:val="001A1C13"/>
    <w:rsid w:val="001A2DA2"/>
    <w:rsid w:val="001A3E4D"/>
    <w:rsid w:val="001A4060"/>
    <w:rsid w:val="001A438F"/>
    <w:rsid w:val="001A4673"/>
    <w:rsid w:val="001A5E93"/>
    <w:rsid w:val="001A6428"/>
    <w:rsid w:val="001A7DF4"/>
    <w:rsid w:val="001B03B1"/>
    <w:rsid w:val="001B12D5"/>
    <w:rsid w:val="001B1E65"/>
    <w:rsid w:val="001B1FE4"/>
    <w:rsid w:val="001B2A2A"/>
    <w:rsid w:val="001B2D8F"/>
    <w:rsid w:val="001B3E8F"/>
    <w:rsid w:val="001B42E7"/>
    <w:rsid w:val="001B4361"/>
    <w:rsid w:val="001B4AE8"/>
    <w:rsid w:val="001B4E03"/>
    <w:rsid w:val="001B62E5"/>
    <w:rsid w:val="001B634F"/>
    <w:rsid w:val="001B703B"/>
    <w:rsid w:val="001B755D"/>
    <w:rsid w:val="001B7B13"/>
    <w:rsid w:val="001C0625"/>
    <w:rsid w:val="001C0B74"/>
    <w:rsid w:val="001C121E"/>
    <w:rsid w:val="001C1449"/>
    <w:rsid w:val="001C3ACF"/>
    <w:rsid w:val="001C3D66"/>
    <w:rsid w:val="001C4BD6"/>
    <w:rsid w:val="001C4DE4"/>
    <w:rsid w:val="001C51FC"/>
    <w:rsid w:val="001C538A"/>
    <w:rsid w:val="001C5F4A"/>
    <w:rsid w:val="001C6486"/>
    <w:rsid w:val="001C6636"/>
    <w:rsid w:val="001C6DDD"/>
    <w:rsid w:val="001D0C85"/>
    <w:rsid w:val="001D2213"/>
    <w:rsid w:val="001D2C0E"/>
    <w:rsid w:val="001D333F"/>
    <w:rsid w:val="001D4228"/>
    <w:rsid w:val="001D4405"/>
    <w:rsid w:val="001D474D"/>
    <w:rsid w:val="001D48EF"/>
    <w:rsid w:val="001D63AF"/>
    <w:rsid w:val="001E0287"/>
    <w:rsid w:val="001E168F"/>
    <w:rsid w:val="001E173C"/>
    <w:rsid w:val="001E1CDE"/>
    <w:rsid w:val="001E1DE7"/>
    <w:rsid w:val="001E1FA3"/>
    <w:rsid w:val="001E2F79"/>
    <w:rsid w:val="001E2FFB"/>
    <w:rsid w:val="001E300C"/>
    <w:rsid w:val="001E3324"/>
    <w:rsid w:val="001E338B"/>
    <w:rsid w:val="001E4490"/>
    <w:rsid w:val="001E4969"/>
    <w:rsid w:val="001E4D2B"/>
    <w:rsid w:val="001E57DB"/>
    <w:rsid w:val="001E5947"/>
    <w:rsid w:val="001E5ADE"/>
    <w:rsid w:val="001E5C94"/>
    <w:rsid w:val="001E5D8B"/>
    <w:rsid w:val="001E67C8"/>
    <w:rsid w:val="001E6A1F"/>
    <w:rsid w:val="001E6CB1"/>
    <w:rsid w:val="001E73D7"/>
    <w:rsid w:val="001F1F09"/>
    <w:rsid w:val="001F239F"/>
    <w:rsid w:val="001F2FA7"/>
    <w:rsid w:val="001F3397"/>
    <w:rsid w:val="001F470A"/>
    <w:rsid w:val="001F49B0"/>
    <w:rsid w:val="001F6305"/>
    <w:rsid w:val="001F638A"/>
    <w:rsid w:val="00200FDD"/>
    <w:rsid w:val="00201205"/>
    <w:rsid w:val="00202E70"/>
    <w:rsid w:val="0020329E"/>
    <w:rsid w:val="002044A2"/>
    <w:rsid w:val="0020582C"/>
    <w:rsid w:val="002071A1"/>
    <w:rsid w:val="00210D61"/>
    <w:rsid w:val="00213FCD"/>
    <w:rsid w:val="00215B83"/>
    <w:rsid w:val="002166B0"/>
    <w:rsid w:val="0021688E"/>
    <w:rsid w:val="00217402"/>
    <w:rsid w:val="00220910"/>
    <w:rsid w:val="00223303"/>
    <w:rsid w:val="00224A69"/>
    <w:rsid w:val="00224E7B"/>
    <w:rsid w:val="0022602A"/>
    <w:rsid w:val="002263E4"/>
    <w:rsid w:val="00226550"/>
    <w:rsid w:val="0022703D"/>
    <w:rsid w:val="002270F9"/>
    <w:rsid w:val="002271AB"/>
    <w:rsid w:val="0022750E"/>
    <w:rsid w:val="00227A67"/>
    <w:rsid w:val="00227A7E"/>
    <w:rsid w:val="00227EE8"/>
    <w:rsid w:val="00230330"/>
    <w:rsid w:val="00230D49"/>
    <w:rsid w:val="0023277B"/>
    <w:rsid w:val="0023469D"/>
    <w:rsid w:val="002347E7"/>
    <w:rsid w:val="002353BA"/>
    <w:rsid w:val="002362A3"/>
    <w:rsid w:val="00241C0B"/>
    <w:rsid w:val="00245BB9"/>
    <w:rsid w:val="00247769"/>
    <w:rsid w:val="00247CBA"/>
    <w:rsid w:val="00247DCB"/>
    <w:rsid w:val="00247E83"/>
    <w:rsid w:val="002502B7"/>
    <w:rsid w:val="002502E7"/>
    <w:rsid w:val="0025065D"/>
    <w:rsid w:val="00251535"/>
    <w:rsid w:val="00251C68"/>
    <w:rsid w:val="00251F86"/>
    <w:rsid w:val="002534BC"/>
    <w:rsid w:val="002541C9"/>
    <w:rsid w:val="00254899"/>
    <w:rsid w:val="00254B3E"/>
    <w:rsid w:val="00255877"/>
    <w:rsid w:val="00256E36"/>
    <w:rsid w:val="002571DA"/>
    <w:rsid w:val="00257952"/>
    <w:rsid w:val="00257C82"/>
    <w:rsid w:val="00260E54"/>
    <w:rsid w:val="00261951"/>
    <w:rsid w:val="0026256C"/>
    <w:rsid w:val="00262570"/>
    <w:rsid w:val="002625D2"/>
    <w:rsid w:val="00263CDE"/>
    <w:rsid w:val="00265AA7"/>
    <w:rsid w:val="00266459"/>
    <w:rsid w:val="002665E4"/>
    <w:rsid w:val="002667A1"/>
    <w:rsid w:val="00266A46"/>
    <w:rsid w:val="00266C77"/>
    <w:rsid w:val="00267C5F"/>
    <w:rsid w:val="00267E87"/>
    <w:rsid w:val="002703DD"/>
    <w:rsid w:val="0027139B"/>
    <w:rsid w:val="00271A51"/>
    <w:rsid w:val="00272C04"/>
    <w:rsid w:val="00273395"/>
    <w:rsid w:val="00273D67"/>
    <w:rsid w:val="00273FF2"/>
    <w:rsid w:val="002744A6"/>
    <w:rsid w:val="0027537A"/>
    <w:rsid w:val="002755A8"/>
    <w:rsid w:val="00275615"/>
    <w:rsid w:val="002764F0"/>
    <w:rsid w:val="00276F42"/>
    <w:rsid w:val="00277058"/>
    <w:rsid w:val="00277489"/>
    <w:rsid w:val="0028009A"/>
    <w:rsid w:val="00280378"/>
    <w:rsid w:val="002808D1"/>
    <w:rsid w:val="002813D3"/>
    <w:rsid w:val="00281768"/>
    <w:rsid w:val="002835E1"/>
    <w:rsid w:val="002847D0"/>
    <w:rsid w:val="0028549C"/>
    <w:rsid w:val="00286698"/>
    <w:rsid w:val="00287931"/>
    <w:rsid w:val="00290C23"/>
    <w:rsid w:val="00292AC0"/>
    <w:rsid w:val="00292C71"/>
    <w:rsid w:val="00293122"/>
    <w:rsid w:val="0029382B"/>
    <w:rsid w:val="00293F4F"/>
    <w:rsid w:val="00294D90"/>
    <w:rsid w:val="00295101"/>
    <w:rsid w:val="00296430"/>
    <w:rsid w:val="00296E96"/>
    <w:rsid w:val="002A0382"/>
    <w:rsid w:val="002A1033"/>
    <w:rsid w:val="002A1824"/>
    <w:rsid w:val="002A188C"/>
    <w:rsid w:val="002A3BF1"/>
    <w:rsid w:val="002A4DF5"/>
    <w:rsid w:val="002A5F3D"/>
    <w:rsid w:val="002A7087"/>
    <w:rsid w:val="002A7DAE"/>
    <w:rsid w:val="002B01D3"/>
    <w:rsid w:val="002B0390"/>
    <w:rsid w:val="002B194B"/>
    <w:rsid w:val="002B3894"/>
    <w:rsid w:val="002B4E2B"/>
    <w:rsid w:val="002B4ED1"/>
    <w:rsid w:val="002B4FDE"/>
    <w:rsid w:val="002B5F36"/>
    <w:rsid w:val="002B60C7"/>
    <w:rsid w:val="002B721E"/>
    <w:rsid w:val="002B742D"/>
    <w:rsid w:val="002B7CF7"/>
    <w:rsid w:val="002B7E4A"/>
    <w:rsid w:val="002C03A8"/>
    <w:rsid w:val="002C0E58"/>
    <w:rsid w:val="002C17CB"/>
    <w:rsid w:val="002C180C"/>
    <w:rsid w:val="002C2B1F"/>
    <w:rsid w:val="002C2B96"/>
    <w:rsid w:val="002C37E1"/>
    <w:rsid w:val="002C3936"/>
    <w:rsid w:val="002C3BF3"/>
    <w:rsid w:val="002C42F0"/>
    <w:rsid w:val="002C430F"/>
    <w:rsid w:val="002C54F6"/>
    <w:rsid w:val="002C6581"/>
    <w:rsid w:val="002C66FD"/>
    <w:rsid w:val="002D023F"/>
    <w:rsid w:val="002D0778"/>
    <w:rsid w:val="002D0822"/>
    <w:rsid w:val="002D1936"/>
    <w:rsid w:val="002D2339"/>
    <w:rsid w:val="002D2772"/>
    <w:rsid w:val="002D3594"/>
    <w:rsid w:val="002D38A0"/>
    <w:rsid w:val="002D4E66"/>
    <w:rsid w:val="002D5256"/>
    <w:rsid w:val="002D57F0"/>
    <w:rsid w:val="002D60FC"/>
    <w:rsid w:val="002D7238"/>
    <w:rsid w:val="002D781E"/>
    <w:rsid w:val="002D7ADD"/>
    <w:rsid w:val="002E0AD7"/>
    <w:rsid w:val="002E16BB"/>
    <w:rsid w:val="002E1AE1"/>
    <w:rsid w:val="002E20DE"/>
    <w:rsid w:val="002E2B73"/>
    <w:rsid w:val="002E2FC5"/>
    <w:rsid w:val="002E30EF"/>
    <w:rsid w:val="002E4676"/>
    <w:rsid w:val="002E48A7"/>
    <w:rsid w:val="002E5B34"/>
    <w:rsid w:val="002E6D0B"/>
    <w:rsid w:val="002F08E8"/>
    <w:rsid w:val="002F0E16"/>
    <w:rsid w:val="002F1DD9"/>
    <w:rsid w:val="002F250A"/>
    <w:rsid w:val="002F2D54"/>
    <w:rsid w:val="002F301B"/>
    <w:rsid w:val="002F36C3"/>
    <w:rsid w:val="002F3972"/>
    <w:rsid w:val="002F3B96"/>
    <w:rsid w:val="002F7694"/>
    <w:rsid w:val="002F7C49"/>
    <w:rsid w:val="00300735"/>
    <w:rsid w:val="003010C1"/>
    <w:rsid w:val="00301969"/>
    <w:rsid w:val="0030311D"/>
    <w:rsid w:val="003033BA"/>
    <w:rsid w:val="00303CAE"/>
    <w:rsid w:val="00305BEC"/>
    <w:rsid w:val="0030763F"/>
    <w:rsid w:val="003079D9"/>
    <w:rsid w:val="00311A33"/>
    <w:rsid w:val="003124E4"/>
    <w:rsid w:val="00312B02"/>
    <w:rsid w:val="00312BE4"/>
    <w:rsid w:val="003144EA"/>
    <w:rsid w:val="003178BC"/>
    <w:rsid w:val="0032117F"/>
    <w:rsid w:val="003228CC"/>
    <w:rsid w:val="003253CD"/>
    <w:rsid w:val="003257BB"/>
    <w:rsid w:val="003257CE"/>
    <w:rsid w:val="00327B9B"/>
    <w:rsid w:val="00330460"/>
    <w:rsid w:val="003306E9"/>
    <w:rsid w:val="00331884"/>
    <w:rsid w:val="00331D15"/>
    <w:rsid w:val="0033283B"/>
    <w:rsid w:val="00332F03"/>
    <w:rsid w:val="00333075"/>
    <w:rsid w:val="00333E4E"/>
    <w:rsid w:val="00333F59"/>
    <w:rsid w:val="00333F88"/>
    <w:rsid w:val="003341B2"/>
    <w:rsid w:val="003379C1"/>
    <w:rsid w:val="00340398"/>
    <w:rsid w:val="00341827"/>
    <w:rsid w:val="00341C70"/>
    <w:rsid w:val="00342840"/>
    <w:rsid w:val="00343AB6"/>
    <w:rsid w:val="00345775"/>
    <w:rsid w:val="00346469"/>
    <w:rsid w:val="003475C2"/>
    <w:rsid w:val="0034771C"/>
    <w:rsid w:val="003479AC"/>
    <w:rsid w:val="00347CFE"/>
    <w:rsid w:val="00347DA8"/>
    <w:rsid w:val="00347F94"/>
    <w:rsid w:val="003519C7"/>
    <w:rsid w:val="00352913"/>
    <w:rsid w:val="0035356D"/>
    <w:rsid w:val="00353650"/>
    <w:rsid w:val="003545CC"/>
    <w:rsid w:val="00354F50"/>
    <w:rsid w:val="00355224"/>
    <w:rsid w:val="00355CE5"/>
    <w:rsid w:val="00355FCA"/>
    <w:rsid w:val="00356B6F"/>
    <w:rsid w:val="00356BF7"/>
    <w:rsid w:val="0035762A"/>
    <w:rsid w:val="0035768D"/>
    <w:rsid w:val="00357CF6"/>
    <w:rsid w:val="00360C2D"/>
    <w:rsid w:val="00360E4B"/>
    <w:rsid w:val="00360E9C"/>
    <w:rsid w:val="0036149E"/>
    <w:rsid w:val="0036223B"/>
    <w:rsid w:val="0036261B"/>
    <w:rsid w:val="00363889"/>
    <w:rsid w:val="00363D8F"/>
    <w:rsid w:val="00363FC7"/>
    <w:rsid w:val="003642CD"/>
    <w:rsid w:val="0036466D"/>
    <w:rsid w:val="00364D0C"/>
    <w:rsid w:val="00366806"/>
    <w:rsid w:val="00366A5C"/>
    <w:rsid w:val="00366DC6"/>
    <w:rsid w:val="0036716A"/>
    <w:rsid w:val="0037051D"/>
    <w:rsid w:val="00370A3B"/>
    <w:rsid w:val="00372336"/>
    <w:rsid w:val="00374058"/>
    <w:rsid w:val="0037496D"/>
    <w:rsid w:val="003753EE"/>
    <w:rsid w:val="0037599B"/>
    <w:rsid w:val="003778BA"/>
    <w:rsid w:val="003807C3"/>
    <w:rsid w:val="00381CFB"/>
    <w:rsid w:val="00382302"/>
    <w:rsid w:val="003842E2"/>
    <w:rsid w:val="00384BF5"/>
    <w:rsid w:val="0038690E"/>
    <w:rsid w:val="003877BB"/>
    <w:rsid w:val="00387ACD"/>
    <w:rsid w:val="00387F81"/>
    <w:rsid w:val="00390F4F"/>
    <w:rsid w:val="0039121B"/>
    <w:rsid w:val="00392F25"/>
    <w:rsid w:val="003931E7"/>
    <w:rsid w:val="003938F7"/>
    <w:rsid w:val="00395841"/>
    <w:rsid w:val="00396700"/>
    <w:rsid w:val="00396989"/>
    <w:rsid w:val="003A02E1"/>
    <w:rsid w:val="003A0634"/>
    <w:rsid w:val="003A0CA9"/>
    <w:rsid w:val="003A2E43"/>
    <w:rsid w:val="003A49C2"/>
    <w:rsid w:val="003A4B9D"/>
    <w:rsid w:val="003A4CF9"/>
    <w:rsid w:val="003A5B86"/>
    <w:rsid w:val="003A7885"/>
    <w:rsid w:val="003A7B07"/>
    <w:rsid w:val="003B0180"/>
    <w:rsid w:val="003B0F9F"/>
    <w:rsid w:val="003B0FF5"/>
    <w:rsid w:val="003B100F"/>
    <w:rsid w:val="003B155C"/>
    <w:rsid w:val="003B1EFE"/>
    <w:rsid w:val="003B1F0E"/>
    <w:rsid w:val="003B2C8E"/>
    <w:rsid w:val="003B3198"/>
    <w:rsid w:val="003B340C"/>
    <w:rsid w:val="003B360E"/>
    <w:rsid w:val="003B3881"/>
    <w:rsid w:val="003B391C"/>
    <w:rsid w:val="003B39B8"/>
    <w:rsid w:val="003B5039"/>
    <w:rsid w:val="003B5EF1"/>
    <w:rsid w:val="003B7569"/>
    <w:rsid w:val="003B7D39"/>
    <w:rsid w:val="003C11EB"/>
    <w:rsid w:val="003C23B7"/>
    <w:rsid w:val="003C3983"/>
    <w:rsid w:val="003C3C3A"/>
    <w:rsid w:val="003C4B32"/>
    <w:rsid w:val="003C61D9"/>
    <w:rsid w:val="003C6B1A"/>
    <w:rsid w:val="003D034C"/>
    <w:rsid w:val="003D0E16"/>
    <w:rsid w:val="003D0FC2"/>
    <w:rsid w:val="003D1EFD"/>
    <w:rsid w:val="003D1FF3"/>
    <w:rsid w:val="003D2914"/>
    <w:rsid w:val="003D2BAC"/>
    <w:rsid w:val="003D35FA"/>
    <w:rsid w:val="003D3ABE"/>
    <w:rsid w:val="003D3BC2"/>
    <w:rsid w:val="003D3FF8"/>
    <w:rsid w:val="003D4D41"/>
    <w:rsid w:val="003D5116"/>
    <w:rsid w:val="003D5B40"/>
    <w:rsid w:val="003D7BFB"/>
    <w:rsid w:val="003E1C4C"/>
    <w:rsid w:val="003E1C81"/>
    <w:rsid w:val="003E2A65"/>
    <w:rsid w:val="003E3610"/>
    <w:rsid w:val="003E3E2D"/>
    <w:rsid w:val="003E5931"/>
    <w:rsid w:val="003E5B7F"/>
    <w:rsid w:val="003E6584"/>
    <w:rsid w:val="003E6D55"/>
    <w:rsid w:val="003E6F4C"/>
    <w:rsid w:val="003E71FA"/>
    <w:rsid w:val="003E7C11"/>
    <w:rsid w:val="003E7D7D"/>
    <w:rsid w:val="003F06C2"/>
    <w:rsid w:val="003F12EB"/>
    <w:rsid w:val="003F13C8"/>
    <w:rsid w:val="003F2061"/>
    <w:rsid w:val="003F3D57"/>
    <w:rsid w:val="003F515E"/>
    <w:rsid w:val="003F5567"/>
    <w:rsid w:val="003F5A93"/>
    <w:rsid w:val="003F5C15"/>
    <w:rsid w:val="003F7047"/>
    <w:rsid w:val="003F7125"/>
    <w:rsid w:val="00400855"/>
    <w:rsid w:val="004015DB"/>
    <w:rsid w:val="00401B77"/>
    <w:rsid w:val="00402BBF"/>
    <w:rsid w:val="00402E42"/>
    <w:rsid w:val="004031C1"/>
    <w:rsid w:val="0040347F"/>
    <w:rsid w:val="00404592"/>
    <w:rsid w:val="00405F1D"/>
    <w:rsid w:val="00406A56"/>
    <w:rsid w:val="00407AA8"/>
    <w:rsid w:val="00410354"/>
    <w:rsid w:val="004110CB"/>
    <w:rsid w:val="00411CF5"/>
    <w:rsid w:val="00412B88"/>
    <w:rsid w:val="00413634"/>
    <w:rsid w:val="0041376E"/>
    <w:rsid w:val="004147F1"/>
    <w:rsid w:val="00415AC5"/>
    <w:rsid w:val="0041625B"/>
    <w:rsid w:val="00416B7C"/>
    <w:rsid w:val="0042026C"/>
    <w:rsid w:val="0042038A"/>
    <w:rsid w:val="0042080A"/>
    <w:rsid w:val="00420818"/>
    <w:rsid w:val="00420A1E"/>
    <w:rsid w:val="004218BF"/>
    <w:rsid w:val="004222B8"/>
    <w:rsid w:val="00422325"/>
    <w:rsid w:val="004225EF"/>
    <w:rsid w:val="00423952"/>
    <w:rsid w:val="0042395E"/>
    <w:rsid w:val="004241C3"/>
    <w:rsid w:val="004257E2"/>
    <w:rsid w:val="00426865"/>
    <w:rsid w:val="0042754A"/>
    <w:rsid w:val="0042773A"/>
    <w:rsid w:val="00427BD8"/>
    <w:rsid w:val="00430460"/>
    <w:rsid w:val="00430808"/>
    <w:rsid w:val="00430C80"/>
    <w:rsid w:val="0043299B"/>
    <w:rsid w:val="0043356E"/>
    <w:rsid w:val="004337BD"/>
    <w:rsid w:val="00433C89"/>
    <w:rsid w:val="004345C8"/>
    <w:rsid w:val="00434600"/>
    <w:rsid w:val="00434DDB"/>
    <w:rsid w:val="00434FD1"/>
    <w:rsid w:val="00435AB2"/>
    <w:rsid w:val="00436404"/>
    <w:rsid w:val="00436BE7"/>
    <w:rsid w:val="00436E5E"/>
    <w:rsid w:val="00437A3E"/>
    <w:rsid w:val="004401BA"/>
    <w:rsid w:val="0044053B"/>
    <w:rsid w:val="00440675"/>
    <w:rsid w:val="00440C77"/>
    <w:rsid w:val="004413A1"/>
    <w:rsid w:val="0044219C"/>
    <w:rsid w:val="00442B0D"/>
    <w:rsid w:val="00442D80"/>
    <w:rsid w:val="004431DE"/>
    <w:rsid w:val="00443952"/>
    <w:rsid w:val="00444565"/>
    <w:rsid w:val="004451F4"/>
    <w:rsid w:val="00445342"/>
    <w:rsid w:val="0045026B"/>
    <w:rsid w:val="004503A6"/>
    <w:rsid w:val="00450A13"/>
    <w:rsid w:val="0045112A"/>
    <w:rsid w:val="00451C2C"/>
    <w:rsid w:val="0045354A"/>
    <w:rsid w:val="0045406E"/>
    <w:rsid w:val="004545C8"/>
    <w:rsid w:val="00454DA4"/>
    <w:rsid w:val="00454E81"/>
    <w:rsid w:val="0045593B"/>
    <w:rsid w:val="00455E3A"/>
    <w:rsid w:val="00456A61"/>
    <w:rsid w:val="00456DF8"/>
    <w:rsid w:val="00457C5E"/>
    <w:rsid w:val="00461287"/>
    <w:rsid w:val="00463812"/>
    <w:rsid w:val="00464DFB"/>
    <w:rsid w:val="00466C5C"/>
    <w:rsid w:val="00466D19"/>
    <w:rsid w:val="00466E92"/>
    <w:rsid w:val="00467D62"/>
    <w:rsid w:val="00470A3A"/>
    <w:rsid w:val="0047104C"/>
    <w:rsid w:val="00471325"/>
    <w:rsid w:val="00472244"/>
    <w:rsid w:val="004731A2"/>
    <w:rsid w:val="004736E0"/>
    <w:rsid w:val="00474A1A"/>
    <w:rsid w:val="004764F3"/>
    <w:rsid w:val="00480668"/>
    <w:rsid w:val="004816BF"/>
    <w:rsid w:val="00481B19"/>
    <w:rsid w:val="0048467F"/>
    <w:rsid w:val="00484778"/>
    <w:rsid w:val="00484C94"/>
    <w:rsid w:val="00484FB6"/>
    <w:rsid w:val="004859E3"/>
    <w:rsid w:val="00486035"/>
    <w:rsid w:val="00487124"/>
    <w:rsid w:val="0048793D"/>
    <w:rsid w:val="004902D8"/>
    <w:rsid w:val="00490423"/>
    <w:rsid w:val="004907B3"/>
    <w:rsid w:val="00490D41"/>
    <w:rsid w:val="004916D2"/>
    <w:rsid w:val="00491A9E"/>
    <w:rsid w:val="00491E0D"/>
    <w:rsid w:val="0049236E"/>
    <w:rsid w:val="004926F6"/>
    <w:rsid w:val="00493786"/>
    <w:rsid w:val="00493946"/>
    <w:rsid w:val="0049398E"/>
    <w:rsid w:val="00494927"/>
    <w:rsid w:val="0049509F"/>
    <w:rsid w:val="00495CA6"/>
    <w:rsid w:val="004965C8"/>
    <w:rsid w:val="0049683C"/>
    <w:rsid w:val="004A0A7D"/>
    <w:rsid w:val="004A1108"/>
    <w:rsid w:val="004A650C"/>
    <w:rsid w:val="004A65E1"/>
    <w:rsid w:val="004A6F98"/>
    <w:rsid w:val="004A7424"/>
    <w:rsid w:val="004A7B23"/>
    <w:rsid w:val="004B019E"/>
    <w:rsid w:val="004B030E"/>
    <w:rsid w:val="004B031A"/>
    <w:rsid w:val="004B12C8"/>
    <w:rsid w:val="004B177E"/>
    <w:rsid w:val="004B1A61"/>
    <w:rsid w:val="004B2106"/>
    <w:rsid w:val="004B2328"/>
    <w:rsid w:val="004B539A"/>
    <w:rsid w:val="004B6049"/>
    <w:rsid w:val="004B695D"/>
    <w:rsid w:val="004B6F52"/>
    <w:rsid w:val="004B6FFB"/>
    <w:rsid w:val="004B718F"/>
    <w:rsid w:val="004B757C"/>
    <w:rsid w:val="004B7A2A"/>
    <w:rsid w:val="004C0185"/>
    <w:rsid w:val="004C0E1F"/>
    <w:rsid w:val="004C0E80"/>
    <w:rsid w:val="004C29AA"/>
    <w:rsid w:val="004C2A83"/>
    <w:rsid w:val="004C2C7E"/>
    <w:rsid w:val="004C2E80"/>
    <w:rsid w:val="004C30BA"/>
    <w:rsid w:val="004C398C"/>
    <w:rsid w:val="004C3AB8"/>
    <w:rsid w:val="004C4C93"/>
    <w:rsid w:val="004C65D6"/>
    <w:rsid w:val="004C7FCF"/>
    <w:rsid w:val="004D09A6"/>
    <w:rsid w:val="004D0BDB"/>
    <w:rsid w:val="004D292D"/>
    <w:rsid w:val="004D2E10"/>
    <w:rsid w:val="004D333C"/>
    <w:rsid w:val="004D373F"/>
    <w:rsid w:val="004D4C65"/>
    <w:rsid w:val="004D5146"/>
    <w:rsid w:val="004D550A"/>
    <w:rsid w:val="004D6E9B"/>
    <w:rsid w:val="004E0B94"/>
    <w:rsid w:val="004E1321"/>
    <w:rsid w:val="004E259C"/>
    <w:rsid w:val="004E271B"/>
    <w:rsid w:val="004E2F08"/>
    <w:rsid w:val="004E30F4"/>
    <w:rsid w:val="004E43A0"/>
    <w:rsid w:val="004E53E3"/>
    <w:rsid w:val="004E68F0"/>
    <w:rsid w:val="004E6E28"/>
    <w:rsid w:val="004E7844"/>
    <w:rsid w:val="004F02C4"/>
    <w:rsid w:val="004F126C"/>
    <w:rsid w:val="004F1E04"/>
    <w:rsid w:val="004F20C8"/>
    <w:rsid w:val="004F2BBF"/>
    <w:rsid w:val="004F3CE4"/>
    <w:rsid w:val="004F3E3B"/>
    <w:rsid w:val="004F4CD2"/>
    <w:rsid w:val="004F4CEE"/>
    <w:rsid w:val="004F5CDA"/>
    <w:rsid w:val="004F6CCF"/>
    <w:rsid w:val="004F75FA"/>
    <w:rsid w:val="004F7F6E"/>
    <w:rsid w:val="005005AD"/>
    <w:rsid w:val="0050138F"/>
    <w:rsid w:val="00501537"/>
    <w:rsid w:val="005026F6"/>
    <w:rsid w:val="00502A1A"/>
    <w:rsid w:val="00502D02"/>
    <w:rsid w:val="00503E80"/>
    <w:rsid w:val="005049E2"/>
    <w:rsid w:val="00504E53"/>
    <w:rsid w:val="00510355"/>
    <w:rsid w:val="00510BE8"/>
    <w:rsid w:val="00510E5B"/>
    <w:rsid w:val="00512B07"/>
    <w:rsid w:val="00513723"/>
    <w:rsid w:val="0051473B"/>
    <w:rsid w:val="005161E1"/>
    <w:rsid w:val="00517C8E"/>
    <w:rsid w:val="00520AC2"/>
    <w:rsid w:val="005210EE"/>
    <w:rsid w:val="00521395"/>
    <w:rsid w:val="00522091"/>
    <w:rsid w:val="00523446"/>
    <w:rsid w:val="0052467E"/>
    <w:rsid w:val="00524745"/>
    <w:rsid w:val="00524E62"/>
    <w:rsid w:val="00525255"/>
    <w:rsid w:val="005252D3"/>
    <w:rsid w:val="0052575B"/>
    <w:rsid w:val="005259D6"/>
    <w:rsid w:val="00525C92"/>
    <w:rsid w:val="005277E8"/>
    <w:rsid w:val="00530506"/>
    <w:rsid w:val="0053071D"/>
    <w:rsid w:val="0053131F"/>
    <w:rsid w:val="00531DBA"/>
    <w:rsid w:val="00532699"/>
    <w:rsid w:val="00533FC8"/>
    <w:rsid w:val="005353A4"/>
    <w:rsid w:val="00536B30"/>
    <w:rsid w:val="0054056D"/>
    <w:rsid w:val="005411F6"/>
    <w:rsid w:val="005413C8"/>
    <w:rsid w:val="00541A83"/>
    <w:rsid w:val="00542039"/>
    <w:rsid w:val="0054240D"/>
    <w:rsid w:val="005427EA"/>
    <w:rsid w:val="005433E4"/>
    <w:rsid w:val="0054379B"/>
    <w:rsid w:val="005437B6"/>
    <w:rsid w:val="00543DA0"/>
    <w:rsid w:val="00544047"/>
    <w:rsid w:val="00544527"/>
    <w:rsid w:val="00544823"/>
    <w:rsid w:val="005448F3"/>
    <w:rsid w:val="005449AE"/>
    <w:rsid w:val="00545521"/>
    <w:rsid w:val="00546F34"/>
    <w:rsid w:val="00547975"/>
    <w:rsid w:val="0055024B"/>
    <w:rsid w:val="00550EFD"/>
    <w:rsid w:val="00552325"/>
    <w:rsid w:val="00552399"/>
    <w:rsid w:val="00553718"/>
    <w:rsid w:val="0055382B"/>
    <w:rsid w:val="0055389F"/>
    <w:rsid w:val="00553DD0"/>
    <w:rsid w:val="005573C0"/>
    <w:rsid w:val="005579D9"/>
    <w:rsid w:val="0056037F"/>
    <w:rsid w:val="005606A9"/>
    <w:rsid w:val="00563A5E"/>
    <w:rsid w:val="00564D11"/>
    <w:rsid w:val="00565EB2"/>
    <w:rsid w:val="00565F2D"/>
    <w:rsid w:val="005662E0"/>
    <w:rsid w:val="00567573"/>
    <w:rsid w:val="0056760B"/>
    <w:rsid w:val="00570127"/>
    <w:rsid w:val="005709D0"/>
    <w:rsid w:val="00573506"/>
    <w:rsid w:val="00573661"/>
    <w:rsid w:val="00573986"/>
    <w:rsid w:val="00573A45"/>
    <w:rsid w:val="00574FF1"/>
    <w:rsid w:val="005754E2"/>
    <w:rsid w:val="005760E5"/>
    <w:rsid w:val="00576182"/>
    <w:rsid w:val="00576AE8"/>
    <w:rsid w:val="0057724D"/>
    <w:rsid w:val="00580C9F"/>
    <w:rsid w:val="0058193F"/>
    <w:rsid w:val="005819BE"/>
    <w:rsid w:val="00581B8E"/>
    <w:rsid w:val="00581C74"/>
    <w:rsid w:val="0058223A"/>
    <w:rsid w:val="005823B8"/>
    <w:rsid w:val="00582BE3"/>
    <w:rsid w:val="00584196"/>
    <w:rsid w:val="00584DB1"/>
    <w:rsid w:val="00585B1B"/>
    <w:rsid w:val="00586324"/>
    <w:rsid w:val="00586528"/>
    <w:rsid w:val="005873C8"/>
    <w:rsid w:val="00587A9E"/>
    <w:rsid w:val="00587C5D"/>
    <w:rsid w:val="0059005A"/>
    <w:rsid w:val="00590805"/>
    <w:rsid w:val="00591066"/>
    <w:rsid w:val="005917E4"/>
    <w:rsid w:val="0059300D"/>
    <w:rsid w:val="005959B1"/>
    <w:rsid w:val="005970C6"/>
    <w:rsid w:val="00597F23"/>
    <w:rsid w:val="005A00C6"/>
    <w:rsid w:val="005A075E"/>
    <w:rsid w:val="005A0BEE"/>
    <w:rsid w:val="005A1A89"/>
    <w:rsid w:val="005A1D0F"/>
    <w:rsid w:val="005A1D5B"/>
    <w:rsid w:val="005A237F"/>
    <w:rsid w:val="005A25E1"/>
    <w:rsid w:val="005A2CD0"/>
    <w:rsid w:val="005A4035"/>
    <w:rsid w:val="005A4695"/>
    <w:rsid w:val="005A484E"/>
    <w:rsid w:val="005A68F7"/>
    <w:rsid w:val="005A742C"/>
    <w:rsid w:val="005A7786"/>
    <w:rsid w:val="005A7962"/>
    <w:rsid w:val="005A7AB3"/>
    <w:rsid w:val="005B0091"/>
    <w:rsid w:val="005B10EC"/>
    <w:rsid w:val="005B1623"/>
    <w:rsid w:val="005B1B31"/>
    <w:rsid w:val="005B1F05"/>
    <w:rsid w:val="005B23EA"/>
    <w:rsid w:val="005B3430"/>
    <w:rsid w:val="005B3A69"/>
    <w:rsid w:val="005B4147"/>
    <w:rsid w:val="005B41F7"/>
    <w:rsid w:val="005B4D82"/>
    <w:rsid w:val="005B51AE"/>
    <w:rsid w:val="005B5362"/>
    <w:rsid w:val="005B5534"/>
    <w:rsid w:val="005B5773"/>
    <w:rsid w:val="005B6110"/>
    <w:rsid w:val="005B647C"/>
    <w:rsid w:val="005B714C"/>
    <w:rsid w:val="005B74FD"/>
    <w:rsid w:val="005C0945"/>
    <w:rsid w:val="005C0BFE"/>
    <w:rsid w:val="005C2581"/>
    <w:rsid w:val="005C2C33"/>
    <w:rsid w:val="005C2CAF"/>
    <w:rsid w:val="005C32A5"/>
    <w:rsid w:val="005C4BA8"/>
    <w:rsid w:val="005C4E9F"/>
    <w:rsid w:val="005C51D2"/>
    <w:rsid w:val="005C5613"/>
    <w:rsid w:val="005C5F3F"/>
    <w:rsid w:val="005C66E4"/>
    <w:rsid w:val="005C6C06"/>
    <w:rsid w:val="005C75BE"/>
    <w:rsid w:val="005C75BF"/>
    <w:rsid w:val="005D06EA"/>
    <w:rsid w:val="005D0F98"/>
    <w:rsid w:val="005D0FF7"/>
    <w:rsid w:val="005D10A6"/>
    <w:rsid w:val="005D129C"/>
    <w:rsid w:val="005D15E5"/>
    <w:rsid w:val="005D1986"/>
    <w:rsid w:val="005D1A3D"/>
    <w:rsid w:val="005D2081"/>
    <w:rsid w:val="005D29D6"/>
    <w:rsid w:val="005D52E2"/>
    <w:rsid w:val="005D550D"/>
    <w:rsid w:val="005D561B"/>
    <w:rsid w:val="005D5B49"/>
    <w:rsid w:val="005D6D72"/>
    <w:rsid w:val="005D72D6"/>
    <w:rsid w:val="005D733F"/>
    <w:rsid w:val="005D77CD"/>
    <w:rsid w:val="005D7F0F"/>
    <w:rsid w:val="005E005F"/>
    <w:rsid w:val="005E04D5"/>
    <w:rsid w:val="005E130B"/>
    <w:rsid w:val="005E14D1"/>
    <w:rsid w:val="005E2DED"/>
    <w:rsid w:val="005E2E2D"/>
    <w:rsid w:val="005E2F1A"/>
    <w:rsid w:val="005E33A7"/>
    <w:rsid w:val="005E3794"/>
    <w:rsid w:val="005E3D69"/>
    <w:rsid w:val="005E3DBD"/>
    <w:rsid w:val="005E3F1C"/>
    <w:rsid w:val="005E5AB7"/>
    <w:rsid w:val="005E6405"/>
    <w:rsid w:val="005E6424"/>
    <w:rsid w:val="005E75F9"/>
    <w:rsid w:val="005E76FF"/>
    <w:rsid w:val="005E7D25"/>
    <w:rsid w:val="005E7D2F"/>
    <w:rsid w:val="005F08AA"/>
    <w:rsid w:val="005F0A92"/>
    <w:rsid w:val="005F0EFC"/>
    <w:rsid w:val="005F1353"/>
    <w:rsid w:val="005F1465"/>
    <w:rsid w:val="005F200E"/>
    <w:rsid w:val="005F397E"/>
    <w:rsid w:val="005F4249"/>
    <w:rsid w:val="005F457B"/>
    <w:rsid w:val="005F4699"/>
    <w:rsid w:val="005F48F9"/>
    <w:rsid w:val="005F51C6"/>
    <w:rsid w:val="005F5547"/>
    <w:rsid w:val="005F574E"/>
    <w:rsid w:val="005F5A4E"/>
    <w:rsid w:val="005F6AD9"/>
    <w:rsid w:val="005F7F03"/>
    <w:rsid w:val="006007B1"/>
    <w:rsid w:val="00600F9D"/>
    <w:rsid w:val="006013ED"/>
    <w:rsid w:val="00601C6C"/>
    <w:rsid w:val="006020D8"/>
    <w:rsid w:val="00602545"/>
    <w:rsid w:val="00603283"/>
    <w:rsid w:val="006036D6"/>
    <w:rsid w:val="006046F8"/>
    <w:rsid w:val="00604BF8"/>
    <w:rsid w:val="00606CAC"/>
    <w:rsid w:val="00606D9E"/>
    <w:rsid w:val="0060789F"/>
    <w:rsid w:val="0060795B"/>
    <w:rsid w:val="00611094"/>
    <w:rsid w:val="0061122E"/>
    <w:rsid w:val="00611431"/>
    <w:rsid w:val="00612857"/>
    <w:rsid w:val="00613B28"/>
    <w:rsid w:val="00613F57"/>
    <w:rsid w:val="00614A10"/>
    <w:rsid w:val="00615356"/>
    <w:rsid w:val="00616E71"/>
    <w:rsid w:val="00617068"/>
    <w:rsid w:val="00617C7D"/>
    <w:rsid w:val="006219F1"/>
    <w:rsid w:val="006221E1"/>
    <w:rsid w:val="006223FD"/>
    <w:rsid w:val="006233A2"/>
    <w:rsid w:val="00623418"/>
    <w:rsid w:val="006252EA"/>
    <w:rsid w:val="006254F9"/>
    <w:rsid w:val="00625AF2"/>
    <w:rsid w:val="006262BC"/>
    <w:rsid w:val="006317A9"/>
    <w:rsid w:val="006318A0"/>
    <w:rsid w:val="006323CF"/>
    <w:rsid w:val="00632B7F"/>
    <w:rsid w:val="00632C7A"/>
    <w:rsid w:val="00632CC7"/>
    <w:rsid w:val="00632DAF"/>
    <w:rsid w:val="00632ED8"/>
    <w:rsid w:val="00633115"/>
    <w:rsid w:val="0063343F"/>
    <w:rsid w:val="00633C7A"/>
    <w:rsid w:val="00633D53"/>
    <w:rsid w:val="00633EF3"/>
    <w:rsid w:val="00634AB9"/>
    <w:rsid w:val="0063511F"/>
    <w:rsid w:val="006361A5"/>
    <w:rsid w:val="006364D1"/>
    <w:rsid w:val="0063668A"/>
    <w:rsid w:val="00637122"/>
    <w:rsid w:val="00637460"/>
    <w:rsid w:val="006376E2"/>
    <w:rsid w:val="00640578"/>
    <w:rsid w:val="00640DE2"/>
    <w:rsid w:val="00641B6C"/>
    <w:rsid w:val="00641F80"/>
    <w:rsid w:val="00643A94"/>
    <w:rsid w:val="00644028"/>
    <w:rsid w:val="00645436"/>
    <w:rsid w:val="00645634"/>
    <w:rsid w:val="00645FFA"/>
    <w:rsid w:val="006467C3"/>
    <w:rsid w:val="00646A5E"/>
    <w:rsid w:val="006472DD"/>
    <w:rsid w:val="00647CD6"/>
    <w:rsid w:val="00650797"/>
    <w:rsid w:val="00651F84"/>
    <w:rsid w:val="00653EF4"/>
    <w:rsid w:val="0065449D"/>
    <w:rsid w:val="00655D39"/>
    <w:rsid w:val="00656ACC"/>
    <w:rsid w:val="00656F42"/>
    <w:rsid w:val="006570F2"/>
    <w:rsid w:val="00657BC5"/>
    <w:rsid w:val="00657E9A"/>
    <w:rsid w:val="0066125D"/>
    <w:rsid w:val="006612E9"/>
    <w:rsid w:val="006617AE"/>
    <w:rsid w:val="0066203C"/>
    <w:rsid w:val="0066229B"/>
    <w:rsid w:val="006623F2"/>
    <w:rsid w:val="00664F01"/>
    <w:rsid w:val="00665E88"/>
    <w:rsid w:val="00665EC3"/>
    <w:rsid w:val="0066620B"/>
    <w:rsid w:val="006671CB"/>
    <w:rsid w:val="00670049"/>
    <w:rsid w:val="006700A9"/>
    <w:rsid w:val="00670606"/>
    <w:rsid w:val="00670611"/>
    <w:rsid w:val="00670D9D"/>
    <w:rsid w:val="006723E4"/>
    <w:rsid w:val="006724A8"/>
    <w:rsid w:val="006733C0"/>
    <w:rsid w:val="00673B14"/>
    <w:rsid w:val="00673FB3"/>
    <w:rsid w:val="00674ED9"/>
    <w:rsid w:val="006769B4"/>
    <w:rsid w:val="0068004A"/>
    <w:rsid w:val="00680393"/>
    <w:rsid w:val="006806C8"/>
    <w:rsid w:val="00680711"/>
    <w:rsid w:val="00680D12"/>
    <w:rsid w:val="00681ECC"/>
    <w:rsid w:val="00682543"/>
    <w:rsid w:val="006827E2"/>
    <w:rsid w:val="006827F2"/>
    <w:rsid w:val="0068288F"/>
    <w:rsid w:val="00682EBA"/>
    <w:rsid w:val="006834F5"/>
    <w:rsid w:val="006837BF"/>
    <w:rsid w:val="00683E05"/>
    <w:rsid w:val="00684073"/>
    <w:rsid w:val="00684B17"/>
    <w:rsid w:val="00684C87"/>
    <w:rsid w:val="00684F3B"/>
    <w:rsid w:val="0068545D"/>
    <w:rsid w:val="00686C89"/>
    <w:rsid w:val="00687069"/>
    <w:rsid w:val="0068797B"/>
    <w:rsid w:val="00687BA6"/>
    <w:rsid w:val="00692B0D"/>
    <w:rsid w:val="00692EA1"/>
    <w:rsid w:val="00694109"/>
    <w:rsid w:val="00695D5A"/>
    <w:rsid w:val="006A0485"/>
    <w:rsid w:val="006A151A"/>
    <w:rsid w:val="006A2A89"/>
    <w:rsid w:val="006A2D95"/>
    <w:rsid w:val="006A3721"/>
    <w:rsid w:val="006A3DD7"/>
    <w:rsid w:val="006A3E94"/>
    <w:rsid w:val="006A4622"/>
    <w:rsid w:val="006A4DA7"/>
    <w:rsid w:val="006A67E2"/>
    <w:rsid w:val="006A6B15"/>
    <w:rsid w:val="006A7405"/>
    <w:rsid w:val="006A7A45"/>
    <w:rsid w:val="006A7B53"/>
    <w:rsid w:val="006B00E9"/>
    <w:rsid w:val="006B03FB"/>
    <w:rsid w:val="006B0513"/>
    <w:rsid w:val="006B0EE5"/>
    <w:rsid w:val="006B0F01"/>
    <w:rsid w:val="006B0F81"/>
    <w:rsid w:val="006B1A1B"/>
    <w:rsid w:val="006B1D4E"/>
    <w:rsid w:val="006B2A97"/>
    <w:rsid w:val="006B326F"/>
    <w:rsid w:val="006B5574"/>
    <w:rsid w:val="006B5616"/>
    <w:rsid w:val="006B5C77"/>
    <w:rsid w:val="006B76A7"/>
    <w:rsid w:val="006C03AC"/>
    <w:rsid w:val="006C0993"/>
    <w:rsid w:val="006C200D"/>
    <w:rsid w:val="006C2DF7"/>
    <w:rsid w:val="006C302C"/>
    <w:rsid w:val="006C357E"/>
    <w:rsid w:val="006C39D0"/>
    <w:rsid w:val="006C3C41"/>
    <w:rsid w:val="006C4E6D"/>
    <w:rsid w:val="006C5D0F"/>
    <w:rsid w:val="006C6343"/>
    <w:rsid w:val="006C75F2"/>
    <w:rsid w:val="006C7A23"/>
    <w:rsid w:val="006C7ED4"/>
    <w:rsid w:val="006D15CE"/>
    <w:rsid w:val="006D1A51"/>
    <w:rsid w:val="006D2D81"/>
    <w:rsid w:val="006D2DA8"/>
    <w:rsid w:val="006D34F4"/>
    <w:rsid w:val="006D386E"/>
    <w:rsid w:val="006D3977"/>
    <w:rsid w:val="006D40AF"/>
    <w:rsid w:val="006D44FB"/>
    <w:rsid w:val="006D5EE2"/>
    <w:rsid w:val="006D67A4"/>
    <w:rsid w:val="006D6A29"/>
    <w:rsid w:val="006D6C02"/>
    <w:rsid w:val="006D6E6B"/>
    <w:rsid w:val="006E05FF"/>
    <w:rsid w:val="006E0806"/>
    <w:rsid w:val="006E1769"/>
    <w:rsid w:val="006E2E69"/>
    <w:rsid w:val="006E3DEB"/>
    <w:rsid w:val="006E4CB1"/>
    <w:rsid w:val="006E51CE"/>
    <w:rsid w:val="006E6C16"/>
    <w:rsid w:val="006E7706"/>
    <w:rsid w:val="006E7953"/>
    <w:rsid w:val="006E7A3E"/>
    <w:rsid w:val="006F2024"/>
    <w:rsid w:val="006F3076"/>
    <w:rsid w:val="006F3660"/>
    <w:rsid w:val="006F3C1A"/>
    <w:rsid w:val="006F3CFE"/>
    <w:rsid w:val="006F3F46"/>
    <w:rsid w:val="006F5145"/>
    <w:rsid w:val="006F58E4"/>
    <w:rsid w:val="006F5EDA"/>
    <w:rsid w:val="006F6BE8"/>
    <w:rsid w:val="006F6F33"/>
    <w:rsid w:val="006F70AB"/>
    <w:rsid w:val="006F7287"/>
    <w:rsid w:val="00700449"/>
    <w:rsid w:val="00700ACA"/>
    <w:rsid w:val="007012DB"/>
    <w:rsid w:val="00701E97"/>
    <w:rsid w:val="0070259F"/>
    <w:rsid w:val="00702F35"/>
    <w:rsid w:val="0070354B"/>
    <w:rsid w:val="00703965"/>
    <w:rsid w:val="00704060"/>
    <w:rsid w:val="00704610"/>
    <w:rsid w:val="00704842"/>
    <w:rsid w:val="007060D0"/>
    <w:rsid w:val="00706A83"/>
    <w:rsid w:val="00707443"/>
    <w:rsid w:val="00707830"/>
    <w:rsid w:val="00710A98"/>
    <w:rsid w:val="00711A80"/>
    <w:rsid w:val="0071377E"/>
    <w:rsid w:val="007138AC"/>
    <w:rsid w:val="00714DC2"/>
    <w:rsid w:val="00716B9E"/>
    <w:rsid w:val="00717003"/>
    <w:rsid w:val="00720088"/>
    <w:rsid w:val="007224EC"/>
    <w:rsid w:val="00722546"/>
    <w:rsid w:val="007227E3"/>
    <w:rsid w:val="007232AB"/>
    <w:rsid w:val="00723BE5"/>
    <w:rsid w:val="00725261"/>
    <w:rsid w:val="00726EC2"/>
    <w:rsid w:val="00727A80"/>
    <w:rsid w:val="00727B0D"/>
    <w:rsid w:val="00730974"/>
    <w:rsid w:val="00731F3C"/>
    <w:rsid w:val="00732757"/>
    <w:rsid w:val="00732916"/>
    <w:rsid w:val="00732D8E"/>
    <w:rsid w:val="007330E9"/>
    <w:rsid w:val="007342E1"/>
    <w:rsid w:val="007344D0"/>
    <w:rsid w:val="007345F6"/>
    <w:rsid w:val="00734ACB"/>
    <w:rsid w:val="00735258"/>
    <w:rsid w:val="00735D37"/>
    <w:rsid w:val="00735DC0"/>
    <w:rsid w:val="00736143"/>
    <w:rsid w:val="007362D4"/>
    <w:rsid w:val="00736301"/>
    <w:rsid w:val="00736374"/>
    <w:rsid w:val="0073679D"/>
    <w:rsid w:val="00736D38"/>
    <w:rsid w:val="00736FE0"/>
    <w:rsid w:val="00740520"/>
    <w:rsid w:val="007405E6"/>
    <w:rsid w:val="00740E8F"/>
    <w:rsid w:val="00741A65"/>
    <w:rsid w:val="007424A8"/>
    <w:rsid w:val="0074317F"/>
    <w:rsid w:val="00743B71"/>
    <w:rsid w:val="00744C03"/>
    <w:rsid w:val="00745FA7"/>
    <w:rsid w:val="00747D29"/>
    <w:rsid w:val="00747F20"/>
    <w:rsid w:val="0075046F"/>
    <w:rsid w:val="00750DE8"/>
    <w:rsid w:val="00751185"/>
    <w:rsid w:val="007519E9"/>
    <w:rsid w:val="00752060"/>
    <w:rsid w:val="007521A5"/>
    <w:rsid w:val="00752F59"/>
    <w:rsid w:val="007535EA"/>
    <w:rsid w:val="0075399E"/>
    <w:rsid w:val="00753A2B"/>
    <w:rsid w:val="00753C7B"/>
    <w:rsid w:val="00754348"/>
    <w:rsid w:val="0075523B"/>
    <w:rsid w:val="007559B1"/>
    <w:rsid w:val="0075683D"/>
    <w:rsid w:val="007602FE"/>
    <w:rsid w:val="00760AC3"/>
    <w:rsid w:val="00761A18"/>
    <w:rsid w:val="0076286C"/>
    <w:rsid w:val="00763096"/>
    <w:rsid w:val="00763A56"/>
    <w:rsid w:val="0076404A"/>
    <w:rsid w:val="007648D3"/>
    <w:rsid w:val="00764F8E"/>
    <w:rsid w:val="00765A66"/>
    <w:rsid w:val="00765D9A"/>
    <w:rsid w:val="0076615C"/>
    <w:rsid w:val="0076695D"/>
    <w:rsid w:val="00767ABB"/>
    <w:rsid w:val="00770319"/>
    <w:rsid w:val="00770854"/>
    <w:rsid w:val="00770C06"/>
    <w:rsid w:val="00773727"/>
    <w:rsid w:val="00773820"/>
    <w:rsid w:val="00773A88"/>
    <w:rsid w:val="00775148"/>
    <w:rsid w:val="00775225"/>
    <w:rsid w:val="00776827"/>
    <w:rsid w:val="00776A3C"/>
    <w:rsid w:val="00776E52"/>
    <w:rsid w:val="007776FC"/>
    <w:rsid w:val="00780509"/>
    <w:rsid w:val="0078061F"/>
    <w:rsid w:val="00781150"/>
    <w:rsid w:val="007813CA"/>
    <w:rsid w:val="00781B18"/>
    <w:rsid w:val="007832B6"/>
    <w:rsid w:val="007839A3"/>
    <w:rsid w:val="00785280"/>
    <w:rsid w:val="00786C17"/>
    <w:rsid w:val="00787C24"/>
    <w:rsid w:val="007901E2"/>
    <w:rsid w:val="00790AB8"/>
    <w:rsid w:val="007924A0"/>
    <w:rsid w:val="0079272E"/>
    <w:rsid w:val="0079369B"/>
    <w:rsid w:val="00793BA3"/>
    <w:rsid w:val="00794664"/>
    <w:rsid w:val="007954BF"/>
    <w:rsid w:val="00795C4B"/>
    <w:rsid w:val="00796D92"/>
    <w:rsid w:val="007A0A01"/>
    <w:rsid w:val="007A0F1E"/>
    <w:rsid w:val="007A1FA7"/>
    <w:rsid w:val="007A2626"/>
    <w:rsid w:val="007A31B5"/>
    <w:rsid w:val="007A3DFB"/>
    <w:rsid w:val="007A565A"/>
    <w:rsid w:val="007A577B"/>
    <w:rsid w:val="007A5A7D"/>
    <w:rsid w:val="007A5CEF"/>
    <w:rsid w:val="007A6587"/>
    <w:rsid w:val="007A7BC8"/>
    <w:rsid w:val="007B1B42"/>
    <w:rsid w:val="007B1C12"/>
    <w:rsid w:val="007B1EF2"/>
    <w:rsid w:val="007B2F25"/>
    <w:rsid w:val="007B488E"/>
    <w:rsid w:val="007B5209"/>
    <w:rsid w:val="007B55DD"/>
    <w:rsid w:val="007B6231"/>
    <w:rsid w:val="007B6D68"/>
    <w:rsid w:val="007B6EFD"/>
    <w:rsid w:val="007B78DC"/>
    <w:rsid w:val="007B7F25"/>
    <w:rsid w:val="007B7F60"/>
    <w:rsid w:val="007C00E9"/>
    <w:rsid w:val="007C068C"/>
    <w:rsid w:val="007C09B8"/>
    <w:rsid w:val="007C0FCE"/>
    <w:rsid w:val="007C0FD4"/>
    <w:rsid w:val="007C1097"/>
    <w:rsid w:val="007C2E4F"/>
    <w:rsid w:val="007C3A22"/>
    <w:rsid w:val="007C3C40"/>
    <w:rsid w:val="007C3CA1"/>
    <w:rsid w:val="007C592B"/>
    <w:rsid w:val="007C6FED"/>
    <w:rsid w:val="007D062D"/>
    <w:rsid w:val="007D0D17"/>
    <w:rsid w:val="007D10B1"/>
    <w:rsid w:val="007D117C"/>
    <w:rsid w:val="007D19C7"/>
    <w:rsid w:val="007D1D6D"/>
    <w:rsid w:val="007D2205"/>
    <w:rsid w:val="007D2FDA"/>
    <w:rsid w:val="007D2FE8"/>
    <w:rsid w:val="007D4E55"/>
    <w:rsid w:val="007D53B7"/>
    <w:rsid w:val="007D5F64"/>
    <w:rsid w:val="007D64EE"/>
    <w:rsid w:val="007D6A0C"/>
    <w:rsid w:val="007D71AA"/>
    <w:rsid w:val="007E1463"/>
    <w:rsid w:val="007E192F"/>
    <w:rsid w:val="007E237F"/>
    <w:rsid w:val="007E2546"/>
    <w:rsid w:val="007E256E"/>
    <w:rsid w:val="007E25C5"/>
    <w:rsid w:val="007E32DF"/>
    <w:rsid w:val="007E39A9"/>
    <w:rsid w:val="007E3E0D"/>
    <w:rsid w:val="007E48F7"/>
    <w:rsid w:val="007E4E7C"/>
    <w:rsid w:val="007E5C56"/>
    <w:rsid w:val="007E65BE"/>
    <w:rsid w:val="007E7204"/>
    <w:rsid w:val="007F082B"/>
    <w:rsid w:val="007F0AB5"/>
    <w:rsid w:val="007F0E24"/>
    <w:rsid w:val="007F161E"/>
    <w:rsid w:val="007F2582"/>
    <w:rsid w:val="007F2E77"/>
    <w:rsid w:val="007F2F82"/>
    <w:rsid w:val="007F3CD1"/>
    <w:rsid w:val="007F505E"/>
    <w:rsid w:val="007F5160"/>
    <w:rsid w:val="00800A6E"/>
    <w:rsid w:val="008013EC"/>
    <w:rsid w:val="008023FB"/>
    <w:rsid w:val="00802A4D"/>
    <w:rsid w:val="00802FB0"/>
    <w:rsid w:val="00803ED7"/>
    <w:rsid w:val="008042D8"/>
    <w:rsid w:val="008045C8"/>
    <w:rsid w:val="00805036"/>
    <w:rsid w:val="00805441"/>
    <w:rsid w:val="00805F9B"/>
    <w:rsid w:val="008069E2"/>
    <w:rsid w:val="008069EB"/>
    <w:rsid w:val="00806FAD"/>
    <w:rsid w:val="00810A8C"/>
    <w:rsid w:val="00810DB2"/>
    <w:rsid w:val="008110E0"/>
    <w:rsid w:val="008118B5"/>
    <w:rsid w:val="00811C01"/>
    <w:rsid w:val="008123A3"/>
    <w:rsid w:val="00812AB9"/>
    <w:rsid w:val="008138ED"/>
    <w:rsid w:val="00813D15"/>
    <w:rsid w:val="00813F1B"/>
    <w:rsid w:val="008145D8"/>
    <w:rsid w:val="008155B2"/>
    <w:rsid w:val="00815FD8"/>
    <w:rsid w:val="0081641D"/>
    <w:rsid w:val="008165AD"/>
    <w:rsid w:val="008171A2"/>
    <w:rsid w:val="0082086B"/>
    <w:rsid w:val="00820DAB"/>
    <w:rsid w:val="00821300"/>
    <w:rsid w:val="00821ED8"/>
    <w:rsid w:val="00822107"/>
    <w:rsid w:val="0082221F"/>
    <w:rsid w:val="0082237D"/>
    <w:rsid w:val="00822A03"/>
    <w:rsid w:val="008238A7"/>
    <w:rsid w:val="00823A5D"/>
    <w:rsid w:val="008240FF"/>
    <w:rsid w:val="008252CA"/>
    <w:rsid w:val="0082589B"/>
    <w:rsid w:val="008263E0"/>
    <w:rsid w:val="008304BA"/>
    <w:rsid w:val="008317F2"/>
    <w:rsid w:val="008320A5"/>
    <w:rsid w:val="008325B9"/>
    <w:rsid w:val="0083299B"/>
    <w:rsid w:val="00833FF3"/>
    <w:rsid w:val="00835711"/>
    <w:rsid w:val="008357F2"/>
    <w:rsid w:val="00835D6B"/>
    <w:rsid w:val="008361E8"/>
    <w:rsid w:val="00836DD4"/>
    <w:rsid w:val="00836F93"/>
    <w:rsid w:val="008415BD"/>
    <w:rsid w:val="00841AD5"/>
    <w:rsid w:val="00841F06"/>
    <w:rsid w:val="008421EE"/>
    <w:rsid w:val="008426FA"/>
    <w:rsid w:val="00842908"/>
    <w:rsid w:val="0084394D"/>
    <w:rsid w:val="008451F9"/>
    <w:rsid w:val="008501CD"/>
    <w:rsid w:val="008503A2"/>
    <w:rsid w:val="00850BBF"/>
    <w:rsid w:val="00851C87"/>
    <w:rsid w:val="00851D6E"/>
    <w:rsid w:val="008531FF"/>
    <w:rsid w:val="00853415"/>
    <w:rsid w:val="008538F4"/>
    <w:rsid w:val="00853AF5"/>
    <w:rsid w:val="00853C9E"/>
    <w:rsid w:val="00853E89"/>
    <w:rsid w:val="00855C23"/>
    <w:rsid w:val="00855D2C"/>
    <w:rsid w:val="00855E8A"/>
    <w:rsid w:val="0085607E"/>
    <w:rsid w:val="0085708E"/>
    <w:rsid w:val="00857D0B"/>
    <w:rsid w:val="00860200"/>
    <w:rsid w:val="008608FD"/>
    <w:rsid w:val="0086178A"/>
    <w:rsid w:val="00862A60"/>
    <w:rsid w:val="00862FB3"/>
    <w:rsid w:val="008630F2"/>
    <w:rsid w:val="008630FC"/>
    <w:rsid w:val="00863C9C"/>
    <w:rsid w:val="0086460F"/>
    <w:rsid w:val="0086662F"/>
    <w:rsid w:val="00866DDD"/>
    <w:rsid w:val="008671B6"/>
    <w:rsid w:val="00867885"/>
    <w:rsid w:val="00867D1F"/>
    <w:rsid w:val="00870088"/>
    <w:rsid w:val="00870897"/>
    <w:rsid w:val="008716EF"/>
    <w:rsid w:val="00871D3B"/>
    <w:rsid w:val="008728D4"/>
    <w:rsid w:val="00872BC0"/>
    <w:rsid w:val="00873CDD"/>
    <w:rsid w:val="00874AA4"/>
    <w:rsid w:val="00875048"/>
    <w:rsid w:val="00875492"/>
    <w:rsid w:val="0087577C"/>
    <w:rsid w:val="008758CE"/>
    <w:rsid w:val="00875ADE"/>
    <w:rsid w:val="00876BFF"/>
    <w:rsid w:val="00877853"/>
    <w:rsid w:val="00881CD3"/>
    <w:rsid w:val="00881F12"/>
    <w:rsid w:val="00882BCC"/>
    <w:rsid w:val="00882F24"/>
    <w:rsid w:val="00883B23"/>
    <w:rsid w:val="00883ECF"/>
    <w:rsid w:val="008845B8"/>
    <w:rsid w:val="00885BE9"/>
    <w:rsid w:val="00885EFC"/>
    <w:rsid w:val="0088612B"/>
    <w:rsid w:val="00886549"/>
    <w:rsid w:val="008866D8"/>
    <w:rsid w:val="00887574"/>
    <w:rsid w:val="0088782C"/>
    <w:rsid w:val="008878BA"/>
    <w:rsid w:val="008902BD"/>
    <w:rsid w:val="0089047A"/>
    <w:rsid w:val="00890656"/>
    <w:rsid w:val="0089131C"/>
    <w:rsid w:val="00891456"/>
    <w:rsid w:val="00892E28"/>
    <w:rsid w:val="00893E68"/>
    <w:rsid w:val="00893E8E"/>
    <w:rsid w:val="0089680F"/>
    <w:rsid w:val="00896D3A"/>
    <w:rsid w:val="008974B6"/>
    <w:rsid w:val="0089762A"/>
    <w:rsid w:val="008979CA"/>
    <w:rsid w:val="008A074D"/>
    <w:rsid w:val="008A0C8E"/>
    <w:rsid w:val="008A128A"/>
    <w:rsid w:val="008A18DB"/>
    <w:rsid w:val="008A1B79"/>
    <w:rsid w:val="008A1E19"/>
    <w:rsid w:val="008A1F33"/>
    <w:rsid w:val="008A2883"/>
    <w:rsid w:val="008A2A6E"/>
    <w:rsid w:val="008A2BF2"/>
    <w:rsid w:val="008A2DB3"/>
    <w:rsid w:val="008A3D00"/>
    <w:rsid w:val="008A3E9D"/>
    <w:rsid w:val="008A4955"/>
    <w:rsid w:val="008A61D9"/>
    <w:rsid w:val="008A707F"/>
    <w:rsid w:val="008A7150"/>
    <w:rsid w:val="008A71CE"/>
    <w:rsid w:val="008A7296"/>
    <w:rsid w:val="008B0B0D"/>
    <w:rsid w:val="008B0DA3"/>
    <w:rsid w:val="008B1A40"/>
    <w:rsid w:val="008B20E0"/>
    <w:rsid w:val="008B396B"/>
    <w:rsid w:val="008B40C0"/>
    <w:rsid w:val="008B41A2"/>
    <w:rsid w:val="008B452A"/>
    <w:rsid w:val="008B4ADA"/>
    <w:rsid w:val="008B50B4"/>
    <w:rsid w:val="008B526C"/>
    <w:rsid w:val="008B5832"/>
    <w:rsid w:val="008B596D"/>
    <w:rsid w:val="008B61CD"/>
    <w:rsid w:val="008B62B2"/>
    <w:rsid w:val="008B6A4B"/>
    <w:rsid w:val="008B6D5F"/>
    <w:rsid w:val="008B7E3C"/>
    <w:rsid w:val="008C0869"/>
    <w:rsid w:val="008C0AA8"/>
    <w:rsid w:val="008C2188"/>
    <w:rsid w:val="008C2733"/>
    <w:rsid w:val="008C3265"/>
    <w:rsid w:val="008C37B2"/>
    <w:rsid w:val="008C3B72"/>
    <w:rsid w:val="008C49B0"/>
    <w:rsid w:val="008C4B9F"/>
    <w:rsid w:val="008C50D8"/>
    <w:rsid w:val="008C53AC"/>
    <w:rsid w:val="008C53B8"/>
    <w:rsid w:val="008C7185"/>
    <w:rsid w:val="008C73C1"/>
    <w:rsid w:val="008C770E"/>
    <w:rsid w:val="008C7D16"/>
    <w:rsid w:val="008C7F25"/>
    <w:rsid w:val="008D20D9"/>
    <w:rsid w:val="008D29A4"/>
    <w:rsid w:val="008D2FCF"/>
    <w:rsid w:val="008D311E"/>
    <w:rsid w:val="008D3DBA"/>
    <w:rsid w:val="008D4D9F"/>
    <w:rsid w:val="008D5456"/>
    <w:rsid w:val="008D57F6"/>
    <w:rsid w:val="008D589F"/>
    <w:rsid w:val="008D62C2"/>
    <w:rsid w:val="008D67F5"/>
    <w:rsid w:val="008D6F4E"/>
    <w:rsid w:val="008D7260"/>
    <w:rsid w:val="008D7A7E"/>
    <w:rsid w:val="008D7C3E"/>
    <w:rsid w:val="008E0D42"/>
    <w:rsid w:val="008E14BD"/>
    <w:rsid w:val="008E1FBD"/>
    <w:rsid w:val="008E22BC"/>
    <w:rsid w:val="008E2524"/>
    <w:rsid w:val="008E3C63"/>
    <w:rsid w:val="008E4A1A"/>
    <w:rsid w:val="008E5CB8"/>
    <w:rsid w:val="008E72E2"/>
    <w:rsid w:val="008F0067"/>
    <w:rsid w:val="008F08BB"/>
    <w:rsid w:val="008F0AD7"/>
    <w:rsid w:val="008F0CA2"/>
    <w:rsid w:val="008F10A5"/>
    <w:rsid w:val="008F15FC"/>
    <w:rsid w:val="008F24E0"/>
    <w:rsid w:val="008F30A9"/>
    <w:rsid w:val="008F46ED"/>
    <w:rsid w:val="008F4975"/>
    <w:rsid w:val="008F4DD5"/>
    <w:rsid w:val="008F54E5"/>
    <w:rsid w:val="008F6818"/>
    <w:rsid w:val="008F6B6C"/>
    <w:rsid w:val="008F6C1E"/>
    <w:rsid w:val="008F733D"/>
    <w:rsid w:val="008F751C"/>
    <w:rsid w:val="0090068F"/>
    <w:rsid w:val="00900B03"/>
    <w:rsid w:val="009018BE"/>
    <w:rsid w:val="00901C6F"/>
    <w:rsid w:val="0090354E"/>
    <w:rsid w:val="009036F7"/>
    <w:rsid w:val="00904D91"/>
    <w:rsid w:val="00905A0A"/>
    <w:rsid w:val="00906980"/>
    <w:rsid w:val="0091114B"/>
    <w:rsid w:val="009126CB"/>
    <w:rsid w:val="00914853"/>
    <w:rsid w:val="009155C2"/>
    <w:rsid w:val="0091568B"/>
    <w:rsid w:val="00915BD9"/>
    <w:rsid w:val="00915F86"/>
    <w:rsid w:val="0091665C"/>
    <w:rsid w:val="00917258"/>
    <w:rsid w:val="0091732C"/>
    <w:rsid w:val="0091767B"/>
    <w:rsid w:val="00917856"/>
    <w:rsid w:val="00921D3D"/>
    <w:rsid w:val="009226B8"/>
    <w:rsid w:val="00922BD0"/>
    <w:rsid w:val="009239A8"/>
    <w:rsid w:val="0092431D"/>
    <w:rsid w:val="00925BE3"/>
    <w:rsid w:val="00925DA0"/>
    <w:rsid w:val="00926F15"/>
    <w:rsid w:val="00927305"/>
    <w:rsid w:val="00927438"/>
    <w:rsid w:val="009274C1"/>
    <w:rsid w:val="009279BB"/>
    <w:rsid w:val="00930DEB"/>
    <w:rsid w:val="00931F84"/>
    <w:rsid w:val="0093318D"/>
    <w:rsid w:val="009343D6"/>
    <w:rsid w:val="00934517"/>
    <w:rsid w:val="00934B18"/>
    <w:rsid w:val="009358D3"/>
    <w:rsid w:val="00935B95"/>
    <w:rsid w:val="00936CD1"/>
    <w:rsid w:val="00937696"/>
    <w:rsid w:val="00940298"/>
    <w:rsid w:val="00941A85"/>
    <w:rsid w:val="00943026"/>
    <w:rsid w:val="009431AF"/>
    <w:rsid w:val="009432ED"/>
    <w:rsid w:val="009433CF"/>
    <w:rsid w:val="009437E7"/>
    <w:rsid w:val="009439BE"/>
    <w:rsid w:val="00943E25"/>
    <w:rsid w:val="00944861"/>
    <w:rsid w:val="00944C29"/>
    <w:rsid w:val="00945C03"/>
    <w:rsid w:val="00946021"/>
    <w:rsid w:val="0094641E"/>
    <w:rsid w:val="009464D3"/>
    <w:rsid w:val="00946BE9"/>
    <w:rsid w:val="00946E58"/>
    <w:rsid w:val="00946F23"/>
    <w:rsid w:val="00947400"/>
    <w:rsid w:val="009515ED"/>
    <w:rsid w:val="00952C42"/>
    <w:rsid w:val="0095363D"/>
    <w:rsid w:val="00954A28"/>
    <w:rsid w:val="00954E5A"/>
    <w:rsid w:val="009551FC"/>
    <w:rsid w:val="00957502"/>
    <w:rsid w:val="009578DE"/>
    <w:rsid w:val="00961393"/>
    <w:rsid w:val="009623E1"/>
    <w:rsid w:val="009626F8"/>
    <w:rsid w:val="0096422F"/>
    <w:rsid w:val="00964645"/>
    <w:rsid w:val="00964D14"/>
    <w:rsid w:val="009666C6"/>
    <w:rsid w:val="00966B58"/>
    <w:rsid w:val="009679CF"/>
    <w:rsid w:val="00970A98"/>
    <w:rsid w:val="00970B6D"/>
    <w:rsid w:val="00971FFC"/>
    <w:rsid w:val="00972526"/>
    <w:rsid w:val="009734C8"/>
    <w:rsid w:val="00973881"/>
    <w:rsid w:val="00973C9D"/>
    <w:rsid w:val="0097420E"/>
    <w:rsid w:val="00974E4E"/>
    <w:rsid w:val="00974F20"/>
    <w:rsid w:val="0097611F"/>
    <w:rsid w:val="00976BD8"/>
    <w:rsid w:val="00976C38"/>
    <w:rsid w:val="00977F4F"/>
    <w:rsid w:val="0098019C"/>
    <w:rsid w:val="0098090F"/>
    <w:rsid w:val="00980FA5"/>
    <w:rsid w:val="0098125F"/>
    <w:rsid w:val="00981447"/>
    <w:rsid w:val="00981BEB"/>
    <w:rsid w:val="00982177"/>
    <w:rsid w:val="0098332A"/>
    <w:rsid w:val="00983949"/>
    <w:rsid w:val="009847A1"/>
    <w:rsid w:val="00985E98"/>
    <w:rsid w:val="00986D06"/>
    <w:rsid w:val="00987830"/>
    <w:rsid w:val="00990207"/>
    <w:rsid w:val="00990BA9"/>
    <w:rsid w:val="00992062"/>
    <w:rsid w:val="00992699"/>
    <w:rsid w:val="00992CFC"/>
    <w:rsid w:val="00994810"/>
    <w:rsid w:val="00994DC0"/>
    <w:rsid w:val="00995217"/>
    <w:rsid w:val="00996151"/>
    <w:rsid w:val="00996195"/>
    <w:rsid w:val="0099718D"/>
    <w:rsid w:val="0099734B"/>
    <w:rsid w:val="00997DA5"/>
    <w:rsid w:val="009A03D4"/>
    <w:rsid w:val="009A14B3"/>
    <w:rsid w:val="009A2799"/>
    <w:rsid w:val="009A3114"/>
    <w:rsid w:val="009A3863"/>
    <w:rsid w:val="009A45DB"/>
    <w:rsid w:val="009A4762"/>
    <w:rsid w:val="009A4824"/>
    <w:rsid w:val="009A4A5B"/>
    <w:rsid w:val="009A5567"/>
    <w:rsid w:val="009A5BBE"/>
    <w:rsid w:val="009A690B"/>
    <w:rsid w:val="009A70AB"/>
    <w:rsid w:val="009A7D20"/>
    <w:rsid w:val="009A7EED"/>
    <w:rsid w:val="009B0BD8"/>
    <w:rsid w:val="009B18D0"/>
    <w:rsid w:val="009B2253"/>
    <w:rsid w:val="009B2430"/>
    <w:rsid w:val="009B2899"/>
    <w:rsid w:val="009B3063"/>
    <w:rsid w:val="009B3714"/>
    <w:rsid w:val="009B7733"/>
    <w:rsid w:val="009B77C1"/>
    <w:rsid w:val="009B7E19"/>
    <w:rsid w:val="009C0697"/>
    <w:rsid w:val="009C08D3"/>
    <w:rsid w:val="009C0AA6"/>
    <w:rsid w:val="009C1EC8"/>
    <w:rsid w:val="009C2089"/>
    <w:rsid w:val="009C20C9"/>
    <w:rsid w:val="009C24DA"/>
    <w:rsid w:val="009C28EC"/>
    <w:rsid w:val="009C3499"/>
    <w:rsid w:val="009C3966"/>
    <w:rsid w:val="009C451C"/>
    <w:rsid w:val="009C5104"/>
    <w:rsid w:val="009C57F9"/>
    <w:rsid w:val="009C7F17"/>
    <w:rsid w:val="009D0C78"/>
    <w:rsid w:val="009D11EF"/>
    <w:rsid w:val="009D18FA"/>
    <w:rsid w:val="009D1D80"/>
    <w:rsid w:val="009D33A9"/>
    <w:rsid w:val="009D34E6"/>
    <w:rsid w:val="009D4EBF"/>
    <w:rsid w:val="009D51F6"/>
    <w:rsid w:val="009D57CC"/>
    <w:rsid w:val="009D5DBA"/>
    <w:rsid w:val="009D6419"/>
    <w:rsid w:val="009D682B"/>
    <w:rsid w:val="009D68CB"/>
    <w:rsid w:val="009D7020"/>
    <w:rsid w:val="009E1815"/>
    <w:rsid w:val="009E23E2"/>
    <w:rsid w:val="009E2402"/>
    <w:rsid w:val="009E2744"/>
    <w:rsid w:val="009E3DC3"/>
    <w:rsid w:val="009E43DD"/>
    <w:rsid w:val="009E47FD"/>
    <w:rsid w:val="009E4BBF"/>
    <w:rsid w:val="009E4CE1"/>
    <w:rsid w:val="009E67EF"/>
    <w:rsid w:val="009E6A7C"/>
    <w:rsid w:val="009E6F33"/>
    <w:rsid w:val="009E7429"/>
    <w:rsid w:val="009E77CF"/>
    <w:rsid w:val="009E786C"/>
    <w:rsid w:val="009E79B8"/>
    <w:rsid w:val="009E7E0C"/>
    <w:rsid w:val="009F0B4D"/>
    <w:rsid w:val="009F1213"/>
    <w:rsid w:val="009F17E2"/>
    <w:rsid w:val="009F22F4"/>
    <w:rsid w:val="009F30C4"/>
    <w:rsid w:val="009F437F"/>
    <w:rsid w:val="009F4427"/>
    <w:rsid w:val="009F5E1D"/>
    <w:rsid w:val="009F636F"/>
    <w:rsid w:val="009F7F09"/>
    <w:rsid w:val="00A02389"/>
    <w:rsid w:val="00A02524"/>
    <w:rsid w:val="00A0296A"/>
    <w:rsid w:val="00A042B5"/>
    <w:rsid w:val="00A0636E"/>
    <w:rsid w:val="00A06F05"/>
    <w:rsid w:val="00A0716F"/>
    <w:rsid w:val="00A0729A"/>
    <w:rsid w:val="00A074C1"/>
    <w:rsid w:val="00A104FE"/>
    <w:rsid w:val="00A107AA"/>
    <w:rsid w:val="00A1186A"/>
    <w:rsid w:val="00A11BBC"/>
    <w:rsid w:val="00A11E14"/>
    <w:rsid w:val="00A12D41"/>
    <w:rsid w:val="00A12F21"/>
    <w:rsid w:val="00A14355"/>
    <w:rsid w:val="00A15118"/>
    <w:rsid w:val="00A15D66"/>
    <w:rsid w:val="00A162F8"/>
    <w:rsid w:val="00A16E95"/>
    <w:rsid w:val="00A17813"/>
    <w:rsid w:val="00A205F7"/>
    <w:rsid w:val="00A20DE4"/>
    <w:rsid w:val="00A21868"/>
    <w:rsid w:val="00A21A7D"/>
    <w:rsid w:val="00A21C06"/>
    <w:rsid w:val="00A22F88"/>
    <w:rsid w:val="00A23D04"/>
    <w:rsid w:val="00A249EC"/>
    <w:rsid w:val="00A25FA7"/>
    <w:rsid w:val="00A30C44"/>
    <w:rsid w:val="00A329CA"/>
    <w:rsid w:val="00A32A54"/>
    <w:rsid w:val="00A335A4"/>
    <w:rsid w:val="00A33984"/>
    <w:rsid w:val="00A33CE1"/>
    <w:rsid w:val="00A3403C"/>
    <w:rsid w:val="00A3496C"/>
    <w:rsid w:val="00A358C4"/>
    <w:rsid w:val="00A3693F"/>
    <w:rsid w:val="00A37510"/>
    <w:rsid w:val="00A377A1"/>
    <w:rsid w:val="00A3780D"/>
    <w:rsid w:val="00A37FDC"/>
    <w:rsid w:val="00A40384"/>
    <w:rsid w:val="00A416A4"/>
    <w:rsid w:val="00A41A9B"/>
    <w:rsid w:val="00A420FA"/>
    <w:rsid w:val="00A424FB"/>
    <w:rsid w:val="00A427EF"/>
    <w:rsid w:val="00A429F5"/>
    <w:rsid w:val="00A431F5"/>
    <w:rsid w:val="00A4499B"/>
    <w:rsid w:val="00A44DFF"/>
    <w:rsid w:val="00A45FA9"/>
    <w:rsid w:val="00A46054"/>
    <w:rsid w:val="00A46204"/>
    <w:rsid w:val="00A469E8"/>
    <w:rsid w:val="00A46F1E"/>
    <w:rsid w:val="00A479BB"/>
    <w:rsid w:val="00A479EE"/>
    <w:rsid w:val="00A50059"/>
    <w:rsid w:val="00A50F67"/>
    <w:rsid w:val="00A51CDB"/>
    <w:rsid w:val="00A522B9"/>
    <w:rsid w:val="00A53482"/>
    <w:rsid w:val="00A534FA"/>
    <w:rsid w:val="00A53618"/>
    <w:rsid w:val="00A53E62"/>
    <w:rsid w:val="00A53F1A"/>
    <w:rsid w:val="00A54272"/>
    <w:rsid w:val="00A54361"/>
    <w:rsid w:val="00A5449B"/>
    <w:rsid w:val="00A55F06"/>
    <w:rsid w:val="00A55FC4"/>
    <w:rsid w:val="00A56100"/>
    <w:rsid w:val="00A5621D"/>
    <w:rsid w:val="00A56A08"/>
    <w:rsid w:val="00A56E07"/>
    <w:rsid w:val="00A57317"/>
    <w:rsid w:val="00A57B09"/>
    <w:rsid w:val="00A6046F"/>
    <w:rsid w:val="00A60471"/>
    <w:rsid w:val="00A6063A"/>
    <w:rsid w:val="00A612DF"/>
    <w:rsid w:val="00A6203D"/>
    <w:rsid w:val="00A6212A"/>
    <w:rsid w:val="00A62631"/>
    <w:rsid w:val="00A632EE"/>
    <w:rsid w:val="00A637C5"/>
    <w:rsid w:val="00A638AD"/>
    <w:rsid w:val="00A63C08"/>
    <w:rsid w:val="00A6460E"/>
    <w:rsid w:val="00A647AC"/>
    <w:rsid w:val="00A65DAA"/>
    <w:rsid w:val="00A65E7E"/>
    <w:rsid w:val="00A65FF2"/>
    <w:rsid w:val="00A6771A"/>
    <w:rsid w:val="00A67C44"/>
    <w:rsid w:val="00A67D97"/>
    <w:rsid w:val="00A70E54"/>
    <w:rsid w:val="00A710D5"/>
    <w:rsid w:val="00A714C8"/>
    <w:rsid w:val="00A71B62"/>
    <w:rsid w:val="00A72859"/>
    <w:rsid w:val="00A73296"/>
    <w:rsid w:val="00A7439A"/>
    <w:rsid w:val="00A7481D"/>
    <w:rsid w:val="00A74EB5"/>
    <w:rsid w:val="00A75411"/>
    <w:rsid w:val="00A767BA"/>
    <w:rsid w:val="00A777C2"/>
    <w:rsid w:val="00A77F7C"/>
    <w:rsid w:val="00A808C6"/>
    <w:rsid w:val="00A81693"/>
    <w:rsid w:val="00A81A20"/>
    <w:rsid w:val="00A82324"/>
    <w:rsid w:val="00A82751"/>
    <w:rsid w:val="00A82B4E"/>
    <w:rsid w:val="00A84113"/>
    <w:rsid w:val="00A845B4"/>
    <w:rsid w:val="00A84BF5"/>
    <w:rsid w:val="00A84E38"/>
    <w:rsid w:val="00A85E0C"/>
    <w:rsid w:val="00A85E77"/>
    <w:rsid w:val="00A867CF"/>
    <w:rsid w:val="00A86D8E"/>
    <w:rsid w:val="00A87CC5"/>
    <w:rsid w:val="00A9154C"/>
    <w:rsid w:val="00A916E6"/>
    <w:rsid w:val="00A91FDC"/>
    <w:rsid w:val="00A92375"/>
    <w:rsid w:val="00A92AEE"/>
    <w:rsid w:val="00A92F39"/>
    <w:rsid w:val="00A93367"/>
    <w:rsid w:val="00A93955"/>
    <w:rsid w:val="00A93A26"/>
    <w:rsid w:val="00A940CA"/>
    <w:rsid w:val="00A9459A"/>
    <w:rsid w:val="00A948D9"/>
    <w:rsid w:val="00A94C4B"/>
    <w:rsid w:val="00A94D91"/>
    <w:rsid w:val="00A952A8"/>
    <w:rsid w:val="00A952EB"/>
    <w:rsid w:val="00A958F2"/>
    <w:rsid w:val="00A96CD8"/>
    <w:rsid w:val="00A970A9"/>
    <w:rsid w:val="00A97744"/>
    <w:rsid w:val="00AA04E4"/>
    <w:rsid w:val="00AA2C69"/>
    <w:rsid w:val="00AA3DD7"/>
    <w:rsid w:val="00AA432A"/>
    <w:rsid w:val="00AA4614"/>
    <w:rsid w:val="00AA49DD"/>
    <w:rsid w:val="00AA50B3"/>
    <w:rsid w:val="00AA6FDE"/>
    <w:rsid w:val="00AA7B04"/>
    <w:rsid w:val="00AB195B"/>
    <w:rsid w:val="00AB1B0D"/>
    <w:rsid w:val="00AB2CF5"/>
    <w:rsid w:val="00AB3827"/>
    <w:rsid w:val="00AB48ED"/>
    <w:rsid w:val="00AB53D2"/>
    <w:rsid w:val="00AB5CEA"/>
    <w:rsid w:val="00AB7349"/>
    <w:rsid w:val="00AC0E66"/>
    <w:rsid w:val="00AC1406"/>
    <w:rsid w:val="00AC1F73"/>
    <w:rsid w:val="00AC24DA"/>
    <w:rsid w:val="00AC2767"/>
    <w:rsid w:val="00AC2C4F"/>
    <w:rsid w:val="00AC3B0E"/>
    <w:rsid w:val="00AC44BC"/>
    <w:rsid w:val="00AC4873"/>
    <w:rsid w:val="00AC4935"/>
    <w:rsid w:val="00AC55EA"/>
    <w:rsid w:val="00AC5779"/>
    <w:rsid w:val="00AC5D60"/>
    <w:rsid w:val="00AC6774"/>
    <w:rsid w:val="00AC6E4F"/>
    <w:rsid w:val="00AC78C0"/>
    <w:rsid w:val="00AC7E45"/>
    <w:rsid w:val="00AC7F4B"/>
    <w:rsid w:val="00AD0990"/>
    <w:rsid w:val="00AD16AA"/>
    <w:rsid w:val="00AD1B30"/>
    <w:rsid w:val="00AD1BD5"/>
    <w:rsid w:val="00AD1E34"/>
    <w:rsid w:val="00AD25A8"/>
    <w:rsid w:val="00AD27B6"/>
    <w:rsid w:val="00AD3348"/>
    <w:rsid w:val="00AD358B"/>
    <w:rsid w:val="00AD3A60"/>
    <w:rsid w:val="00AD485C"/>
    <w:rsid w:val="00AD6431"/>
    <w:rsid w:val="00AD7259"/>
    <w:rsid w:val="00AD7340"/>
    <w:rsid w:val="00AD7BE6"/>
    <w:rsid w:val="00AE08F6"/>
    <w:rsid w:val="00AE0F10"/>
    <w:rsid w:val="00AE2778"/>
    <w:rsid w:val="00AE2F7A"/>
    <w:rsid w:val="00AE49B9"/>
    <w:rsid w:val="00AE5217"/>
    <w:rsid w:val="00AE5820"/>
    <w:rsid w:val="00AE5CFB"/>
    <w:rsid w:val="00AE7355"/>
    <w:rsid w:val="00AE76E1"/>
    <w:rsid w:val="00AE7F99"/>
    <w:rsid w:val="00AF0798"/>
    <w:rsid w:val="00AF103A"/>
    <w:rsid w:val="00AF17F6"/>
    <w:rsid w:val="00AF1BD3"/>
    <w:rsid w:val="00AF3710"/>
    <w:rsid w:val="00AF3EEE"/>
    <w:rsid w:val="00AF3F39"/>
    <w:rsid w:val="00AF4002"/>
    <w:rsid w:val="00AF518B"/>
    <w:rsid w:val="00AF557C"/>
    <w:rsid w:val="00AF6208"/>
    <w:rsid w:val="00AF6462"/>
    <w:rsid w:val="00AF6569"/>
    <w:rsid w:val="00AF7873"/>
    <w:rsid w:val="00B000E6"/>
    <w:rsid w:val="00B001D4"/>
    <w:rsid w:val="00B00E64"/>
    <w:rsid w:val="00B015AF"/>
    <w:rsid w:val="00B02596"/>
    <w:rsid w:val="00B02A77"/>
    <w:rsid w:val="00B05402"/>
    <w:rsid w:val="00B0556A"/>
    <w:rsid w:val="00B06297"/>
    <w:rsid w:val="00B06D5F"/>
    <w:rsid w:val="00B06E39"/>
    <w:rsid w:val="00B07D1E"/>
    <w:rsid w:val="00B106EC"/>
    <w:rsid w:val="00B11E21"/>
    <w:rsid w:val="00B13FE2"/>
    <w:rsid w:val="00B1460F"/>
    <w:rsid w:val="00B14EBA"/>
    <w:rsid w:val="00B150A0"/>
    <w:rsid w:val="00B15C7C"/>
    <w:rsid w:val="00B1756E"/>
    <w:rsid w:val="00B1791D"/>
    <w:rsid w:val="00B17C5D"/>
    <w:rsid w:val="00B201DE"/>
    <w:rsid w:val="00B20690"/>
    <w:rsid w:val="00B2072D"/>
    <w:rsid w:val="00B21572"/>
    <w:rsid w:val="00B22A87"/>
    <w:rsid w:val="00B24C18"/>
    <w:rsid w:val="00B2505D"/>
    <w:rsid w:val="00B25FFD"/>
    <w:rsid w:val="00B261B6"/>
    <w:rsid w:val="00B26F46"/>
    <w:rsid w:val="00B27638"/>
    <w:rsid w:val="00B304F5"/>
    <w:rsid w:val="00B3139D"/>
    <w:rsid w:val="00B3150C"/>
    <w:rsid w:val="00B34CA4"/>
    <w:rsid w:val="00B3521D"/>
    <w:rsid w:val="00B35B7B"/>
    <w:rsid w:val="00B35C49"/>
    <w:rsid w:val="00B364F8"/>
    <w:rsid w:val="00B372C6"/>
    <w:rsid w:val="00B375C4"/>
    <w:rsid w:val="00B37B92"/>
    <w:rsid w:val="00B40078"/>
    <w:rsid w:val="00B4175D"/>
    <w:rsid w:val="00B4180B"/>
    <w:rsid w:val="00B418E9"/>
    <w:rsid w:val="00B41AC5"/>
    <w:rsid w:val="00B42707"/>
    <w:rsid w:val="00B42881"/>
    <w:rsid w:val="00B42999"/>
    <w:rsid w:val="00B42E63"/>
    <w:rsid w:val="00B43A65"/>
    <w:rsid w:val="00B4487E"/>
    <w:rsid w:val="00B4515C"/>
    <w:rsid w:val="00B45D0B"/>
    <w:rsid w:val="00B46582"/>
    <w:rsid w:val="00B47801"/>
    <w:rsid w:val="00B47A8D"/>
    <w:rsid w:val="00B50FC1"/>
    <w:rsid w:val="00B5104B"/>
    <w:rsid w:val="00B52457"/>
    <w:rsid w:val="00B52C78"/>
    <w:rsid w:val="00B532B9"/>
    <w:rsid w:val="00B532E5"/>
    <w:rsid w:val="00B536D2"/>
    <w:rsid w:val="00B546BD"/>
    <w:rsid w:val="00B548FF"/>
    <w:rsid w:val="00B55341"/>
    <w:rsid w:val="00B5652F"/>
    <w:rsid w:val="00B5695A"/>
    <w:rsid w:val="00B56A81"/>
    <w:rsid w:val="00B57BC6"/>
    <w:rsid w:val="00B57D8C"/>
    <w:rsid w:val="00B600F4"/>
    <w:rsid w:val="00B6023F"/>
    <w:rsid w:val="00B60AA1"/>
    <w:rsid w:val="00B60FD9"/>
    <w:rsid w:val="00B60FFD"/>
    <w:rsid w:val="00B627F1"/>
    <w:rsid w:val="00B62F47"/>
    <w:rsid w:val="00B64680"/>
    <w:rsid w:val="00B64B60"/>
    <w:rsid w:val="00B65659"/>
    <w:rsid w:val="00B6634D"/>
    <w:rsid w:val="00B665B0"/>
    <w:rsid w:val="00B6700E"/>
    <w:rsid w:val="00B67020"/>
    <w:rsid w:val="00B67537"/>
    <w:rsid w:val="00B67AE0"/>
    <w:rsid w:val="00B70DDA"/>
    <w:rsid w:val="00B711E0"/>
    <w:rsid w:val="00B719D2"/>
    <w:rsid w:val="00B72EC8"/>
    <w:rsid w:val="00B72F52"/>
    <w:rsid w:val="00B73801"/>
    <w:rsid w:val="00B739FE"/>
    <w:rsid w:val="00B73A46"/>
    <w:rsid w:val="00B7415C"/>
    <w:rsid w:val="00B74409"/>
    <w:rsid w:val="00B74EB6"/>
    <w:rsid w:val="00B7533D"/>
    <w:rsid w:val="00B759FC"/>
    <w:rsid w:val="00B75B41"/>
    <w:rsid w:val="00B77A82"/>
    <w:rsid w:val="00B77BCB"/>
    <w:rsid w:val="00B8081A"/>
    <w:rsid w:val="00B80866"/>
    <w:rsid w:val="00B80E5D"/>
    <w:rsid w:val="00B830EC"/>
    <w:rsid w:val="00B83BDB"/>
    <w:rsid w:val="00B83C55"/>
    <w:rsid w:val="00B83ED2"/>
    <w:rsid w:val="00B84D9D"/>
    <w:rsid w:val="00B85D3B"/>
    <w:rsid w:val="00B866D6"/>
    <w:rsid w:val="00B86F6A"/>
    <w:rsid w:val="00B86FD7"/>
    <w:rsid w:val="00B87C5A"/>
    <w:rsid w:val="00B87F1A"/>
    <w:rsid w:val="00B902FD"/>
    <w:rsid w:val="00B9068B"/>
    <w:rsid w:val="00B91F33"/>
    <w:rsid w:val="00B9271F"/>
    <w:rsid w:val="00B928E4"/>
    <w:rsid w:val="00B92A5C"/>
    <w:rsid w:val="00B92AD0"/>
    <w:rsid w:val="00B94070"/>
    <w:rsid w:val="00B94281"/>
    <w:rsid w:val="00B94659"/>
    <w:rsid w:val="00B94A8A"/>
    <w:rsid w:val="00B94A91"/>
    <w:rsid w:val="00B9541F"/>
    <w:rsid w:val="00B959C4"/>
    <w:rsid w:val="00B95AA1"/>
    <w:rsid w:val="00B95BAE"/>
    <w:rsid w:val="00B960F7"/>
    <w:rsid w:val="00B961BA"/>
    <w:rsid w:val="00B96EC1"/>
    <w:rsid w:val="00B97E0D"/>
    <w:rsid w:val="00BA0E89"/>
    <w:rsid w:val="00BA2036"/>
    <w:rsid w:val="00BA34FB"/>
    <w:rsid w:val="00BA3C03"/>
    <w:rsid w:val="00BA3CEE"/>
    <w:rsid w:val="00BA43CC"/>
    <w:rsid w:val="00BA4444"/>
    <w:rsid w:val="00BA5DA2"/>
    <w:rsid w:val="00BA724A"/>
    <w:rsid w:val="00BA7C82"/>
    <w:rsid w:val="00BB1D98"/>
    <w:rsid w:val="00BB22F9"/>
    <w:rsid w:val="00BB232F"/>
    <w:rsid w:val="00BB2819"/>
    <w:rsid w:val="00BB38C3"/>
    <w:rsid w:val="00BB3D15"/>
    <w:rsid w:val="00BB3D7D"/>
    <w:rsid w:val="00BB3FA5"/>
    <w:rsid w:val="00BB428F"/>
    <w:rsid w:val="00BB4C72"/>
    <w:rsid w:val="00BB6217"/>
    <w:rsid w:val="00BB6A2F"/>
    <w:rsid w:val="00BB7586"/>
    <w:rsid w:val="00BB7DF0"/>
    <w:rsid w:val="00BB7F49"/>
    <w:rsid w:val="00BC09A5"/>
    <w:rsid w:val="00BC3D84"/>
    <w:rsid w:val="00BC4ADC"/>
    <w:rsid w:val="00BC4FB8"/>
    <w:rsid w:val="00BC577B"/>
    <w:rsid w:val="00BC59B8"/>
    <w:rsid w:val="00BC7248"/>
    <w:rsid w:val="00BC724C"/>
    <w:rsid w:val="00BC7F90"/>
    <w:rsid w:val="00BD0C03"/>
    <w:rsid w:val="00BD0F42"/>
    <w:rsid w:val="00BD18FE"/>
    <w:rsid w:val="00BD2542"/>
    <w:rsid w:val="00BD267C"/>
    <w:rsid w:val="00BD29DE"/>
    <w:rsid w:val="00BD416E"/>
    <w:rsid w:val="00BD4932"/>
    <w:rsid w:val="00BD5D58"/>
    <w:rsid w:val="00BD65F3"/>
    <w:rsid w:val="00BD695A"/>
    <w:rsid w:val="00BE14DF"/>
    <w:rsid w:val="00BE1B77"/>
    <w:rsid w:val="00BE2097"/>
    <w:rsid w:val="00BE29B7"/>
    <w:rsid w:val="00BE2BB2"/>
    <w:rsid w:val="00BE4EFF"/>
    <w:rsid w:val="00BE57EE"/>
    <w:rsid w:val="00BE592D"/>
    <w:rsid w:val="00BE5F2E"/>
    <w:rsid w:val="00BE7CAD"/>
    <w:rsid w:val="00BF1609"/>
    <w:rsid w:val="00BF160B"/>
    <w:rsid w:val="00BF1CB0"/>
    <w:rsid w:val="00BF277B"/>
    <w:rsid w:val="00BF3124"/>
    <w:rsid w:val="00BF3872"/>
    <w:rsid w:val="00BF3AFD"/>
    <w:rsid w:val="00BF3EB6"/>
    <w:rsid w:val="00BF5277"/>
    <w:rsid w:val="00BF5528"/>
    <w:rsid w:val="00BF56CF"/>
    <w:rsid w:val="00BF5740"/>
    <w:rsid w:val="00BF64E3"/>
    <w:rsid w:val="00BF733F"/>
    <w:rsid w:val="00BF7825"/>
    <w:rsid w:val="00C00908"/>
    <w:rsid w:val="00C00A91"/>
    <w:rsid w:val="00C00AB4"/>
    <w:rsid w:val="00C0178B"/>
    <w:rsid w:val="00C01CBC"/>
    <w:rsid w:val="00C03667"/>
    <w:rsid w:val="00C04E93"/>
    <w:rsid w:val="00C05CCA"/>
    <w:rsid w:val="00C06785"/>
    <w:rsid w:val="00C06AF8"/>
    <w:rsid w:val="00C06B27"/>
    <w:rsid w:val="00C0712A"/>
    <w:rsid w:val="00C10FF0"/>
    <w:rsid w:val="00C11768"/>
    <w:rsid w:val="00C117E7"/>
    <w:rsid w:val="00C117F4"/>
    <w:rsid w:val="00C11CA1"/>
    <w:rsid w:val="00C12079"/>
    <w:rsid w:val="00C1282E"/>
    <w:rsid w:val="00C12919"/>
    <w:rsid w:val="00C1433D"/>
    <w:rsid w:val="00C14B08"/>
    <w:rsid w:val="00C14BFD"/>
    <w:rsid w:val="00C15B37"/>
    <w:rsid w:val="00C15C6E"/>
    <w:rsid w:val="00C16008"/>
    <w:rsid w:val="00C16709"/>
    <w:rsid w:val="00C1723F"/>
    <w:rsid w:val="00C17620"/>
    <w:rsid w:val="00C209F6"/>
    <w:rsid w:val="00C2148A"/>
    <w:rsid w:val="00C21797"/>
    <w:rsid w:val="00C21828"/>
    <w:rsid w:val="00C21961"/>
    <w:rsid w:val="00C24BB6"/>
    <w:rsid w:val="00C24F67"/>
    <w:rsid w:val="00C24FFD"/>
    <w:rsid w:val="00C2520E"/>
    <w:rsid w:val="00C2529F"/>
    <w:rsid w:val="00C27CB2"/>
    <w:rsid w:val="00C31BE2"/>
    <w:rsid w:val="00C322D3"/>
    <w:rsid w:val="00C324D8"/>
    <w:rsid w:val="00C327CB"/>
    <w:rsid w:val="00C3293F"/>
    <w:rsid w:val="00C338A7"/>
    <w:rsid w:val="00C3481C"/>
    <w:rsid w:val="00C35011"/>
    <w:rsid w:val="00C35896"/>
    <w:rsid w:val="00C36191"/>
    <w:rsid w:val="00C361A8"/>
    <w:rsid w:val="00C36BE4"/>
    <w:rsid w:val="00C37261"/>
    <w:rsid w:val="00C37373"/>
    <w:rsid w:val="00C40740"/>
    <w:rsid w:val="00C425DE"/>
    <w:rsid w:val="00C4444F"/>
    <w:rsid w:val="00C45348"/>
    <w:rsid w:val="00C4689A"/>
    <w:rsid w:val="00C47CB8"/>
    <w:rsid w:val="00C52E7F"/>
    <w:rsid w:val="00C53059"/>
    <w:rsid w:val="00C531DC"/>
    <w:rsid w:val="00C537E4"/>
    <w:rsid w:val="00C53F82"/>
    <w:rsid w:val="00C53FD2"/>
    <w:rsid w:val="00C553A7"/>
    <w:rsid w:val="00C55753"/>
    <w:rsid w:val="00C55C1D"/>
    <w:rsid w:val="00C55DB7"/>
    <w:rsid w:val="00C562E2"/>
    <w:rsid w:val="00C5644B"/>
    <w:rsid w:val="00C5753A"/>
    <w:rsid w:val="00C60A25"/>
    <w:rsid w:val="00C6379E"/>
    <w:rsid w:val="00C63C96"/>
    <w:rsid w:val="00C643FD"/>
    <w:rsid w:val="00C645F8"/>
    <w:rsid w:val="00C64E15"/>
    <w:rsid w:val="00C65170"/>
    <w:rsid w:val="00C654D6"/>
    <w:rsid w:val="00C65B24"/>
    <w:rsid w:val="00C66002"/>
    <w:rsid w:val="00C665CA"/>
    <w:rsid w:val="00C70666"/>
    <w:rsid w:val="00C70BE6"/>
    <w:rsid w:val="00C710B3"/>
    <w:rsid w:val="00C71D1E"/>
    <w:rsid w:val="00C71D40"/>
    <w:rsid w:val="00C72132"/>
    <w:rsid w:val="00C74719"/>
    <w:rsid w:val="00C7502C"/>
    <w:rsid w:val="00C752E4"/>
    <w:rsid w:val="00C75750"/>
    <w:rsid w:val="00C759ED"/>
    <w:rsid w:val="00C7630D"/>
    <w:rsid w:val="00C7686A"/>
    <w:rsid w:val="00C76A49"/>
    <w:rsid w:val="00C7725B"/>
    <w:rsid w:val="00C7792C"/>
    <w:rsid w:val="00C77B5E"/>
    <w:rsid w:val="00C77FEB"/>
    <w:rsid w:val="00C80581"/>
    <w:rsid w:val="00C80C64"/>
    <w:rsid w:val="00C824B7"/>
    <w:rsid w:val="00C8308F"/>
    <w:rsid w:val="00C83340"/>
    <w:rsid w:val="00C84EF6"/>
    <w:rsid w:val="00C8588F"/>
    <w:rsid w:val="00C858C3"/>
    <w:rsid w:val="00C85B2D"/>
    <w:rsid w:val="00C85BC8"/>
    <w:rsid w:val="00C8638E"/>
    <w:rsid w:val="00C86678"/>
    <w:rsid w:val="00C86EF0"/>
    <w:rsid w:val="00C90488"/>
    <w:rsid w:val="00C9230F"/>
    <w:rsid w:val="00C9274B"/>
    <w:rsid w:val="00C92A80"/>
    <w:rsid w:val="00C93392"/>
    <w:rsid w:val="00C93A86"/>
    <w:rsid w:val="00C94238"/>
    <w:rsid w:val="00C9435F"/>
    <w:rsid w:val="00C949B9"/>
    <w:rsid w:val="00C94A49"/>
    <w:rsid w:val="00C94BAF"/>
    <w:rsid w:val="00C94CB0"/>
    <w:rsid w:val="00C959B6"/>
    <w:rsid w:val="00C972BD"/>
    <w:rsid w:val="00C97871"/>
    <w:rsid w:val="00CA0B58"/>
    <w:rsid w:val="00CA1CD2"/>
    <w:rsid w:val="00CA1DC5"/>
    <w:rsid w:val="00CA21DD"/>
    <w:rsid w:val="00CA3553"/>
    <w:rsid w:val="00CA36BA"/>
    <w:rsid w:val="00CA720E"/>
    <w:rsid w:val="00CA77A5"/>
    <w:rsid w:val="00CB0485"/>
    <w:rsid w:val="00CB0773"/>
    <w:rsid w:val="00CB1DB5"/>
    <w:rsid w:val="00CB2918"/>
    <w:rsid w:val="00CB292C"/>
    <w:rsid w:val="00CB2DBD"/>
    <w:rsid w:val="00CB42E4"/>
    <w:rsid w:val="00CB4327"/>
    <w:rsid w:val="00CB6802"/>
    <w:rsid w:val="00CB68BB"/>
    <w:rsid w:val="00CB7CC2"/>
    <w:rsid w:val="00CC01D4"/>
    <w:rsid w:val="00CC036E"/>
    <w:rsid w:val="00CC085F"/>
    <w:rsid w:val="00CC0AE2"/>
    <w:rsid w:val="00CC1A61"/>
    <w:rsid w:val="00CC2AB0"/>
    <w:rsid w:val="00CC2BBA"/>
    <w:rsid w:val="00CC2E56"/>
    <w:rsid w:val="00CC4882"/>
    <w:rsid w:val="00CC4FC2"/>
    <w:rsid w:val="00CC5031"/>
    <w:rsid w:val="00CC7CCF"/>
    <w:rsid w:val="00CD0B0B"/>
    <w:rsid w:val="00CD128E"/>
    <w:rsid w:val="00CD1E5A"/>
    <w:rsid w:val="00CD2EBA"/>
    <w:rsid w:val="00CD313B"/>
    <w:rsid w:val="00CD3CC3"/>
    <w:rsid w:val="00CD49D9"/>
    <w:rsid w:val="00CD57FF"/>
    <w:rsid w:val="00CD698C"/>
    <w:rsid w:val="00CD6FDA"/>
    <w:rsid w:val="00CE112B"/>
    <w:rsid w:val="00CE1FA2"/>
    <w:rsid w:val="00CE2035"/>
    <w:rsid w:val="00CE2D8B"/>
    <w:rsid w:val="00CE2F55"/>
    <w:rsid w:val="00CE46CD"/>
    <w:rsid w:val="00CE4931"/>
    <w:rsid w:val="00CE5640"/>
    <w:rsid w:val="00CE5CB6"/>
    <w:rsid w:val="00CE70FA"/>
    <w:rsid w:val="00CF04DE"/>
    <w:rsid w:val="00CF0FFD"/>
    <w:rsid w:val="00CF16CC"/>
    <w:rsid w:val="00CF1A1B"/>
    <w:rsid w:val="00CF4032"/>
    <w:rsid w:val="00CF4146"/>
    <w:rsid w:val="00CF43BE"/>
    <w:rsid w:val="00CF4B0D"/>
    <w:rsid w:val="00CF4EAF"/>
    <w:rsid w:val="00CF5E13"/>
    <w:rsid w:val="00CF62EC"/>
    <w:rsid w:val="00CF63FC"/>
    <w:rsid w:val="00CF658C"/>
    <w:rsid w:val="00CF728A"/>
    <w:rsid w:val="00CF7A66"/>
    <w:rsid w:val="00CF7C4A"/>
    <w:rsid w:val="00D0032C"/>
    <w:rsid w:val="00D0036F"/>
    <w:rsid w:val="00D00F76"/>
    <w:rsid w:val="00D01075"/>
    <w:rsid w:val="00D013CB"/>
    <w:rsid w:val="00D029F6"/>
    <w:rsid w:val="00D02A97"/>
    <w:rsid w:val="00D02F5F"/>
    <w:rsid w:val="00D04AB5"/>
    <w:rsid w:val="00D0503A"/>
    <w:rsid w:val="00D070C1"/>
    <w:rsid w:val="00D07281"/>
    <w:rsid w:val="00D100AE"/>
    <w:rsid w:val="00D103CC"/>
    <w:rsid w:val="00D12C5E"/>
    <w:rsid w:val="00D13234"/>
    <w:rsid w:val="00D14417"/>
    <w:rsid w:val="00D146EB"/>
    <w:rsid w:val="00D155E8"/>
    <w:rsid w:val="00D178D6"/>
    <w:rsid w:val="00D201D6"/>
    <w:rsid w:val="00D206AC"/>
    <w:rsid w:val="00D20A3B"/>
    <w:rsid w:val="00D22303"/>
    <w:rsid w:val="00D23042"/>
    <w:rsid w:val="00D234EC"/>
    <w:rsid w:val="00D235B7"/>
    <w:rsid w:val="00D248A5"/>
    <w:rsid w:val="00D24D1F"/>
    <w:rsid w:val="00D25088"/>
    <w:rsid w:val="00D25D5C"/>
    <w:rsid w:val="00D26315"/>
    <w:rsid w:val="00D26861"/>
    <w:rsid w:val="00D26ADC"/>
    <w:rsid w:val="00D26EA2"/>
    <w:rsid w:val="00D27C5C"/>
    <w:rsid w:val="00D27EB9"/>
    <w:rsid w:val="00D30F0D"/>
    <w:rsid w:val="00D31211"/>
    <w:rsid w:val="00D34956"/>
    <w:rsid w:val="00D34CDC"/>
    <w:rsid w:val="00D350EC"/>
    <w:rsid w:val="00D3651B"/>
    <w:rsid w:val="00D36A73"/>
    <w:rsid w:val="00D36E8E"/>
    <w:rsid w:val="00D37823"/>
    <w:rsid w:val="00D37B8C"/>
    <w:rsid w:val="00D403E5"/>
    <w:rsid w:val="00D4099A"/>
    <w:rsid w:val="00D43589"/>
    <w:rsid w:val="00D44B0F"/>
    <w:rsid w:val="00D44BDA"/>
    <w:rsid w:val="00D465A5"/>
    <w:rsid w:val="00D46A25"/>
    <w:rsid w:val="00D46A88"/>
    <w:rsid w:val="00D46B2E"/>
    <w:rsid w:val="00D5181E"/>
    <w:rsid w:val="00D51F60"/>
    <w:rsid w:val="00D52041"/>
    <w:rsid w:val="00D53B19"/>
    <w:rsid w:val="00D53E79"/>
    <w:rsid w:val="00D54399"/>
    <w:rsid w:val="00D549A4"/>
    <w:rsid w:val="00D558C2"/>
    <w:rsid w:val="00D55904"/>
    <w:rsid w:val="00D56EB0"/>
    <w:rsid w:val="00D57173"/>
    <w:rsid w:val="00D60D62"/>
    <w:rsid w:val="00D61B78"/>
    <w:rsid w:val="00D620D8"/>
    <w:rsid w:val="00D62A7C"/>
    <w:rsid w:val="00D64546"/>
    <w:rsid w:val="00D65430"/>
    <w:rsid w:val="00D65A56"/>
    <w:rsid w:val="00D66AAD"/>
    <w:rsid w:val="00D67ACC"/>
    <w:rsid w:val="00D70522"/>
    <w:rsid w:val="00D7188D"/>
    <w:rsid w:val="00D721D5"/>
    <w:rsid w:val="00D72DBB"/>
    <w:rsid w:val="00D72E2A"/>
    <w:rsid w:val="00D7451C"/>
    <w:rsid w:val="00D74C6A"/>
    <w:rsid w:val="00D8041F"/>
    <w:rsid w:val="00D813F5"/>
    <w:rsid w:val="00D83184"/>
    <w:rsid w:val="00D8419A"/>
    <w:rsid w:val="00D845E2"/>
    <w:rsid w:val="00D84DA5"/>
    <w:rsid w:val="00D84F6F"/>
    <w:rsid w:val="00D85E5D"/>
    <w:rsid w:val="00D86748"/>
    <w:rsid w:val="00D86A80"/>
    <w:rsid w:val="00D86CD9"/>
    <w:rsid w:val="00D879DD"/>
    <w:rsid w:val="00D87F2C"/>
    <w:rsid w:val="00D907C9"/>
    <w:rsid w:val="00D92576"/>
    <w:rsid w:val="00D92A36"/>
    <w:rsid w:val="00D93C91"/>
    <w:rsid w:val="00D949E1"/>
    <w:rsid w:val="00D94EF8"/>
    <w:rsid w:val="00D95752"/>
    <w:rsid w:val="00D96D9F"/>
    <w:rsid w:val="00D97341"/>
    <w:rsid w:val="00D9772A"/>
    <w:rsid w:val="00D9790C"/>
    <w:rsid w:val="00D97CDA"/>
    <w:rsid w:val="00DA00EC"/>
    <w:rsid w:val="00DA031F"/>
    <w:rsid w:val="00DA0428"/>
    <w:rsid w:val="00DA047E"/>
    <w:rsid w:val="00DA09D7"/>
    <w:rsid w:val="00DA0F6F"/>
    <w:rsid w:val="00DA118E"/>
    <w:rsid w:val="00DA25B2"/>
    <w:rsid w:val="00DA2999"/>
    <w:rsid w:val="00DA2D43"/>
    <w:rsid w:val="00DA35FF"/>
    <w:rsid w:val="00DA39F8"/>
    <w:rsid w:val="00DA3DFF"/>
    <w:rsid w:val="00DA4BBA"/>
    <w:rsid w:val="00DA5337"/>
    <w:rsid w:val="00DA5381"/>
    <w:rsid w:val="00DA5A37"/>
    <w:rsid w:val="00DA5F87"/>
    <w:rsid w:val="00DA652A"/>
    <w:rsid w:val="00DA6C50"/>
    <w:rsid w:val="00DB05CD"/>
    <w:rsid w:val="00DB10DC"/>
    <w:rsid w:val="00DB2013"/>
    <w:rsid w:val="00DB2429"/>
    <w:rsid w:val="00DB37FE"/>
    <w:rsid w:val="00DB3AD1"/>
    <w:rsid w:val="00DB3E22"/>
    <w:rsid w:val="00DB5572"/>
    <w:rsid w:val="00DB5F4C"/>
    <w:rsid w:val="00DB7280"/>
    <w:rsid w:val="00DC01D0"/>
    <w:rsid w:val="00DC1C33"/>
    <w:rsid w:val="00DC22BD"/>
    <w:rsid w:val="00DC2805"/>
    <w:rsid w:val="00DC297C"/>
    <w:rsid w:val="00DC35F7"/>
    <w:rsid w:val="00DC4ABA"/>
    <w:rsid w:val="00DC4B6C"/>
    <w:rsid w:val="00DC548B"/>
    <w:rsid w:val="00DC5A57"/>
    <w:rsid w:val="00DC650A"/>
    <w:rsid w:val="00DC6B1B"/>
    <w:rsid w:val="00DC6B27"/>
    <w:rsid w:val="00DC705A"/>
    <w:rsid w:val="00DD023F"/>
    <w:rsid w:val="00DD02B2"/>
    <w:rsid w:val="00DD0916"/>
    <w:rsid w:val="00DD161C"/>
    <w:rsid w:val="00DD1841"/>
    <w:rsid w:val="00DD2105"/>
    <w:rsid w:val="00DD2783"/>
    <w:rsid w:val="00DD4231"/>
    <w:rsid w:val="00DD5F58"/>
    <w:rsid w:val="00DD6C05"/>
    <w:rsid w:val="00DD7420"/>
    <w:rsid w:val="00DD7A1D"/>
    <w:rsid w:val="00DD7A58"/>
    <w:rsid w:val="00DD7DB9"/>
    <w:rsid w:val="00DE0DD4"/>
    <w:rsid w:val="00DE1EF1"/>
    <w:rsid w:val="00DE247F"/>
    <w:rsid w:val="00DE2A2F"/>
    <w:rsid w:val="00DE2ED9"/>
    <w:rsid w:val="00DE3BEF"/>
    <w:rsid w:val="00DE3C5D"/>
    <w:rsid w:val="00DE4397"/>
    <w:rsid w:val="00DE6B65"/>
    <w:rsid w:val="00DF02AE"/>
    <w:rsid w:val="00DF0400"/>
    <w:rsid w:val="00DF06D5"/>
    <w:rsid w:val="00DF2059"/>
    <w:rsid w:val="00DF214B"/>
    <w:rsid w:val="00DF2158"/>
    <w:rsid w:val="00DF3CC5"/>
    <w:rsid w:val="00DF4055"/>
    <w:rsid w:val="00DF4497"/>
    <w:rsid w:val="00DF597F"/>
    <w:rsid w:val="00DF62D8"/>
    <w:rsid w:val="00DF6367"/>
    <w:rsid w:val="00DF6449"/>
    <w:rsid w:val="00DF7460"/>
    <w:rsid w:val="00E00C5A"/>
    <w:rsid w:val="00E01006"/>
    <w:rsid w:val="00E01A8D"/>
    <w:rsid w:val="00E04C5E"/>
    <w:rsid w:val="00E052C0"/>
    <w:rsid w:val="00E052E9"/>
    <w:rsid w:val="00E05645"/>
    <w:rsid w:val="00E06050"/>
    <w:rsid w:val="00E07353"/>
    <w:rsid w:val="00E07903"/>
    <w:rsid w:val="00E07E6D"/>
    <w:rsid w:val="00E10144"/>
    <w:rsid w:val="00E10471"/>
    <w:rsid w:val="00E10488"/>
    <w:rsid w:val="00E11AA6"/>
    <w:rsid w:val="00E12154"/>
    <w:rsid w:val="00E1379F"/>
    <w:rsid w:val="00E14F7D"/>
    <w:rsid w:val="00E14FDE"/>
    <w:rsid w:val="00E15EE1"/>
    <w:rsid w:val="00E169A0"/>
    <w:rsid w:val="00E16B57"/>
    <w:rsid w:val="00E16C2C"/>
    <w:rsid w:val="00E16E83"/>
    <w:rsid w:val="00E200D9"/>
    <w:rsid w:val="00E214CF"/>
    <w:rsid w:val="00E21A3F"/>
    <w:rsid w:val="00E2200C"/>
    <w:rsid w:val="00E231F2"/>
    <w:rsid w:val="00E23941"/>
    <w:rsid w:val="00E23EAD"/>
    <w:rsid w:val="00E25942"/>
    <w:rsid w:val="00E2619D"/>
    <w:rsid w:val="00E26365"/>
    <w:rsid w:val="00E278D1"/>
    <w:rsid w:val="00E279AC"/>
    <w:rsid w:val="00E31716"/>
    <w:rsid w:val="00E32ADF"/>
    <w:rsid w:val="00E32CCF"/>
    <w:rsid w:val="00E33B8C"/>
    <w:rsid w:val="00E346D8"/>
    <w:rsid w:val="00E35167"/>
    <w:rsid w:val="00E360C8"/>
    <w:rsid w:val="00E370F7"/>
    <w:rsid w:val="00E41A94"/>
    <w:rsid w:val="00E41AC6"/>
    <w:rsid w:val="00E42E66"/>
    <w:rsid w:val="00E46EEA"/>
    <w:rsid w:val="00E46F91"/>
    <w:rsid w:val="00E50B00"/>
    <w:rsid w:val="00E52215"/>
    <w:rsid w:val="00E52DAF"/>
    <w:rsid w:val="00E533B8"/>
    <w:rsid w:val="00E53D3E"/>
    <w:rsid w:val="00E54461"/>
    <w:rsid w:val="00E548A0"/>
    <w:rsid w:val="00E551D0"/>
    <w:rsid w:val="00E55B4C"/>
    <w:rsid w:val="00E56BAB"/>
    <w:rsid w:val="00E57948"/>
    <w:rsid w:val="00E57CB3"/>
    <w:rsid w:val="00E601F8"/>
    <w:rsid w:val="00E61816"/>
    <w:rsid w:val="00E63B10"/>
    <w:rsid w:val="00E655A6"/>
    <w:rsid w:val="00E65613"/>
    <w:rsid w:val="00E66097"/>
    <w:rsid w:val="00E6725B"/>
    <w:rsid w:val="00E6729F"/>
    <w:rsid w:val="00E701EB"/>
    <w:rsid w:val="00E70545"/>
    <w:rsid w:val="00E70C40"/>
    <w:rsid w:val="00E70D5A"/>
    <w:rsid w:val="00E71BC0"/>
    <w:rsid w:val="00E735DA"/>
    <w:rsid w:val="00E74A22"/>
    <w:rsid w:val="00E74CBC"/>
    <w:rsid w:val="00E75478"/>
    <w:rsid w:val="00E75B15"/>
    <w:rsid w:val="00E7646D"/>
    <w:rsid w:val="00E8056E"/>
    <w:rsid w:val="00E813BA"/>
    <w:rsid w:val="00E82F63"/>
    <w:rsid w:val="00E83CB2"/>
    <w:rsid w:val="00E845BF"/>
    <w:rsid w:val="00E858C4"/>
    <w:rsid w:val="00E85CAA"/>
    <w:rsid w:val="00E85FB7"/>
    <w:rsid w:val="00E86EFE"/>
    <w:rsid w:val="00E8732F"/>
    <w:rsid w:val="00E908D4"/>
    <w:rsid w:val="00E91C14"/>
    <w:rsid w:val="00E91EE0"/>
    <w:rsid w:val="00E92899"/>
    <w:rsid w:val="00E94256"/>
    <w:rsid w:val="00E953B4"/>
    <w:rsid w:val="00E9664A"/>
    <w:rsid w:val="00E97983"/>
    <w:rsid w:val="00EA1181"/>
    <w:rsid w:val="00EA171C"/>
    <w:rsid w:val="00EA19F5"/>
    <w:rsid w:val="00EA3008"/>
    <w:rsid w:val="00EA3117"/>
    <w:rsid w:val="00EA4201"/>
    <w:rsid w:val="00EA4277"/>
    <w:rsid w:val="00EA45F7"/>
    <w:rsid w:val="00EA46A9"/>
    <w:rsid w:val="00EA46B3"/>
    <w:rsid w:val="00EA487D"/>
    <w:rsid w:val="00EA5179"/>
    <w:rsid w:val="00EA713C"/>
    <w:rsid w:val="00EB1C44"/>
    <w:rsid w:val="00EB1FBD"/>
    <w:rsid w:val="00EB22FB"/>
    <w:rsid w:val="00EB2B56"/>
    <w:rsid w:val="00EB3078"/>
    <w:rsid w:val="00EB307A"/>
    <w:rsid w:val="00EB31D2"/>
    <w:rsid w:val="00EB3FA4"/>
    <w:rsid w:val="00EB4C75"/>
    <w:rsid w:val="00EB4D48"/>
    <w:rsid w:val="00EB5796"/>
    <w:rsid w:val="00EB595C"/>
    <w:rsid w:val="00EB5F6A"/>
    <w:rsid w:val="00EB632E"/>
    <w:rsid w:val="00EB648E"/>
    <w:rsid w:val="00EC0382"/>
    <w:rsid w:val="00EC0F57"/>
    <w:rsid w:val="00EC1960"/>
    <w:rsid w:val="00EC1A5F"/>
    <w:rsid w:val="00EC28E1"/>
    <w:rsid w:val="00EC29A5"/>
    <w:rsid w:val="00EC3EE2"/>
    <w:rsid w:val="00EC4070"/>
    <w:rsid w:val="00EC43BA"/>
    <w:rsid w:val="00EC6594"/>
    <w:rsid w:val="00EC6798"/>
    <w:rsid w:val="00EC6A4F"/>
    <w:rsid w:val="00EC72B6"/>
    <w:rsid w:val="00EC7EC8"/>
    <w:rsid w:val="00ED10AF"/>
    <w:rsid w:val="00ED3E7C"/>
    <w:rsid w:val="00ED48C3"/>
    <w:rsid w:val="00ED48D3"/>
    <w:rsid w:val="00ED5874"/>
    <w:rsid w:val="00ED5E87"/>
    <w:rsid w:val="00ED6D01"/>
    <w:rsid w:val="00ED7AA8"/>
    <w:rsid w:val="00EE175B"/>
    <w:rsid w:val="00EE2124"/>
    <w:rsid w:val="00EE223B"/>
    <w:rsid w:val="00EE2735"/>
    <w:rsid w:val="00EE35B5"/>
    <w:rsid w:val="00EE3C89"/>
    <w:rsid w:val="00EE3CE0"/>
    <w:rsid w:val="00EE4C2B"/>
    <w:rsid w:val="00EE4E79"/>
    <w:rsid w:val="00EE57A8"/>
    <w:rsid w:val="00EE5C89"/>
    <w:rsid w:val="00EE5E28"/>
    <w:rsid w:val="00EE64AF"/>
    <w:rsid w:val="00EE665B"/>
    <w:rsid w:val="00EE73FE"/>
    <w:rsid w:val="00EE7F4E"/>
    <w:rsid w:val="00EF0328"/>
    <w:rsid w:val="00EF0AB1"/>
    <w:rsid w:val="00EF0E24"/>
    <w:rsid w:val="00EF0ED1"/>
    <w:rsid w:val="00EF10DF"/>
    <w:rsid w:val="00EF210A"/>
    <w:rsid w:val="00EF2951"/>
    <w:rsid w:val="00EF2F27"/>
    <w:rsid w:val="00EF3084"/>
    <w:rsid w:val="00EF379A"/>
    <w:rsid w:val="00EF3C0A"/>
    <w:rsid w:val="00EF442C"/>
    <w:rsid w:val="00EF52F5"/>
    <w:rsid w:val="00EF576D"/>
    <w:rsid w:val="00EF5D45"/>
    <w:rsid w:val="00EF5E50"/>
    <w:rsid w:val="00EF5E94"/>
    <w:rsid w:val="00EF64B3"/>
    <w:rsid w:val="00EF6A86"/>
    <w:rsid w:val="00EF70A0"/>
    <w:rsid w:val="00EF71B6"/>
    <w:rsid w:val="00F00B53"/>
    <w:rsid w:val="00F00BE5"/>
    <w:rsid w:val="00F01022"/>
    <w:rsid w:val="00F011C8"/>
    <w:rsid w:val="00F01EC3"/>
    <w:rsid w:val="00F03009"/>
    <w:rsid w:val="00F03391"/>
    <w:rsid w:val="00F0348F"/>
    <w:rsid w:val="00F045B8"/>
    <w:rsid w:val="00F050EA"/>
    <w:rsid w:val="00F057DA"/>
    <w:rsid w:val="00F05C65"/>
    <w:rsid w:val="00F063AA"/>
    <w:rsid w:val="00F069A2"/>
    <w:rsid w:val="00F06D0D"/>
    <w:rsid w:val="00F070A9"/>
    <w:rsid w:val="00F107E5"/>
    <w:rsid w:val="00F108A2"/>
    <w:rsid w:val="00F1111B"/>
    <w:rsid w:val="00F11C46"/>
    <w:rsid w:val="00F11F22"/>
    <w:rsid w:val="00F12719"/>
    <w:rsid w:val="00F15042"/>
    <w:rsid w:val="00F15C10"/>
    <w:rsid w:val="00F16594"/>
    <w:rsid w:val="00F20365"/>
    <w:rsid w:val="00F20539"/>
    <w:rsid w:val="00F23FAE"/>
    <w:rsid w:val="00F247A0"/>
    <w:rsid w:val="00F255EB"/>
    <w:rsid w:val="00F25E70"/>
    <w:rsid w:val="00F26BCB"/>
    <w:rsid w:val="00F27B11"/>
    <w:rsid w:val="00F3019B"/>
    <w:rsid w:val="00F30425"/>
    <w:rsid w:val="00F30483"/>
    <w:rsid w:val="00F30F46"/>
    <w:rsid w:val="00F325BB"/>
    <w:rsid w:val="00F325BE"/>
    <w:rsid w:val="00F32AE7"/>
    <w:rsid w:val="00F334D0"/>
    <w:rsid w:val="00F35962"/>
    <w:rsid w:val="00F367F6"/>
    <w:rsid w:val="00F37C9E"/>
    <w:rsid w:val="00F40457"/>
    <w:rsid w:val="00F410B0"/>
    <w:rsid w:val="00F4324B"/>
    <w:rsid w:val="00F45099"/>
    <w:rsid w:val="00F4515E"/>
    <w:rsid w:val="00F45AFA"/>
    <w:rsid w:val="00F45F5B"/>
    <w:rsid w:val="00F46454"/>
    <w:rsid w:val="00F46AA7"/>
    <w:rsid w:val="00F46DC0"/>
    <w:rsid w:val="00F478A8"/>
    <w:rsid w:val="00F502D4"/>
    <w:rsid w:val="00F50362"/>
    <w:rsid w:val="00F504FE"/>
    <w:rsid w:val="00F50C44"/>
    <w:rsid w:val="00F513C4"/>
    <w:rsid w:val="00F51E97"/>
    <w:rsid w:val="00F5201B"/>
    <w:rsid w:val="00F53FC1"/>
    <w:rsid w:val="00F53FF2"/>
    <w:rsid w:val="00F5484E"/>
    <w:rsid w:val="00F5493C"/>
    <w:rsid w:val="00F54D63"/>
    <w:rsid w:val="00F551DC"/>
    <w:rsid w:val="00F55465"/>
    <w:rsid w:val="00F5604A"/>
    <w:rsid w:val="00F563E4"/>
    <w:rsid w:val="00F565E1"/>
    <w:rsid w:val="00F56806"/>
    <w:rsid w:val="00F572E7"/>
    <w:rsid w:val="00F57CDF"/>
    <w:rsid w:val="00F57E00"/>
    <w:rsid w:val="00F57EB5"/>
    <w:rsid w:val="00F60013"/>
    <w:rsid w:val="00F606F7"/>
    <w:rsid w:val="00F60C7F"/>
    <w:rsid w:val="00F61758"/>
    <w:rsid w:val="00F625A3"/>
    <w:rsid w:val="00F637FF"/>
    <w:rsid w:val="00F63F1A"/>
    <w:rsid w:val="00F63F40"/>
    <w:rsid w:val="00F643C2"/>
    <w:rsid w:val="00F647B2"/>
    <w:rsid w:val="00F667C4"/>
    <w:rsid w:val="00F717FD"/>
    <w:rsid w:val="00F71E30"/>
    <w:rsid w:val="00F727BA"/>
    <w:rsid w:val="00F728FD"/>
    <w:rsid w:val="00F729C0"/>
    <w:rsid w:val="00F73125"/>
    <w:rsid w:val="00F73677"/>
    <w:rsid w:val="00F747E9"/>
    <w:rsid w:val="00F74B36"/>
    <w:rsid w:val="00F74C3A"/>
    <w:rsid w:val="00F7538B"/>
    <w:rsid w:val="00F756E2"/>
    <w:rsid w:val="00F7617D"/>
    <w:rsid w:val="00F76986"/>
    <w:rsid w:val="00F76A1F"/>
    <w:rsid w:val="00F80F61"/>
    <w:rsid w:val="00F810A3"/>
    <w:rsid w:val="00F81861"/>
    <w:rsid w:val="00F81F83"/>
    <w:rsid w:val="00F81FC6"/>
    <w:rsid w:val="00F833DF"/>
    <w:rsid w:val="00F856C9"/>
    <w:rsid w:val="00F86AF3"/>
    <w:rsid w:val="00F86B04"/>
    <w:rsid w:val="00F86E52"/>
    <w:rsid w:val="00F86ECB"/>
    <w:rsid w:val="00F872FA"/>
    <w:rsid w:val="00F873B8"/>
    <w:rsid w:val="00F8778B"/>
    <w:rsid w:val="00F878B5"/>
    <w:rsid w:val="00F903CD"/>
    <w:rsid w:val="00F906B6"/>
    <w:rsid w:val="00F907AE"/>
    <w:rsid w:val="00F9100E"/>
    <w:rsid w:val="00F916F8"/>
    <w:rsid w:val="00F934A2"/>
    <w:rsid w:val="00F93A30"/>
    <w:rsid w:val="00F9432F"/>
    <w:rsid w:val="00F94C51"/>
    <w:rsid w:val="00F95F98"/>
    <w:rsid w:val="00F961CF"/>
    <w:rsid w:val="00F966AD"/>
    <w:rsid w:val="00F9673F"/>
    <w:rsid w:val="00F97580"/>
    <w:rsid w:val="00F97650"/>
    <w:rsid w:val="00F97A2E"/>
    <w:rsid w:val="00F97CB3"/>
    <w:rsid w:val="00FA0417"/>
    <w:rsid w:val="00FA0E2A"/>
    <w:rsid w:val="00FA2C48"/>
    <w:rsid w:val="00FA3D44"/>
    <w:rsid w:val="00FA4289"/>
    <w:rsid w:val="00FA468E"/>
    <w:rsid w:val="00FA5773"/>
    <w:rsid w:val="00FA7B87"/>
    <w:rsid w:val="00FB002E"/>
    <w:rsid w:val="00FB0389"/>
    <w:rsid w:val="00FB0CD6"/>
    <w:rsid w:val="00FB129B"/>
    <w:rsid w:val="00FB1E0E"/>
    <w:rsid w:val="00FB267E"/>
    <w:rsid w:val="00FB269C"/>
    <w:rsid w:val="00FB2BA2"/>
    <w:rsid w:val="00FB3A65"/>
    <w:rsid w:val="00FB5556"/>
    <w:rsid w:val="00FB6B7A"/>
    <w:rsid w:val="00FB6DE2"/>
    <w:rsid w:val="00FB7704"/>
    <w:rsid w:val="00FB7EF4"/>
    <w:rsid w:val="00FC081F"/>
    <w:rsid w:val="00FC0C28"/>
    <w:rsid w:val="00FC1885"/>
    <w:rsid w:val="00FC3CEC"/>
    <w:rsid w:val="00FC440F"/>
    <w:rsid w:val="00FC4C0A"/>
    <w:rsid w:val="00FC580A"/>
    <w:rsid w:val="00FC658E"/>
    <w:rsid w:val="00FC67BF"/>
    <w:rsid w:val="00FD0378"/>
    <w:rsid w:val="00FD05E5"/>
    <w:rsid w:val="00FD1E7C"/>
    <w:rsid w:val="00FD23E9"/>
    <w:rsid w:val="00FD304A"/>
    <w:rsid w:val="00FD329C"/>
    <w:rsid w:val="00FD3D1D"/>
    <w:rsid w:val="00FD4449"/>
    <w:rsid w:val="00FD49AE"/>
    <w:rsid w:val="00FD4C7E"/>
    <w:rsid w:val="00FD509C"/>
    <w:rsid w:val="00FD50D5"/>
    <w:rsid w:val="00FD5F48"/>
    <w:rsid w:val="00FE084E"/>
    <w:rsid w:val="00FE0E58"/>
    <w:rsid w:val="00FE1052"/>
    <w:rsid w:val="00FE16E7"/>
    <w:rsid w:val="00FE347E"/>
    <w:rsid w:val="00FE3B9D"/>
    <w:rsid w:val="00FE3EA1"/>
    <w:rsid w:val="00FE3F68"/>
    <w:rsid w:val="00FE5164"/>
    <w:rsid w:val="00FE5847"/>
    <w:rsid w:val="00FE676C"/>
    <w:rsid w:val="00FE69AB"/>
    <w:rsid w:val="00FE6A99"/>
    <w:rsid w:val="00FE7FBE"/>
    <w:rsid w:val="00FF124D"/>
    <w:rsid w:val="00FF1B2D"/>
    <w:rsid w:val="00FF1DA1"/>
    <w:rsid w:val="00FF2959"/>
    <w:rsid w:val="00FF4021"/>
    <w:rsid w:val="00FF4044"/>
    <w:rsid w:val="00FF4FA9"/>
    <w:rsid w:val="00FF5129"/>
    <w:rsid w:val="00FF6903"/>
    <w:rsid w:val="00FF6DDF"/>
    <w:rsid w:val="00FF6F3A"/>
    <w:rsid w:val="00FF700F"/>
    <w:rsid w:val="00FF75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F1B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CE0"/>
    <w:rPr>
      <w:rFonts w:ascii="Arial" w:hAnsi="Arial"/>
      <w:sz w:val="22"/>
      <w:szCs w:val="24"/>
    </w:rPr>
  </w:style>
  <w:style w:type="paragraph" w:styleId="Heading1">
    <w:name w:val="heading 1"/>
    <w:basedOn w:val="Head1"/>
    <w:next w:val="Normal"/>
    <w:link w:val="Heading1Char"/>
    <w:qFormat/>
    <w:rsid w:val="005E33A7"/>
    <w:rPr>
      <w:bCs/>
    </w:rPr>
  </w:style>
  <w:style w:type="paragraph" w:styleId="Heading2">
    <w:name w:val="heading 2"/>
    <w:basedOn w:val="Head2"/>
    <w:next w:val="Normal"/>
    <w:link w:val="Heading2Char"/>
    <w:qFormat/>
    <w:rsid w:val="005E33A7"/>
    <w:pPr>
      <w:numPr>
        <w:numId w:val="9"/>
      </w:numPr>
    </w:pPr>
    <w:rPr>
      <w:bCs/>
      <w:iCs/>
      <w:szCs w:val="28"/>
    </w:rPr>
  </w:style>
  <w:style w:type="paragraph" w:styleId="Heading3">
    <w:name w:val="heading 3"/>
    <w:basedOn w:val="Head3"/>
    <w:next w:val="Maintext"/>
    <w:qFormat/>
    <w:rsid w:val="005E33A7"/>
    <w:pPr>
      <w:numPr>
        <w:numId w:val="10"/>
      </w:numPr>
    </w:pPr>
    <w:rPr>
      <w:bCs/>
      <w:szCs w:val="26"/>
    </w:rPr>
  </w:style>
  <w:style w:type="paragraph" w:styleId="Heading4">
    <w:name w:val="heading 4"/>
    <w:basedOn w:val="Head4"/>
    <w:next w:val="Normal"/>
    <w:qFormat/>
    <w:rsid w:val="005E33A7"/>
    <w:pPr>
      <w:numPr>
        <w:numId w:val="11"/>
      </w:numPr>
    </w:pPr>
  </w:style>
  <w:style w:type="paragraph" w:styleId="Heading5">
    <w:name w:val="heading 5"/>
    <w:aliases w:val="Block Label,h5,5,l5,Head5,Level 5,Atty Info 3,Level 51,not set up (5)"/>
    <w:basedOn w:val="Normal"/>
    <w:next w:val="Normal"/>
    <w:link w:val="Heading5Char"/>
    <w:qFormat/>
    <w:rsid w:val="005E33A7"/>
    <w:pPr>
      <w:numPr>
        <w:ilvl w:val="4"/>
        <w:numId w:val="12"/>
      </w:numPr>
      <w:spacing w:before="240" w:after="60"/>
      <w:outlineLvl w:val="4"/>
    </w:pPr>
    <w:rPr>
      <w:b/>
      <w:bCs/>
      <w:i/>
      <w:iCs/>
      <w:sz w:val="20"/>
      <w:szCs w:val="26"/>
    </w:rPr>
  </w:style>
  <w:style w:type="paragraph" w:styleId="Heading6">
    <w:name w:val="heading 6"/>
    <w:basedOn w:val="Normal"/>
    <w:next w:val="Normal"/>
    <w:qFormat/>
    <w:rsid w:val="005E33A7"/>
    <w:pPr>
      <w:numPr>
        <w:ilvl w:val="5"/>
        <w:numId w:val="12"/>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2"/>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2"/>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basedOn w:val="bannertop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basedOn w:val="DefaultParagraphFont"/>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basedOn w:val="DefaultParagraphFont"/>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5E33A7"/>
    <w:pPr>
      <w:keepNext/>
      <w:pageBreakBefore/>
      <w:numPr>
        <w:numId w:val="12"/>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2"/>
      </w:numPr>
      <w:tabs>
        <w:tab w:val="clear" w:pos="576"/>
        <w:tab w:val="num" w:pos="1144"/>
      </w:tabs>
      <w:spacing w:before="440" w:after="220"/>
      <w:ind w:left="1144"/>
      <w:outlineLvl w:val="1"/>
    </w:pPr>
    <w:rPr>
      <w:rFonts w:cs="Arial"/>
      <w:b/>
      <w:caps/>
      <w:kern w:val="36"/>
      <w:sz w:val="24"/>
    </w:rPr>
  </w:style>
  <w:style w:type="paragraph" w:customStyle="1" w:styleId="Head3">
    <w:name w:val="Head 3"/>
    <w:basedOn w:val="Normal"/>
    <w:next w:val="Maintext"/>
    <w:rsid w:val="005E33A7"/>
    <w:pPr>
      <w:keepNext/>
      <w:numPr>
        <w:ilvl w:val="2"/>
        <w:numId w:val="12"/>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2"/>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basedOn w:val="DefaultParagraphFont"/>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basedOn w:val="DefaultParagraphFont"/>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B80E5D"/>
    <w:pPr>
      <w:tabs>
        <w:tab w:val="left" w:pos="284"/>
        <w:tab w:val="right" w:leader="dot" w:pos="9299"/>
      </w:tabs>
    </w:pPr>
    <w:rPr>
      <w:rFonts w:cs="Arial"/>
      <w:szCs w:val="22"/>
    </w:rPr>
  </w:style>
  <w:style w:type="paragraph" w:styleId="TOC3">
    <w:name w:val="toc 3"/>
    <w:basedOn w:val="Normal"/>
    <w:next w:val="Normal"/>
    <w:link w:val="TOC3Char"/>
    <w:autoRedefine/>
    <w:uiPriority w:val="39"/>
    <w:rsid w:val="008D2FCF"/>
    <w:pPr>
      <w:tabs>
        <w:tab w:val="left" w:pos="1190"/>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basedOn w:val="DefaultParagraphFont"/>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semiHidden/>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6"/>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basedOn w:val="DefaultParagraphFont"/>
    <w:link w:val="TOC2"/>
    <w:rsid w:val="005E33A7"/>
    <w:rPr>
      <w:rFonts w:ascii="Arial" w:hAnsi="Arial" w:cs="Arial"/>
      <w:sz w:val="22"/>
      <w:szCs w:val="22"/>
      <w:lang w:val="en-AU" w:eastAsia="en-AU" w:bidi="ar-SA"/>
    </w:rPr>
  </w:style>
  <w:style w:type="character" w:customStyle="1" w:styleId="TOC3Char">
    <w:name w:val="TOC 3 Char"/>
    <w:basedOn w:val="DefaultParagraphFont"/>
    <w:link w:val="TOC3"/>
    <w:uiPriority w:val="39"/>
    <w:rsid w:val="008D2FCF"/>
    <w:rPr>
      <w:rFonts w:ascii="Arial" w:hAnsi="Arial" w:cs="Arial"/>
      <w:noProof/>
      <w:sz w:val="22"/>
      <w:szCs w:val="22"/>
    </w:rPr>
  </w:style>
  <w:style w:type="character" w:customStyle="1" w:styleId="TOC4Char">
    <w:name w:val="TOC 4 Char"/>
    <w:basedOn w:val="DefaultParagraphFont"/>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val="0"/>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basedOn w:val="DefaultParagraphFont"/>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basedOn w:val="DefaultParagraphFont"/>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basedOn w:val="DefaultParagraphFont"/>
    <w:link w:val="Head1"/>
    <w:rsid w:val="005E33A7"/>
    <w:rPr>
      <w:rFonts w:ascii="Arial" w:hAnsi="Arial" w:cs="Arial"/>
      <w:caps/>
      <w:kern w:val="36"/>
      <w:sz w:val="36"/>
      <w:szCs w:val="36"/>
    </w:rPr>
  </w:style>
  <w:style w:type="character" w:styleId="CommentReference">
    <w:name w:val="annotation reference"/>
    <w:basedOn w:val="DefaultParagraphFont"/>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basedOn w:val="DefaultParagraphFont"/>
    <w:uiPriority w:val="99"/>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20"/>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8"/>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7"/>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7"/>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8"/>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8"/>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8"/>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8"/>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8"/>
      </w:numPr>
      <w:spacing w:before="240"/>
      <w:outlineLvl w:val="6"/>
    </w:pPr>
    <w:rPr>
      <w:rFonts w:ascii="Palatino" w:hAnsi="Palatino"/>
      <w:szCs w:val="20"/>
      <w:lang w:eastAsia="en-US"/>
    </w:rPr>
  </w:style>
  <w:style w:type="character" w:customStyle="1" w:styleId="Head2Char">
    <w:name w:val="Head 2 Char"/>
    <w:basedOn w:val="DefaultParagraphFont"/>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3"/>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4"/>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basedOn w:val="DefaultParagraphFont"/>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basedOn w:val="DefaultParagraphFont"/>
    <w:rsid w:val="005E33A7"/>
    <w:rPr>
      <w:color w:val="0000FF"/>
    </w:rPr>
  </w:style>
  <w:style w:type="character" w:customStyle="1" w:styleId="pi1">
    <w:name w:val="pi1"/>
    <w:basedOn w:val="DefaultParagraphFont"/>
    <w:rsid w:val="005E33A7"/>
    <w:rPr>
      <w:color w:val="0000FF"/>
    </w:rPr>
  </w:style>
  <w:style w:type="character" w:customStyle="1" w:styleId="ci1">
    <w:name w:val="ci1"/>
    <w:basedOn w:val="DefaultParagraphFont"/>
    <w:rsid w:val="005E33A7"/>
    <w:rPr>
      <w:rFonts w:ascii="Courier" w:hAnsi="Courier" w:hint="default"/>
      <w:color w:val="888888"/>
      <w:sz w:val="24"/>
      <w:szCs w:val="24"/>
    </w:rPr>
  </w:style>
  <w:style w:type="character" w:customStyle="1" w:styleId="b1">
    <w:name w:val="b1"/>
    <w:basedOn w:val="DefaultParagraphFont"/>
    <w:rsid w:val="005E33A7"/>
    <w:rPr>
      <w:rFonts w:ascii="Courier New" w:hAnsi="Courier New" w:cs="Courier New" w:hint="default"/>
      <w:b/>
      <w:bCs/>
      <w:strike w:val="0"/>
      <w:dstrike w:val="0"/>
      <w:color w:val="FF0000"/>
      <w:u w:val="none"/>
      <w:effect w:val="none"/>
    </w:rPr>
  </w:style>
  <w:style w:type="character" w:customStyle="1" w:styleId="t1">
    <w:name w:val="t1"/>
    <w:basedOn w:val="DefaultParagraphFont"/>
    <w:rsid w:val="005E33A7"/>
    <w:rPr>
      <w:color w:val="990000"/>
    </w:rPr>
  </w:style>
  <w:style w:type="character" w:customStyle="1" w:styleId="ns1">
    <w:name w:val="ns1"/>
    <w:basedOn w:val="DefaultParagraphFont"/>
    <w:rsid w:val="005E33A7"/>
    <w:rPr>
      <w:color w:val="FF0000"/>
    </w:rPr>
  </w:style>
  <w:style w:type="character" w:customStyle="1" w:styleId="tx1">
    <w:name w:val="tx1"/>
    <w:basedOn w:val="DefaultParagraphFont"/>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6"/>
      </w:numPr>
      <w:spacing w:before="240"/>
    </w:pPr>
  </w:style>
  <w:style w:type="paragraph" w:styleId="ListBullet2">
    <w:name w:val="List Bullet 2"/>
    <w:basedOn w:val="Normal"/>
    <w:autoRedefine/>
    <w:rsid w:val="005E33A7"/>
    <w:pPr>
      <w:numPr>
        <w:numId w:val="15"/>
      </w:numPr>
      <w:spacing w:before="240"/>
    </w:pPr>
  </w:style>
  <w:style w:type="paragraph" w:customStyle="1" w:styleId="Heading1Numbered">
    <w:name w:val="Heading 1 Numbered"/>
    <w:basedOn w:val="Normal"/>
    <w:next w:val="Normal"/>
    <w:rsid w:val="005E33A7"/>
    <w:pPr>
      <w:keepNext/>
      <w:numPr>
        <w:numId w:val="17"/>
      </w:numPr>
      <w:spacing w:before="480" w:after="240"/>
      <w:outlineLvl w:val="0"/>
    </w:pPr>
    <w:rPr>
      <w:b/>
      <w:caps/>
      <w:color w:val="335876"/>
      <w:sz w:val="26"/>
      <w:szCs w:val="36"/>
    </w:rPr>
  </w:style>
  <w:style w:type="paragraph" w:customStyle="1" w:styleId="Heading2Numbered">
    <w:name w:val="Heading 2 Numbered"/>
    <w:basedOn w:val="Normal"/>
    <w:next w:val="Normal"/>
    <w:link w:val="Heading2NumberedChar"/>
    <w:rsid w:val="005E33A7"/>
    <w:pPr>
      <w:keepNext/>
      <w:numPr>
        <w:ilvl w:val="1"/>
        <w:numId w:val="17"/>
      </w:numPr>
      <w:spacing w:before="240" w:after="120"/>
      <w:outlineLvl w:val="1"/>
    </w:pPr>
    <w:rPr>
      <w:b/>
      <w:caps/>
      <w:color w:val="007AA5"/>
      <w:sz w:val="24"/>
      <w:szCs w:val="28"/>
    </w:rPr>
  </w:style>
  <w:style w:type="paragraph" w:customStyle="1" w:styleId="Heading3Numbered">
    <w:name w:val="Heading 3 Numbered"/>
    <w:basedOn w:val="Normal"/>
    <w:next w:val="Normal"/>
    <w:link w:val="Heading3NumberedChar"/>
    <w:rsid w:val="005E33A7"/>
    <w:pPr>
      <w:keepNext/>
      <w:numPr>
        <w:ilvl w:val="2"/>
        <w:numId w:val="17"/>
      </w:numPr>
      <w:spacing w:before="240" w:after="120"/>
      <w:outlineLvl w:val="2"/>
    </w:pPr>
    <w:rPr>
      <w:b/>
      <w:i/>
      <w:color w:val="007AA5"/>
      <w:sz w:val="24"/>
      <w:szCs w:val="26"/>
    </w:rPr>
  </w:style>
  <w:style w:type="paragraph" w:customStyle="1" w:styleId="Heading4Numbered">
    <w:name w:val="Heading 4 Numbered"/>
    <w:basedOn w:val="Normal"/>
    <w:link w:val="Heading4NumberedChar"/>
    <w:rsid w:val="005E33A7"/>
    <w:pPr>
      <w:keepNext/>
      <w:numPr>
        <w:ilvl w:val="3"/>
        <w:numId w:val="17"/>
      </w:numPr>
      <w:spacing w:before="240" w:after="120"/>
      <w:outlineLvl w:val="3"/>
    </w:pPr>
    <w:rPr>
      <w:i/>
      <w:color w:val="007AA5"/>
      <w:szCs w:val="20"/>
    </w:rPr>
  </w:style>
  <w:style w:type="character" w:styleId="Emphasis">
    <w:name w:val="Emphasis"/>
    <w:basedOn w:val="DefaultParagraphFont"/>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8"/>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basedOn w:val="DefaultParagraphFont"/>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F03009"/>
    <w:pPr>
      <w:spacing w:before="120" w:after="120"/>
      <w:ind w:left="360"/>
    </w:pPr>
    <w:rPr>
      <w:b/>
      <w:color w:val="4F81BD"/>
      <w:lang w:val="en-US" w:eastAsia="en-US"/>
    </w:rPr>
  </w:style>
  <w:style w:type="character" w:customStyle="1" w:styleId="StyleMaintextChar">
    <w:name w:val="Style Main text Char"/>
    <w:basedOn w:val="MaintextCharChar"/>
    <w:link w:val="StyleMaintext"/>
    <w:rsid w:val="00F03009"/>
    <w:rPr>
      <w:rFonts w:ascii="Arial" w:hAnsi="Arial"/>
      <w:b/>
      <w:color w:val="4F81BD"/>
      <w:sz w:val="22"/>
      <w:szCs w:val="24"/>
      <w:lang w:val="en-AU" w:eastAsia="en-AU"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basedOn w:val="DefaultParagraphFont"/>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basedOn w:val="DefaultParagraphFont"/>
    <w:link w:val="Heading5"/>
    <w:rsid w:val="00245BB9"/>
    <w:rPr>
      <w:rFonts w:ascii="Arial" w:hAnsi="Arial"/>
      <w:b/>
      <w:bCs/>
      <w:i/>
      <w:iCs/>
      <w:szCs w:val="26"/>
    </w:rPr>
  </w:style>
  <w:style w:type="character" w:customStyle="1" w:styleId="FooterChar">
    <w:name w:val="Footer Char"/>
    <w:basedOn w:val="DefaultParagraphFont"/>
    <w:link w:val="Footer"/>
    <w:rsid w:val="00FB6DE2"/>
    <w:rPr>
      <w:rFonts w:ascii="Arial" w:hAnsi="Arial" w:cs="Arial"/>
      <w:caps/>
      <w:sz w:val="15"/>
      <w:szCs w:val="15"/>
      <w:lang w:val="en-AU" w:eastAsia="en-AU"/>
    </w:rPr>
  </w:style>
  <w:style w:type="character" w:customStyle="1" w:styleId="HeaderChar">
    <w:name w:val="Header Char"/>
    <w:basedOn w:val="DefaultParagraphFont"/>
    <w:link w:val="Header"/>
    <w:semiHidden/>
    <w:rsid w:val="00FB6DE2"/>
    <w:rPr>
      <w:rFonts w:ascii="Arial" w:hAnsi="Arial" w:cs="Arial"/>
      <w:caps/>
      <w:lang w:val="en-AU" w:eastAsia="en-AU"/>
    </w:rPr>
  </w:style>
  <w:style w:type="character" w:customStyle="1" w:styleId="Heading1Char">
    <w:name w:val="Heading 1 Char"/>
    <w:basedOn w:val="DefaultParagraphFont"/>
    <w:link w:val="Heading1"/>
    <w:rsid w:val="001C121E"/>
    <w:rPr>
      <w:rFonts w:ascii="Arial" w:hAnsi="Arial" w:cs="Arial"/>
      <w:bCs/>
      <w:caps/>
      <w:kern w:val="36"/>
      <w:sz w:val="36"/>
      <w:szCs w:val="36"/>
    </w:rPr>
  </w:style>
  <w:style w:type="paragraph" w:customStyle="1" w:styleId="font5">
    <w:name w:val="font5"/>
    <w:basedOn w:val="Normal"/>
    <w:rsid w:val="006F58E4"/>
    <w:pPr>
      <w:spacing w:before="100" w:beforeAutospacing="1" w:after="100" w:afterAutospacing="1"/>
    </w:pPr>
    <w:rPr>
      <w:rFonts w:ascii="Tahoma" w:eastAsia="MS Mincho" w:hAnsi="Tahoma" w:cs="Tahoma"/>
      <w:color w:val="000000"/>
      <w:sz w:val="16"/>
      <w:szCs w:val="16"/>
      <w:lang w:eastAsia="ja-JP"/>
    </w:rPr>
  </w:style>
  <w:style w:type="paragraph" w:customStyle="1" w:styleId="font6">
    <w:name w:val="font6"/>
    <w:basedOn w:val="Normal"/>
    <w:rsid w:val="006F58E4"/>
    <w:pPr>
      <w:spacing w:before="100" w:beforeAutospacing="1" w:after="100" w:afterAutospacing="1"/>
    </w:pPr>
    <w:rPr>
      <w:rFonts w:ascii="Tahoma" w:eastAsia="MS Mincho" w:hAnsi="Tahoma" w:cs="Tahoma"/>
      <w:b/>
      <w:bCs/>
      <w:color w:val="000000"/>
      <w:sz w:val="16"/>
      <w:szCs w:val="16"/>
      <w:lang w:eastAsia="ja-JP"/>
    </w:rPr>
  </w:style>
  <w:style w:type="paragraph" w:customStyle="1" w:styleId="font7">
    <w:name w:val="font7"/>
    <w:basedOn w:val="Normal"/>
    <w:rsid w:val="006F58E4"/>
    <w:pPr>
      <w:spacing w:before="100" w:beforeAutospacing="1" w:after="100" w:afterAutospacing="1"/>
    </w:pPr>
    <w:rPr>
      <w:rFonts w:ascii="Tahoma" w:eastAsia="MS Mincho" w:hAnsi="Tahoma" w:cs="Tahoma"/>
      <w:color w:val="000000"/>
      <w:sz w:val="16"/>
      <w:szCs w:val="16"/>
      <w:lang w:eastAsia="ja-JP"/>
    </w:rPr>
  </w:style>
  <w:style w:type="paragraph" w:customStyle="1" w:styleId="xl69">
    <w:name w:val="xl69"/>
    <w:basedOn w:val="Normal"/>
    <w:rsid w:val="006F58E4"/>
    <w:pPr>
      <w:pBdr>
        <w:left w:val="single" w:sz="8" w:space="0" w:color="auto"/>
        <w:bottom w:val="single" w:sz="8" w:space="0" w:color="auto"/>
      </w:pBdr>
      <w:spacing w:before="100" w:beforeAutospacing="1" w:after="100" w:afterAutospacing="1"/>
    </w:pPr>
    <w:rPr>
      <w:rFonts w:eastAsia="MS Mincho" w:cs="Arial"/>
      <w:sz w:val="24"/>
      <w:lang w:eastAsia="ja-JP"/>
    </w:rPr>
  </w:style>
  <w:style w:type="paragraph" w:customStyle="1" w:styleId="xl70">
    <w:name w:val="xl70"/>
    <w:basedOn w:val="Normal"/>
    <w:rsid w:val="006F58E4"/>
    <w:pPr>
      <w:pBdr>
        <w:left w:val="single" w:sz="8" w:space="0" w:color="auto"/>
        <w:bottom w:val="single" w:sz="8" w:space="0" w:color="auto"/>
      </w:pBdr>
      <w:spacing w:before="100" w:beforeAutospacing="1" w:after="100" w:afterAutospacing="1"/>
    </w:pPr>
    <w:rPr>
      <w:rFonts w:eastAsia="MS Mincho" w:cs="Arial"/>
      <w:b/>
      <w:bCs/>
      <w:sz w:val="24"/>
      <w:lang w:eastAsia="ja-JP"/>
    </w:rPr>
  </w:style>
  <w:style w:type="paragraph" w:customStyle="1" w:styleId="xl71">
    <w:name w:val="xl71"/>
    <w:basedOn w:val="Normal"/>
    <w:rsid w:val="006F58E4"/>
    <w:pPr>
      <w:pBdr>
        <w:left w:val="single" w:sz="8" w:space="0" w:color="auto"/>
        <w:bottom w:val="single" w:sz="8" w:space="0" w:color="auto"/>
      </w:pBdr>
      <w:shd w:val="clear" w:color="auto" w:fill="E5E5CC"/>
      <w:spacing w:before="100" w:beforeAutospacing="1" w:after="100" w:afterAutospacing="1"/>
    </w:pPr>
    <w:rPr>
      <w:rFonts w:eastAsia="MS Mincho" w:cs="Arial"/>
      <w:sz w:val="24"/>
      <w:lang w:eastAsia="ja-JP"/>
    </w:rPr>
  </w:style>
  <w:style w:type="paragraph" w:customStyle="1" w:styleId="xl72">
    <w:name w:val="xl72"/>
    <w:basedOn w:val="Normal"/>
    <w:rsid w:val="006F58E4"/>
    <w:pPr>
      <w:pBdr>
        <w:top w:val="single" w:sz="8" w:space="0" w:color="auto"/>
        <w:left w:val="single" w:sz="8" w:space="0" w:color="auto"/>
        <w:right w:val="single" w:sz="8" w:space="0" w:color="auto"/>
      </w:pBdr>
      <w:spacing w:before="100" w:beforeAutospacing="1" w:after="100" w:afterAutospacing="1"/>
    </w:pPr>
    <w:rPr>
      <w:rFonts w:eastAsia="MS Mincho" w:cs="Arial"/>
      <w:sz w:val="24"/>
      <w:lang w:eastAsia="ja-JP"/>
    </w:rPr>
  </w:style>
  <w:style w:type="paragraph" w:customStyle="1" w:styleId="xl73">
    <w:name w:val="xl73"/>
    <w:basedOn w:val="Normal"/>
    <w:rsid w:val="006F58E4"/>
    <w:pPr>
      <w:pBdr>
        <w:bottom w:val="single" w:sz="8" w:space="0" w:color="auto"/>
        <w:right w:val="single" w:sz="8" w:space="0" w:color="auto"/>
      </w:pBdr>
      <w:spacing w:before="100" w:beforeAutospacing="1" w:after="100" w:afterAutospacing="1"/>
    </w:pPr>
    <w:rPr>
      <w:rFonts w:eastAsia="MS Mincho" w:cs="Arial"/>
      <w:sz w:val="24"/>
      <w:lang w:eastAsia="ja-JP"/>
    </w:rPr>
  </w:style>
  <w:style w:type="character" w:customStyle="1" w:styleId="Heading2Char">
    <w:name w:val="Heading 2 Char"/>
    <w:basedOn w:val="DefaultParagraphFont"/>
    <w:link w:val="Heading2"/>
    <w:locked/>
    <w:rsid w:val="00DA3DFF"/>
    <w:rPr>
      <w:rFonts w:ascii="Arial" w:hAnsi="Arial" w:cs="Arial"/>
      <w:b/>
      <w:bCs/>
      <w:iCs/>
      <w:caps/>
      <w:kern w:val="36"/>
      <w:sz w:val="24"/>
      <w:szCs w:val="28"/>
    </w:rPr>
  </w:style>
  <w:style w:type="paragraph" w:styleId="Date">
    <w:name w:val="Date"/>
    <w:basedOn w:val="Normal"/>
    <w:next w:val="Normal"/>
    <w:link w:val="DateChar"/>
    <w:rsid w:val="00DA3DFF"/>
    <w:rPr>
      <w:rFonts w:eastAsia="MS Mincho"/>
      <w:lang w:eastAsia="ja-JP"/>
    </w:rPr>
  </w:style>
  <w:style w:type="character" w:customStyle="1" w:styleId="DateChar">
    <w:name w:val="Date Char"/>
    <w:basedOn w:val="DefaultParagraphFont"/>
    <w:link w:val="Date"/>
    <w:rsid w:val="00DA3DFF"/>
    <w:rPr>
      <w:rFonts w:ascii="Arial" w:eastAsia="MS Mincho" w:hAnsi="Arial"/>
      <w:sz w:val="22"/>
      <w:szCs w:val="24"/>
      <w:lang w:eastAsia="ja-JP"/>
    </w:rPr>
  </w:style>
  <w:style w:type="paragraph" w:customStyle="1" w:styleId="Default">
    <w:name w:val="Default"/>
    <w:rsid w:val="00DA3DFF"/>
    <w:pPr>
      <w:widowControl w:val="0"/>
      <w:autoSpaceDE w:val="0"/>
      <w:autoSpaceDN w:val="0"/>
      <w:adjustRightInd w:val="0"/>
    </w:pPr>
    <w:rPr>
      <w:rFonts w:ascii="Arial" w:eastAsia="MS Mincho" w:hAnsi="Arial" w:cs="Arial"/>
      <w:color w:val="000000"/>
      <w:sz w:val="24"/>
      <w:szCs w:val="24"/>
      <w:lang w:eastAsia="ja-JP"/>
    </w:rPr>
  </w:style>
  <w:style w:type="paragraph" w:customStyle="1" w:styleId="CM13">
    <w:name w:val="CM13"/>
    <w:basedOn w:val="Default"/>
    <w:next w:val="Default"/>
    <w:rsid w:val="00DA3DFF"/>
    <w:rPr>
      <w:rFonts w:cs="Times New Roman"/>
      <w:color w:val="auto"/>
    </w:rPr>
  </w:style>
  <w:style w:type="paragraph" w:customStyle="1" w:styleId="CM14">
    <w:name w:val="CM14"/>
    <w:basedOn w:val="Default"/>
    <w:next w:val="Default"/>
    <w:rsid w:val="00DA3DFF"/>
    <w:rPr>
      <w:rFonts w:cs="Times New Roman"/>
      <w:color w:val="auto"/>
    </w:rPr>
  </w:style>
  <w:style w:type="paragraph" w:customStyle="1" w:styleId="CM1">
    <w:name w:val="CM1"/>
    <w:basedOn w:val="Default"/>
    <w:next w:val="Default"/>
    <w:rsid w:val="00DA3DFF"/>
    <w:pPr>
      <w:spacing w:line="253" w:lineRule="atLeast"/>
    </w:pPr>
    <w:rPr>
      <w:rFonts w:cs="Times New Roman"/>
      <w:color w:val="auto"/>
    </w:rPr>
  </w:style>
  <w:style w:type="paragraph" w:customStyle="1" w:styleId="CM2">
    <w:name w:val="CM2"/>
    <w:basedOn w:val="Default"/>
    <w:next w:val="Default"/>
    <w:rsid w:val="00DA3DFF"/>
    <w:pPr>
      <w:spacing w:line="253" w:lineRule="atLeast"/>
    </w:pPr>
    <w:rPr>
      <w:rFonts w:cs="Times New Roman"/>
      <w:color w:val="auto"/>
    </w:rPr>
  </w:style>
  <w:style w:type="paragraph" w:customStyle="1" w:styleId="CM3">
    <w:name w:val="CM3"/>
    <w:basedOn w:val="Default"/>
    <w:next w:val="Default"/>
    <w:rsid w:val="00DA3DFF"/>
    <w:pPr>
      <w:spacing w:line="253" w:lineRule="atLeast"/>
    </w:pPr>
    <w:rPr>
      <w:rFonts w:cs="Times New Roman"/>
      <w:color w:val="auto"/>
    </w:rPr>
  </w:style>
  <w:style w:type="paragraph" w:customStyle="1" w:styleId="CM4">
    <w:name w:val="CM4"/>
    <w:basedOn w:val="Default"/>
    <w:next w:val="Default"/>
    <w:rsid w:val="00DA3DFF"/>
    <w:pPr>
      <w:spacing w:line="253" w:lineRule="atLeast"/>
    </w:pPr>
    <w:rPr>
      <w:rFonts w:cs="Times New Roman"/>
      <w:color w:val="auto"/>
    </w:rPr>
  </w:style>
  <w:style w:type="paragraph" w:customStyle="1" w:styleId="CM5">
    <w:name w:val="CM5"/>
    <w:basedOn w:val="Default"/>
    <w:next w:val="Default"/>
    <w:rsid w:val="00DA3DFF"/>
    <w:pPr>
      <w:spacing w:line="253" w:lineRule="atLeast"/>
    </w:pPr>
    <w:rPr>
      <w:rFonts w:cs="Times New Roman"/>
      <w:color w:val="auto"/>
    </w:rPr>
  </w:style>
  <w:style w:type="paragraph" w:customStyle="1" w:styleId="CM6">
    <w:name w:val="CM6"/>
    <w:basedOn w:val="Default"/>
    <w:next w:val="Default"/>
    <w:rsid w:val="00DA3DFF"/>
    <w:pPr>
      <w:spacing w:line="253" w:lineRule="atLeast"/>
    </w:pPr>
    <w:rPr>
      <w:rFonts w:cs="Times New Roman"/>
      <w:color w:val="auto"/>
    </w:rPr>
  </w:style>
  <w:style w:type="paragraph" w:customStyle="1" w:styleId="CM7">
    <w:name w:val="CM7"/>
    <w:basedOn w:val="Default"/>
    <w:next w:val="Default"/>
    <w:rsid w:val="00DA3DFF"/>
    <w:pPr>
      <w:spacing w:line="253" w:lineRule="atLeast"/>
    </w:pPr>
    <w:rPr>
      <w:rFonts w:cs="Times New Roman"/>
      <w:color w:val="auto"/>
    </w:rPr>
  </w:style>
  <w:style w:type="paragraph" w:customStyle="1" w:styleId="CM8">
    <w:name w:val="CM8"/>
    <w:basedOn w:val="Default"/>
    <w:next w:val="Default"/>
    <w:rsid w:val="00DA3DFF"/>
    <w:pPr>
      <w:spacing w:line="253" w:lineRule="atLeast"/>
    </w:pPr>
    <w:rPr>
      <w:rFonts w:cs="Times New Roman"/>
      <w:color w:val="auto"/>
    </w:rPr>
  </w:style>
  <w:style w:type="paragraph" w:customStyle="1" w:styleId="CM9">
    <w:name w:val="CM9"/>
    <w:basedOn w:val="Default"/>
    <w:next w:val="Default"/>
    <w:rsid w:val="00DA3DFF"/>
    <w:pPr>
      <w:spacing w:line="258" w:lineRule="atLeast"/>
    </w:pPr>
    <w:rPr>
      <w:rFonts w:cs="Times New Roman"/>
      <w:color w:val="auto"/>
    </w:rPr>
  </w:style>
  <w:style w:type="paragraph" w:customStyle="1" w:styleId="CM10">
    <w:name w:val="CM10"/>
    <w:basedOn w:val="Default"/>
    <w:next w:val="Default"/>
    <w:rsid w:val="00DA3DFF"/>
    <w:pPr>
      <w:spacing w:line="253" w:lineRule="atLeast"/>
    </w:pPr>
    <w:rPr>
      <w:rFonts w:cs="Times New Roman"/>
      <w:color w:val="auto"/>
    </w:rPr>
  </w:style>
  <w:style w:type="paragraph" w:customStyle="1" w:styleId="CM11">
    <w:name w:val="CM11"/>
    <w:basedOn w:val="Default"/>
    <w:next w:val="Default"/>
    <w:rsid w:val="00DA3DFF"/>
    <w:pPr>
      <w:spacing w:line="253" w:lineRule="atLeast"/>
    </w:pPr>
    <w:rPr>
      <w:rFonts w:cs="Times New Roman"/>
      <w:color w:val="auto"/>
    </w:rPr>
  </w:style>
  <w:style w:type="paragraph" w:customStyle="1" w:styleId="CM15">
    <w:name w:val="CM15"/>
    <w:basedOn w:val="Default"/>
    <w:next w:val="Default"/>
    <w:rsid w:val="00DA3DFF"/>
    <w:rPr>
      <w:rFonts w:cs="Times New Roman"/>
      <w:color w:val="auto"/>
    </w:rPr>
  </w:style>
  <w:style w:type="paragraph" w:customStyle="1" w:styleId="PlainParagraph">
    <w:name w:val="Plain Paragraph"/>
    <w:basedOn w:val="Normal"/>
    <w:link w:val="PlainParagraphChar"/>
    <w:rsid w:val="000034BB"/>
    <w:pPr>
      <w:spacing w:before="140" w:after="140" w:line="280" w:lineRule="atLeast"/>
    </w:pPr>
    <w:rPr>
      <w:rFonts w:cs="Arial"/>
      <w:szCs w:val="22"/>
    </w:rPr>
  </w:style>
  <w:style w:type="character" w:customStyle="1" w:styleId="PlainParagraphChar">
    <w:name w:val="Plain Paragraph Char"/>
    <w:basedOn w:val="DefaultParagraphFont"/>
    <w:link w:val="PlainParagraph"/>
    <w:rsid w:val="000034BB"/>
    <w:rPr>
      <w:rFonts w:ascii="Arial" w:hAnsi="Arial" w:cs="Arial"/>
      <w:sz w:val="22"/>
      <w:szCs w:val="22"/>
    </w:rPr>
  </w:style>
  <w:style w:type="paragraph" w:customStyle="1" w:styleId="font8">
    <w:name w:val="font8"/>
    <w:basedOn w:val="Normal"/>
    <w:rsid w:val="00C9230F"/>
    <w:pPr>
      <w:spacing w:before="100" w:beforeAutospacing="1" w:after="100" w:afterAutospacing="1"/>
    </w:pPr>
    <w:rPr>
      <w:rFonts w:ascii="Tahoma" w:eastAsia="MS Mincho" w:hAnsi="Tahoma" w:cs="Tahoma"/>
      <w:b/>
      <w:bCs/>
      <w:color w:val="000000"/>
      <w:sz w:val="20"/>
      <w:szCs w:val="20"/>
      <w:lang w:eastAsia="ja-JP"/>
    </w:rPr>
  </w:style>
  <w:style w:type="paragraph" w:customStyle="1" w:styleId="font9">
    <w:name w:val="font9"/>
    <w:basedOn w:val="Normal"/>
    <w:rsid w:val="00C9230F"/>
    <w:pPr>
      <w:spacing w:before="100" w:beforeAutospacing="1" w:after="100" w:afterAutospacing="1"/>
    </w:pPr>
    <w:rPr>
      <w:rFonts w:ascii="Tahoma" w:eastAsia="MS Mincho" w:hAnsi="Tahoma" w:cs="Tahoma"/>
      <w:color w:val="000000"/>
      <w:sz w:val="20"/>
      <w:szCs w:val="20"/>
      <w:lang w:eastAsia="ja-JP"/>
    </w:rPr>
  </w:style>
  <w:style w:type="paragraph" w:customStyle="1" w:styleId="xl25">
    <w:name w:val="xl25"/>
    <w:basedOn w:val="Normal"/>
    <w:rsid w:val="00C9230F"/>
    <w:pPr>
      <w:spacing w:before="100" w:beforeAutospacing="1" w:after="100" w:afterAutospacing="1"/>
    </w:pPr>
    <w:rPr>
      <w:rFonts w:ascii="Calibri" w:eastAsia="MS Mincho" w:hAnsi="Calibri"/>
      <w:szCs w:val="22"/>
      <w:lang w:eastAsia="ja-JP"/>
    </w:rPr>
  </w:style>
  <w:style w:type="paragraph" w:customStyle="1" w:styleId="xl26">
    <w:name w:val="xl26"/>
    <w:basedOn w:val="Normal"/>
    <w:rsid w:val="00C9230F"/>
    <w:pPr>
      <w:shd w:val="clear" w:color="auto" w:fill="C0C0C0"/>
      <w:spacing w:before="100" w:beforeAutospacing="1" w:after="100" w:afterAutospacing="1"/>
    </w:pPr>
    <w:rPr>
      <w:rFonts w:ascii="Times New Roman" w:eastAsia="MS Mincho" w:hAnsi="Times New Roman"/>
      <w:sz w:val="24"/>
      <w:lang w:eastAsia="ja-JP"/>
    </w:rPr>
  </w:style>
  <w:style w:type="paragraph" w:customStyle="1" w:styleId="xl24">
    <w:name w:val="xl24"/>
    <w:basedOn w:val="Normal"/>
    <w:rsid w:val="00CA0B58"/>
    <w:pPr>
      <w:spacing w:before="100" w:beforeAutospacing="1" w:after="100" w:afterAutospacing="1"/>
    </w:pPr>
    <w:rPr>
      <w:rFonts w:ascii="Times New Roman" w:eastAsia="MS Mincho" w:hAnsi="Times New Roman"/>
      <w:sz w:val="24"/>
      <w:lang w:eastAsia="ja-JP"/>
    </w:rPr>
  </w:style>
  <w:style w:type="paragraph" w:customStyle="1" w:styleId="xl65">
    <w:name w:val="xl65"/>
    <w:basedOn w:val="Normal"/>
    <w:rsid w:val="005A7786"/>
    <w:pPr>
      <w:spacing w:before="100" w:beforeAutospacing="1" w:after="100" w:afterAutospacing="1"/>
    </w:pPr>
    <w:rPr>
      <w:rFonts w:ascii="Times New Roman" w:hAnsi="Times New Roman"/>
      <w:b/>
      <w:bCs/>
      <w:sz w:val="24"/>
    </w:rPr>
  </w:style>
  <w:style w:type="paragraph" w:customStyle="1" w:styleId="xl66">
    <w:name w:val="xl66"/>
    <w:basedOn w:val="Normal"/>
    <w:rsid w:val="005A7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67">
    <w:name w:val="xl67"/>
    <w:basedOn w:val="Normal"/>
    <w:rsid w:val="005A7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68">
    <w:name w:val="xl68"/>
    <w:basedOn w:val="Normal"/>
    <w:rsid w:val="005A7786"/>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AppendixHeading1">
    <w:name w:val="Appendix Heading 1"/>
    <w:basedOn w:val="Heading1Numbered"/>
    <w:rsid w:val="001F49B0"/>
  </w:style>
  <w:style w:type="paragraph" w:customStyle="1" w:styleId="AppendixHeading2">
    <w:name w:val="Appendix Heading 2"/>
    <w:basedOn w:val="Heading2Numbered"/>
    <w:link w:val="AppendixHeading2Char"/>
    <w:rsid w:val="001F49B0"/>
  </w:style>
  <w:style w:type="paragraph" w:customStyle="1" w:styleId="AppendixHeading3">
    <w:name w:val="Appendix Heading 3"/>
    <w:basedOn w:val="Heading3Numbered"/>
    <w:link w:val="AppendixHeading3Char"/>
    <w:rsid w:val="001F49B0"/>
  </w:style>
  <w:style w:type="character" w:customStyle="1" w:styleId="Heading2NumberedChar">
    <w:name w:val="Heading 2 Numbered Char"/>
    <w:basedOn w:val="DefaultParagraphFont"/>
    <w:link w:val="Heading2Numbered"/>
    <w:rsid w:val="001F49B0"/>
    <w:rPr>
      <w:rFonts w:ascii="Arial" w:hAnsi="Arial"/>
      <w:b/>
      <w:caps/>
      <w:color w:val="007AA5"/>
      <w:sz w:val="24"/>
      <w:szCs w:val="28"/>
    </w:rPr>
  </w:style>
  <w:style w:type="character" w:customStyle="1" w:styleId="AppendixHeading2Char">
    <w:name w:val="Appendix Heading 2 Char"/>
    <w:basedOn w:val="Heading2NumberedChar"/>
    <w:link w:val="AppendixHeading2"/>
    <w:rsid w:val="001F49B0"/>
    <w:rPr>
      <w:rFonts w:ascii="Arial" w:hAnsi="Arial"/>
      <w:b/>
      <w:caps/>
      <w:color w:val="007AA5"/>
      <w:sz w:val="24"/>
      <w:szCs w:val="28"/>
    </w:rPr>
  </w:style>
  <w:style w:type="character" w:customStyle="1" w:styleId="Heading3NumberedChar">
    <w:name w:val="Heading 3 Numbered Char"/>
    <w:basedOn w:val="DefaultParagraphFont"/>
    <w:link w:val="Heading3Numbered"/>
    <w:rsid w:val="001F49B0"/>
    <w:rPr>
      <w:rFonts w:ascii="Arial" w:hAnsi="Arial"/>
      <w:b/>
      <w:i/>
      <w:color w:val="007AA5"/>
      <w:sz w:val="24"/>
      <w:szCs w:val="26"/>
    </w:rPr>
  </w:style>
  <w:style w:type="character" w:customStyle="1" w:styleId="AppendixHeading3Char">
    <w:name w:val="Appendix Heading 3 Char"/>
    <w:basedOn w:val="Heading3NumberedChar"/>
    <w:link w:val="AppendixHeading3"/>
    <w:rsid w:val="001F49B0"/>
    <w:rPr>
      <w:rFonts w:ascii="Arial" w:hAnsi="Arial"/>
      <w:b/>
      <w:i/>
      <w:color w:val="007AA5"/>
      <w:sz w:val="24"/>
      <w:szCs w:val="26"/>
    </w:rPr>
  </w:style>
  <w:style w:type="paragraph" w:customStyle="1" w:styleId="AppendixHeading4">
    <w:name w:val="Appendix Heading 4"/>
    <w:basedOn w:val="Heading4Numbered"/>
    <w:link w:val="AppendixHeading4Char"/>
    <w:rsid w:val="001F49B0"/>
    <w:rPr>
      <w:b/>
      <w:szCs w:val="22"/>
    </w:rPr>
  </w:style>
  <w:style w:type="paragraph" w:customStyle="1" w:styleId="AppendixHeading5">
    <w:name w:val="Appendix Heading 5"/>
    <w:basedOn w:val="Heading5"/>
    <w:rsid w:val="001F49B0"/>
    <w:pPr>
      <w:ind w:left="284"/>
    </w:pPr>
    <w:rPr>
      <w:b w:val="0"/>
    </w:rPr>
  </w:style>
  <w:style w:type="character" w:customStyle="1" w:styleId="Heading4NumberedChar">
    <w:name w:val="Heading 4 Numbered Char"/>
    <w:basedOn w:val="DefaultParagraphFont"/>
    <w:link w:val="Heading4Numbered"/>
    <w:rsid w:val="001F49B0"/>
    <w:rPr>
      <w:rFonts w:ascii="Arial" w:hAnsi="Arial"/>
      <w:i/>
      <w:color w:val="007AA5"/>
      <w:sz w:val="22"/>
    </w:rPr>
  </w:style>
  <w:style w:type="character" w:customStyle="1" w:styleId="AppendixHeading4Char">
    <w:name w:val="Appendix Heading 4 Char"/>
    <w:basedOn w:val="Heading4NumberedChar"/>
    <w:link w:val="AppendixHeading4"/>
    <w:rsid w:val="001F49B0"/>
    <w:rPr>
      <w:rFonts w:ascii="Arial" w:hAnsi="Arial"/>
      <w:b/>
      <w:i/>
      <w:color w:val="007AA5"/>
      <w:sz w:val="22"/>
      <w:szCs w:val="22"/>
    </w:rPr>
  </w:style>
  <w:style w:type="paragraph" w:styleId="Revision">
    <w:name w:val="Revision"/>
    <w:hidden/>
    <w:uiPriority w:val="99"/>
    <w:semiHidden/>
    <w:rsid w:val="00C66002"/>
    <w:rPr>
      <w:rFonts w:ascii="Arial" w:hAnsi="Arial"/>
      <w:sz w:val="22"/>
      <w:szCs w:val="24"/>
    </w:rPr>
  </w:style>
  <w:style w:type="paragraph" w:customStyle="1" w:styleId="xl74">
    <w:name w:val="xl74"/>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sz w:val="8"/>
      <w:szCs w:val="8"/>
    </w:rPr>
  </w:style>
  <w:style w:type="paragraph" w:customStyle="1" w:styleId="xl75">
    <w:name w:val="xl75"/>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sz w:val="8"/>
      <w:szCs w:val="8"/>
    </w:rPr>
  </w:style>
  <w:style w:type="paragraph" w:customStyle="1" w:styleId="xl76">
    <w:name w:val="xl76"/>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rFonts w:ascii="Tahoma" w:hAnsi="Tahoma" w:cs="Tahoma"/>
      <w:b/>
      <w:bCs/>
      <w:sz w:val="8"/>
      <w:szCs w:val="8"/>
    </w:rPr>
  </w:style>
  <w:style w:type="paragraph" w:customStyle="1" w:styleId="xl77">
    <w:name w:val="xl77"/>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78">
    <w:name w:val="xl78"/>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79">
    <w:name w:val="xl79"/>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cs="Arial"/>
      <w:sz w:val="8"/>
      <w:szCs w:val="8"/>
    </w:rPr>
  </w:style>
  <w:style w:type="paragraph" w:customStyle="1" w:styleId="xl80">
    <w:name w:val="xl80"/>
    <w:basedOn w:val="Normal"/>
    <w:rsid w:val="00503E80"/>
    <w:pPr>
      <w:pBdr>
        <w:top w:val="single" w:sz="4" w:space="0" w:color="auto"/>
        <w:left w:val="single" w:sz="4" w:space="6" w:color="auto"/>
        <w:bottom w:val="single" w:sz="4" w:space="0" w:color="auto"/>
        <w:right w:val="single" w:sz="4" w:space="0" w:color="auto"/>
      </w:pBdr>
      <w:shd w:val="clear" w:color="000000" w:fill="D7E4BC"/>
      <w:spacing w:before="100" w:beforeAutospacing="1" w:after="100" w:afterAutospacing="1"/>
      <w:ind w:firstLineChars="100" w:firstLine="100"/>
      <w:textAlignment w:val="top"/>
    </w:pPr>
    <w:rPr>
      <w:rFonts w:ascii="Tahoma" w:hAnsi="Tahoma" w:cs="Tahoma"/>
      <w:sz w:val="8"/>
      <w:szCs w:val="8"/>
    </w:rPr>
  </w:style>
  <w:style w:type="paragraph" w:customStyle="1" w:styleId="xl81">
    <w:name w:val="xl81"/>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82">
    <w:name w:val="xl82"/>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ascii="Tahoma" w:hAnsi="Tahoma" w:cs="Tahoma"/>
      <w:sz w:val="8"/>
      <w:szCs w:val="8"/>
    </w:rPr>
  </w:style>
  <w:style w:type="paragraph" w:customStyle="1" w:styleId="xl83">
    <w:name w:val="xl83"/>
    <w:basedOn w:val="Normal"/>
    <w:rsid w:val="00503E80"/>
    <w:pPr>
      <w:pBdr>
        <w:top w:val="single" w:sz="4" w:space="0" w:color="auto"/>
        <w:left w:val="single" w:sz="4" w:space="12" w:color="auto"/>
        <w:bottom w:val="single" w:sz="4" w:space="0" w:color="auto"/>
        <w:right w:val="single" w:sz="4" w:space="0" w:color="auto"/>
      </w:pBdr>
      <w:shd w:val="clear" w:color="000000" w:fill="D7E4BC"/>
      <w:spacing w:before="100" w:beforeAutospacing="1" w:after="100" w:afterAutospacing="1"/>
      <w:ind w:firstLineChars="200" w:firstLine="200"/>
      <w:textAlignment w:val="top"/>
    </w:pPr>
    <w:rPr>
      <w:rFonts w:ascii="Tahoma" w:hAnsi="Tahoma" w:cs="Tahoma"/>
      <w:sz w:val="8"/>
      <w:szCs w:val="8"/>
    </w:rPr>
  </w:style>
  <w:style w:type="paragraph" w:customStyle="1" w:styleId="xl84">
    <w:name w:val="xl84"/>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85">
    <w:name w:val="xl8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ahoma" w:hAnsi="Tahoma" w:cs="Tahoma"/>
      <w:b/>
      <w:bCs/>
      <w:sz w:val="8"/>
      <w:szCs w:val="8"/>
    </w:rPr>
  </w:style>
  <w:style w:type="paragraph" w:customStyle="1" w:styleId="xl86">
    <w:name w:val="xl86"/>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ahoma" w:hAnsi="Tahoma" w:cs="Tahoma"/>
      <w:sz w:val="8"/>
      <w:szCs w:val="8"/>
    </w:rPr>
  </w:style>
  <w:style w:type="paragraph" w:customStyle="1" w:styleId="xl87">
    <w:name w:val="xl87"/>
    <w:basedOn w:val="Normal"/>
    <w:rsid w:val="00503E80"/>
    <w:pPr>
      <w:pBdr>
        <w:top w:val="single" w:sz="4" w:space="0" w:color="auto"/>
        <w:left w:val="single" w:sz="4" w:space="6" w:color="auto"/>
        <w:bottom w:val="single" w:sz="4" w:space="0" w:color="auto"/>
        <w:right w:val="single" w:sz="4" w:space="0" w:color="auto"/>
      </w:pBdr>
      <w:shd w:val="clear" w:color="000000" w:fill="E6B9B8"/>
      <w:spacing w:before="100" w:beforeAutospacing="1" w:after="100" w:afterAutospacing="1"/>
      <w:ind w:firstLineChars="100" w:firstLine="100"/>
      <w:textAlignment w:val="top"/>
    </w:pPr>
    <w:rPr>
      <w:rFonts w:ascii="Tahoma" w:hAnsi="Tahoma" w:cs="Tahoma"/>
      <w:sz w:val="8"/>
      <w:szCs w:val="8"/>
    </w:rPr>
  </w:style>
  <w:style w:type="paragraph" w:customStyle="1" w:styleId="xl88">
    <w:name w:val="xl88"/>
    <w:basedOn w:val="Normal"/>
    <w:rsid w:val="00503E80"/>
    <w:pPr>
      <w:pBdr>
        <w:top w:val="single" w:sz="4" w:space="0" w:color="auto"/>
        <w:left w:val="single" w:sz="4" w:space="12" w:color="auto"/>
        <w:bottom w:val="single" w:sz="4" w:space="0" w:color="auto"/>
        <w:right w:val="single" w:sz="4" w:space="0" w:color="auto"/>
      </w:pBdr>
      <w:shd w:val="clear" w:color="000000" w:fill="E6B9B8"/>
      <w:spacing w:before="100" w:beforeAutospacing="1" w:after="100" w:afterAutospacing="1"/>
      <w:ind w:firstLineChars="200" w:firstLine="200"/>
      <w:textAlignment w:val="top"/>
    </w:pPr>
    <w:rPr>
      <w:rFonts w:ascii="Tahoma" w:hAnsi="Tahoma" w:cs="Tahoma"/>
      <w:sz w:val="8"/>
      <w:szCs w:val="8"/>
    </w:rPr>
  </w:style>
  <w:style w:type="paragraph" w:customStyle="1" w:styleId="xl89">
    <w:name w:val="xl89"/>
    <w:basedOn w:val="Normal"/>
    <w:rsid w:val="00503E80"/>
    <w:pPr>
      <w:pBdr>
        <w:top w:val="single" w:sz="4" w:space="0" w:color="auto"/>
        <w:left w:val="single" w:sz="4" w:space="18" w:color="auto"/>
        <w:bottom w:val="single" w:sz="4" w:space="0" w:color="auto"/>
        <w:right w:val="single" w:sz="4" w:space="0" w:color="auto"/>
      </w:pBdr>
      <w:shd w:val="clear" w:color="000000" w:fill="E6B9B8"/>
      <w:spacing w:before="100" w:beforeAutospacing="1" w:after="100" w:afterAutospacing="1"/>
      <w:ind w:firstLineChars="300" w:firstLine="300"/>
      <w:textAlignment w:val="top"/>
    </w:pPr>
    <w:rPr>
      <w:rFonts w:ascii="Tahoma" w:hAnsi="Tahoma" w:cs="Tahoma"/>
      <w:sz w:val="8"/>
      <w:szCs w:val="8"/>
    </w:rPr>
  </w:style>
  <w:style w:type="paragraph" w:customStyle="1" w:styleId="xl90">
    <w:name w:val="xl90"/>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cs="Arial"/>
      <w:sz w:val="8"/>
      <w:szCs w:val="8"/>
    </w:rPr>
  </w:style>
  <w:style w:type="paragraph" w:customStyle="1" w:styleId="xl91">
    <w:name w:val="xl91"/>
    <w:basedOn w:val="Normal"/>
    <w:rsid w:val="00503E80"/>
    <w:pPr>
      <w:pBdr>
        <w:top w:val="single" w:sz="4" w:space="0" w:color="auto"/>
        <w:left w:val="single" w:sz="4" w:space="24" w:color="auto"/>
        <w:bottom w:val="single" w:sz="4" w:space="0" w:color="auto"/>
        <w:right w:val="single" w:sz="4" w:space="0" w:color="auto"/>
      </w:pBdr>
      <w:shd w:val="clear" w:color="000000" w:fill="E6B9B8"/>
      <w:spacing w:before="100" w:beforeAutospacing="1" w:after="100" w:afterAutospacing="1"/>
      <w:ind w:firstLineChars="400" w:firstLine="400"/>
      <w:textAlignment w:val="top"/>
    </w:pPr>
    <w:rPr>
      <w:rFonts w:ascii="Tahoma" w:hAnsi="Tahoma" w:cs="Tahoma"/>
      <w:sz w:val="8"/>
      <w:szCs w:val="8"/>
    </w:rPr>
  </w:style>
  <w:style w:type="paragraph" w:customStyle="1" w:styleId="xl92">
    <w:name w:val="xl92"/>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93">
    <w:name w:val="xl93"/>
    <w:basedOn w:val="Normal"/>
    <w:rsid w:val="00503E80"/>
    <w:pPr>
      <w:pBdr>
        <w:top w:val="single" w:sz="4" w:space="0" w:color="auto"/>
        <w:left w:val="single" w:sz="4" w:space="12" w:color="auto"/>
        <w:bottom w:val="single" w:sz="4" w:space="0" w:color="auto"/>
        <w:right w:val="single" w:sz="4" w:space="0" w:color="auto"/>
      </w:pBdr>
      <w:shd w:val="clear" w:color="000000" w:fill="E6B9B8"/>
      <w:spacing w:before="100" w:beforeAutospacing="1" w:after="100" w:afterAutospacing="1"/>
      <w:ind w:firstLineChars="200" w:firstLine="200"/>
      <w:textAlignment w:val="top"/>
    </w:pPr>
    <w:rPr>
      <w:rFonts w:ascii="Tahoma" w:hAnsi="Tahoma" w:cs="Tahoma"/>
      <w:sz w:val="8"/>
      <w:szCs w:val="8"/>
    </w:rPr>
  </w:style>
  <w:style w:type="paragraph" w:customStyle="1" w:styleId="xl94">
    <w:name w:val="xl94"/>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imes New Roman" w:hAnsi="Times New Roman"/>
      <w:sz w:val="8"/>
      <w:szCs w:val="8"/>
    </w:rPr>
  </w:style>
  <w:style w:type="paragraph" w:customStyle="1" w:styleId="xl95">
    <w:name w:val="xl9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96">
    <w:name w:val="xl96"/>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b/>
      <w:bCs/>
      <w:sz w:val="8"/>
      <w:szCs w:val="8"/>
    </w:rPr>
  </w:style>
  <w:style w:type="paragraph" w:customStyle="1" w:styleId="xl97">
    <w:name w:val="xl97"/>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ahoma" w:hAnsi="Tahoma" w:cs="Tahoma"/>
      <w:sz w:val="8"/>
      <w:szCs w:val="8"/>
    </w:rPr>
  </w:style>
  <w:style w:type="paragraph" w:customStyle="1" w:styleId="xl98">
    <w:name w:val="xl98"/>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ahoma" w:hAnsi="Tahoma" w:cs="Tahoma"/>
      <w:sz w:val="8"/>
      <w:szCs w:val="8"/>
    </w:rPr>
  </w:style>
  <w:style w:type="paragraph" w:customStyle="1" w:styleId="xl99">
    <w:name w:val="xl99"/>
    <w:basedOn w:val="Normal"/>
    <w:rsid w:val="00503E80"/>
    <w:pPr>
      <w:pBdr>
        <w:top w:val="single" w:sz="4" w:space="0" w:color="auto"/>
        <w:left w:val="single" w:sz="4" w:space="6" w:color="auto"/>
        <w:bottom w:val="single" w:sz="4" w:space="0" w:color="auto"/>
        <w:right w:val="single" w:sz="4" w:space="0" w:color="auto"/>
      </w:pBdr>
      <w:shd w:val="clear" w:color="000000" w:fill="CCC0DA"/>
      <w:spacing w:before="100" w:beforeAutospacing="1" w:after="100" w:afterAutospacing="1"/>
      <w:ind w:firstLineChars="100" w:firstLine="100"/>
      <w:textAlignment w:val="top"/>
    </w:pPr>
    <w:rPr>
      <w:rFonts w:ascii="Tahoma" w:hAnsi="Tahoma" w:cs="Tahoma"/>
      <w:sz w:val="8"/>
      <w:szCs w:val="8"/>
    </w:rPr>
  </w:style>
  <w:style w:type="paragraph" w:customStyle="1" w:styleId="xl100">
    <w:name w:val="xl100"/>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Tahoma" w:hAnsi="Tahoma" w:cs="Tahoma"/>
      <w:sz w:val="8"/>
      <w:szCs w:val="8"/>
    </w:rPr>
  </w:style>
  <w:style w:type="paragraph" w:customStyle="1" w:styleId="xl101">
    <w:name w:val="xl101"/>
    <w:basedOn w:val="Normal"/>
    <w:rsid w:val="00503E80"/>
    <w:pPr>
      <w:pBdr>
        <w:top w:val="single" w:sz="4" w:space="0" w:color="auto"/>
        <w:left w:val="single" w:sz="4" w:space="12" w:color="auto"/>
        <w:bottom w:val="single" w:sz="4" w:space="0" w:color="auto"/>
        <w:right w:val="single" w:sz="4" w:space="0" w:color="auto"/>
      </w:pBdr>
      <w:shd w:val="clear" w:color="000000" w:fill="CCC0DA"/>
      <w:spacing w:before="100" w:beforeAutospacing="1" w:after="100" w:afterAutospacing="1"/>
      <w:ind w:firstLineChars="200" w:firstLine="200"/>
      <w:textAlignment w:val="top"/>
    </w:pPr>
    <w:rPr>
      <w:rFonts w:ascii="Tahoma" w:hAnsi="Tahoma" w:cs="Tahoma"/>
      <w:sz w:val="8"/>
      <w:szCs w:val="8"/>
    </w:rPr>
  </w:style>
  <w:style w:type="paragraph" w:customStyle="1" w:styleId="xl102">
    <w:name w:val="xl102"/>
    <w:basedOn w:val="Normal"/>
    <w:rsid w:val="00503E80"/>
    <w:pPr>
      <w:pBdr>
        <w:top w:val="single" w:sz="4" w:space="0" w:color="auto"/>
        <w:left w:val="single" w:sz="4" w:space="18" w:color="auto"/>
        <w:bottom w:val="single" w:sz="4" w:space="0" w:color="auto"/>
        <w:right w:val="single" w:sz="4" w:space="0" w:color="auto"/>
      </w:pBdr>
      <w:shd w:val="clear" w:color="000000" w:fill="D7E4BC"/>
      <w:spacing w:before="100" w:beforeAutospacing="1" w:after="100" w:afterAutospacing="1"/>
      <w:ind w:firstLineChars="300" w:firstLine="300"/>
      <w:textAlignment w:val="top"/>
    </w:pPr>
    <w:rPr>
      <w:rFonts w:ascii="Tahoma" w:hAnsi="Tahoma" w:cs="Tahoma"/>
      <w:sz w:val="8"/>
      <w:szCs w:val="8"/>
    </w:rPr>
  </w:style>
  <w:style w:type="paragraph" w:customStyle="1" w:styleId="xl103">
    <w:name w:val="xl103"/>
    <w:basedOn w:val="Normal"/>
    <w:rsid w:val="00503E80"/>
    <w:pPr>
      <w:pBdr>
        <w:top w:val="single" w:sz="4" w:space="0" w:color="auto"/>
        <w:left w:val="single" w:sz="4" w:space="24" w:color="auto"/>
        <w:bottom w:val="single" w:sz="4" w:space="0" w:color="auto"/>
        <w:right w:val="single" w:sz="4" w:space="0" w:color="auto"/>
      </w:pBdr>
      <w:shd w:val="clear" w:color="000000" w:fill="D7E4BC"/>
      <w:spacing w:before="100" w:beforeAutospacing="1" w:after="100" w:afterAutospacing="1"/>
      <w:ind w:firstLineChars="400" w:firstLine="400"/>
      <w:textAlignment w:val="top"/>
    </w:pPr>
    <w:rPr>
      <w:rFonts w:ascii="Tahoma" w:hAnsi="Tahoma" w:cs="Tahoma"/>
      <w:sz w:val="8"/>
      <w:szCs w:val="8"/>
    </w:rPr>
  </w:style>
  <w:style w:type="paragraph" w:customStyle="1" w:styleId="xl104">
    <w:name w:val="xl104"/>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500" w:firstLine="500"/>
      <w:textAlignment w:val="top"/>
    </w:pPr>
    <w:rPr>
      <w:rFonts w:ascii="Tahoma" w:hAnsi="Tahoma" w:cs="Tahoma"/>
      <w:sz w:val="8"/>
      <w:szCs w:val="8"/>
    </w:rPr>
  </w:style>
  <w:style w:type="paragraph" w:customStyle="1" w:styleId="xl105">
    <w:name w:val="xl105"/>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600" w:firstLine="600"/>
      <w:textAlignment w:val="top"/>
    </w:pPr>
    <w:rPr>
      <w:rFonts w:ascii="Tahoma" w:hAnsi="Tahoma" w:cs="Tahoma"/>
      <w:sz w:val="8"/>
      <w:szCs w:val="8"/>
    </w:rPr>
  </w:style>
  <w:style w:type="paragraph" w:customStyle="1" w:styleId="xl106">
    <w:name w:val="xl106"/>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600" w:firstLine="600"/>
      <w:textAlignment w:val="top"/>
    </w:pPr>
    <w:rPr>
      <w:rFonts w:ascii="Tahoma" w:hAnsi="Tahoma" w:cs="Tahoma"/>
      <w:sz w:val="8"/>
      <w:szCs w:val="8"/>
    </w:rPr>
  </w:style>
  <w:style w:type="paragraph" w:customStyle="1" w:styleId="xl107">
    <w:name w:val="xl107"/>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ascii="Tahoma" w:hAnsi="Tahoma" w:cs="Tahoma"/>
      <w:sz w:val="8"/>
      <w:szCs w:val="8"/>
    </w:rPr>
  </w:style>
  <w:style w:type="paragraph" w:customStyle="1" w:styleId="xl108">
    <w:name w:val="xl108"/>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700" w:firstLine="700"/>
      <w:textAlignment w:val="top"/>
    </w:pPr>
    <w:rPr>
      <w:rFonts w:ascii="Tahoma" w:hAnsi="Tahoma" w:cs="Tahoma"/>
      <w:sz w:val="8"/>
      <w:szCs w:val="8"/>
    </w:rPr>
  </w:style>
  <w:style w:type="paragraph" w:customStyle="1" w:styleId="xl109">
    <w:name w:val="xl109"/>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800" w:firstLine="800"/>
      <w:textAlignment w:val="top"/>
    </w:pPr>
    <w:rPr>
      <w:rFonts w:ascii="Tahoma" w:hAnsi="Tahoma" w:cs="Tahoma"/>
      <w:sz w:val="8"/>
      <w:szCs w:val="8"/>
    </w:rPr>
  </w:style>
  <w:style w:type="paragraph" w:customStyle="1" w:styleId="xl110">
    <w:name w:val="xl110"/>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700" w:firstLine="700"/>
      <w:textAlignment w:val="top"/>
    </w:pPr>
    <w:rPr>
      <w:rFonts w:ascii="Tahoma" w:hAnsi="Tahoma" w:cs="Tahoma"/>
      <w:sz w:val="8"/>
      <w:szCs w:val="8"/>
    </w:rPr>
  </w:style>
  <w:style w:type="paragraph" w:customStyle="1" w:styleId="xl111">
    <w:name w:val="xl111"/>
    <w:basedOn w:val="Normal"/>
    <w:rsid w:val="00503E80"/>
    <w:pPr>
      <w:pBdr>
        <w:top w:val="single" w:sz="4" w:space="0" w:color="auto"/>
        <w:left w:val="single" w:sz="4" w:space="18" w:color="auto"/>
        <w:bottom w:val="single" w:sz="4" w:space="0" w:color="auto"/>
        <w:right w:val="single" w:sz="4" w:space="0" w:color="auto"/>
      </w:pBdr>
      <w:shd w:val="clear" w:color="000000" w:fill="CCC0DA"/>
      <w:spacing w:before="100" w:beforeAutospacing="1" w:after="100" w:afterAutospacing="1"/>
      <w:ind w:firstLineChars="300" w:firstLine="300"/>
      <w:textAlignment w:val="top"/>
    </w:pPr>
    <w:rPr>
      <w:rFonts w:ascii="Tahoma" w:hAnsi="Tahoma" w:cs="Tahoma"/>
      <w:sz w:val="8"/>
      <w:szCs w:val="8"/>
    </w:rPr>
  </w:style>
  <w:style w:type="paragraph" w:customStyle="1" w:styleId="xl112">
    <w:name w:val="xl112"/>
    <w:basedOn w:val="Normal"/>
    <w:rsid w:val="00503E80"/>
    <w:pPr>
      <w:pBdr>
        <w:top w:val="single" w:sz="4" w:space="0" w:color="auto"/>
        <w:left w:val="single" w:sz="4" w:space="24" w:color="auto"/>
        <w:bottom w:val="single" w:sz="4" w:space="0" w:color="auto"/>
        <w:right w:val="single" w:sz="4" w:space="0" w:color="auto"/>
      </w:pBdr>
      <w:shd w:val="clear" w:color="000000" w:fill="CCC0DA"/>
      <w:spacing w:before="100" w:beforeAutospacing="1" w:after="100" w:afterAutospacing="1"/>
      <w:ind w:firstLineChars="400" w:firstLine="400"/>
      <w:textAlignment w:val="top"/>
    </w:pPr>
    <w:rPr>
      <w:rFonts w:ascii="Tahoma" w:hAnsi="Tahoma" w:cs="Tahoma"/>
      <w:sz w:val="8"/>
      <w:szCs w:val="8"/>
    </w:rPr>
  </w:style>
  <w:style w:type="paragraph" w:customStyle="1" w:styleId="xl113">
    <w:name w:val="xl113"/>
    <w:basedOn w:val="Normal"/>
    <w:rsid w:val="00503E80"/>
    <w:pPr>
      <w:pBdr>
        <w:top w:val="single" w:sz="4" w:space="0" w:color="auto"/>
        <w:left w:val="single" w:sz="4" w:space="31" w:color="auto"/>
        <w:bottom w:val="single" w:sz="4" w:space="0" w:color="auto"/>
        <w:right w:val="single" w:sz="4" w:space="0" w:color="auto"/>
      </w:pBdr>
      <w:shd w:val="clear" w:color="000000" w:fill="CCC0DA"/>
      <w:spacing w:before="100" w:beforeAutospacing="1" w:after="100" w:afterAutospacing="1"/>
      <w:ind w:firstLineChars="500" w:firstLine="500"/>
      <w:textAlignment w:val="top"/>
    </w:pPr>
    <w:rPr>
      <w:rFonts w:ascii="Tahoma" w:hAnsi="Tahoma" w:cs="Tahoma"/>
      <w:sz w:val="8"/>
      <w:szCs w:val="8"/>
    </w:rPr>
  </w:style>
  <w:style w:type="paragraph" w:customStyle="1" w:styleId="xl114">
    <w:name w:val="xl114"/>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500" w:firstLine="500"/>
      <w:textAlignment w:val="top"/>
    </w:pPr>
    <w:rPr>
      <w:rFonts w:ascii="Tahoma" w:hAnsi="Tahoma" w:cs="Tahoma"/>
      <w:sz w:val="8"/>
      <w:szCs w:val="8"/>
    </w:rPr>
  </w:style>
  <w:style w:type="paragraph" w:customStyle="1" w:styleId="xl115">
    <w:name w:val="xl115"/>
    <w:basedOn w:val="Normal"/>
    <w:rsid w:val="00503E80"/>
    <w:pPr>
      <w:pBdr>
        <w:top w:val="single" w:sz="4" w:space="0" w:color="auto"/>
        <w:left w:val="single" w:sz="4" w:space="0" w:color="auto"/>
        <w:right w:val="single" w:sz="4" w:space="0" w:color="auto"/>
      </w:pBdr>
      <w:shd w:val="clear" w:color="000000" w:fill="CCC0DA"/>
      <w:spacing w:before="100" w:beforeAutospacing="1" w:after="100" w:afterAutospacing="1"/>
      <w:textAlignment w:val="top"/>
    </w:pPr>
    <w:rPr>
      <w:rFonts w:ascii="Tahoma" w:hAnsi="Tahoma" w:cs="Tahoma"/>
      <w:sz w:val="8"/>
      <w:szCs w:val="8"/>
    </w:rPr>
  </w:style>
  <w:style w:type="paragraph" w:customStyle="1" w:styleId="xl116">
    <w:name w:val="xl116"/>
    <w:basedOn w:val="Normal"/>
    <w:rsid w:val="00503E80"/>
    <w:pPr>
      <w:pBdr>
        <w:top w:val="single" w:sz="12"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17">
    <w:name w:val="xl117"/>
    <w:basedOn w:val="Normal"/>
    <w:rsid w:val="00503E80"/>
    <w:pPr>
      <w:pBdr>
        <w:top w:val="single" w:sz="12"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118">
    <w:name w:val="xl118"/>
    <w:basedOn w:val="Normal"/>
    <w:rsid w:val="00503E80"/>
    <w:pPr>
      <w:pBdr>
        <w:top w:val="single" w:sz="4" w:space="0" w:color="auto"/>
        <w:left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19">
    <w:name w:val="xl119"/>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600" w:firstLine="600"/>
      <w:textAlignment w:val="top"/>
    </w:pPr>
    <w:rPr>
      <w:rFonts w:ascii="Tahoma" w:hAnsi="Tahoma" w:cs="Tahoma"/>
      <w:sz w:val="8"/>
      <w:szCs w:val="8"/>
    </w:rPr>
  </w:style>
  <w:style w:type="paragraph" w:customStyle="1" w:styleId="xl120">
    <w:name w:val="xl120"/>
    <w:basedOn w:val="Normal"/>
    <w:rsid w:val="00503E80"/>
    <w:pPr>
      <w:pBdr>
        <w:top w:val="single" w:sz="12" w:space="0" w:color="auto"/>
        <w:left w:val="single" w:sz="4"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21">
    <w:name w:val="xl121"/>
    <w:basedOn w:val="Normal"/>
    <w:rsid w:val="00503E80"/>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Tahoma" w:hAnsi="Tahoma" w:cs="Tahoma"/>
      <w:b/>
      <w:bCs/>
      <w:sz w:val="8"/>
      <w:szCs w:val="8"/>
    </w:rPr>
  </w:style>
  <w:style w:type="paragraph" w:customStyle="1" w:styleId="xl122">
    <w:name w:val="xl122"/>
    <w:basedOn w:val="Normal"/>
    <w:rsid w:val="00503E80"/>
    <w:pPr>
      <w:pBdr>
        <w:top w:val="single" w:sz="4" w:space="0" w:color="auto"/>
        <w:left w:val="single" w:sz="4" w:space="18" w:color="auto"/>
        <w:bottom w:val="single" w:sz="4" w:space="0" w:color="auto"/>
        <w:right w:val="single" w:sz="4" w:space="0" w:color="auto"/>
      </w:pBdr>
      <w:shd w:val="clear" w:color="000000" w:fill="D7E4BC"/>
      <w:spacing w:before="100" w:beforeAutospacing="1" w:after="100" w:afterAutospacing="1"/>
      <w:ind w:firstLineChars="300" w:firstLine="300"/>
      <w:textAlignment w:val="top"/>
    </w:pPr>
    <w:rPr>
      <w:rFonts w:ascii="Tahoma" w:hAnsi="Tahoma" w:cs="Tahoma"/>
      <w:sz w:val="8"/>
      <w:szCs w:val="8"/>
    </w:rPr>
  </w:style>
  <w:style w:type="paragraph" w:customStyle="1" w:styleId="xl123">
    <w:name w:val="xl123"/>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500" w:firstLine="500"/>
      <w:textAlignment w:val="top"/>
    </w:pPr>
    <w:rPr>
      <w:rFonts w:ascii="Tahoma" w:hAnsi="Tahoma" w:cs="Tahoma"/>
      <w:sz w:val="8"/>
      <w:szCs w:val="8"/>
    </w:rPr>
  </w:style>
  <w:style w:type="paragraph" w:customStyle="1" w:styleId="xl124">
    <w:name w:val="xl124"/>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900" w:firstLine="900"/>
      <w:textAlignment w:val="top"/>
    </w:pPr>
    <w:rPr>
      <w:rFonts w:ascii="Tahoma" w:hAnsi="Tahoma" w:cs="Tahoma"/>
      <w:sz w:val="8"/>
      <w:szCs w:val="8"/>
    </w:rPr>
  </w:style>
  <w:style w:type="paragraph" w:customStyle="1" w:styleId="xl125">
    <w:name w:val="xl12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ascii="Tahoma" w:hAnsi="Tahoma" w:cs="Tahoma"/>
      <w:sz w:val="8"/>
      <w:szCs w:val="8"/>
    </w:rPr>
  </w:style>
  <w:style w:type="paragraph" w:customStyle="1" w:styleId="xl126">
    <w:name w:val="xl126"/>
    <w:basedOn w:val="Normal"/>
    <w:rsid w:val="00503E80"/>
    <w:pPr>
      <w:pBdr>
        <w:top w:val="single" w:sz="4" w:space="0" w:color="auto"/>
        <w:left w:val="single" w:sz="4" w:space="12" w:color="auto"/>
        <w:bottom w:val="single" w:sz="4" w:space="0" w:color="auto"/>
        <w:right w:val="single" w:sz="4" w:space="0" w:color="auto"/>
      </w:pBdr>
      <w:shd w:val="clear" w:color="000000" w:fill="D7E4BC"/>
      <w:spacing w:before="100" w:beforeAutospacing="1" w:after="100" w:afterAutospacing="1"/>
      <w:ind w:firstLineChars="200" w:firstLine="200"/>
      <w:textAlignment w:val="top"/>
    </w:pPr>
    <w:rPr>
      <w:rFonts w:ascii="Tahoma" w:hAnsi="Tahoma" w:cs="Tahoma"/>
      <w:sz w:val="8"/>
      <w:szCs w:val="8"/>
    </w:rPr>
  </w:style>
  <w:style w:type="paragraph" w:customStyle="1" w:styleId="xl127">
    <w:name w:val="xl127"/>
    <w:basedOn w:val="Normal"/>
    <w:rsid w:val="00503E80"/>
    <w:pPr>
      <w:pBdr>
        <w:top w:val="single" w:sz="4" w:space="0" w:color="auto"/>
        <w:left w:val="single" w:sz="4" w:space="24" w:color="auto"/>
        <w:bottom w:val="single" w:sz="4" w:space="0" w:color="auto"/>
        <w:right w:val="single" w:sz="4" w:space="0" w:color="auto"/>
      </w:pBdr>
      <w:shd w:val="clear" w:color="000000" w:fill="D7E4BC"/>
      <w:spacing w:before="100" w:beforeAutospacing="1" w:after="100" w:afterAutospacing="1"/>
      <w:ind w:firstLineChars="400" w:firstLine="400"/>
      <w:textAlignment w:val="top"/>
    </w:pPr>
    <w:rPr>
      <w:rFonts w:ascii="Tahoma" w:hAnsi="Tahoma" w:cs="Tahoma"/>
      <w:sz w:val="8"/>
      <w:szCs w:val="8"/>
    </w:rPr>
  </w:style>
  <w:style w:type="paragraph" w:customStyle="1" w:styleId="xl128">
    <w:name w:val="xl128"/>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500" w:firstLine="500"/>
    </w:pPr>
    <w:rPr>
      <w:rFonts w:ascii="Tahoma" w:hAnsi="Tahoma" w:cs="Tahoma"/>
      <w:sz w:val="8"/>
      <w:szCs w:val="8"/>
    </w:rPr>
  </w:style>
  <w:style w:type="paragraph" w:customStyle="1" w:styleId="xl129">
    <w:name w:val="xl129"/>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130">
    <w:name w:val="xl130"/>
    <w:basedOn w:val="Normal"/>
    <w:rsid w:val="00503E80"/>
    <w:pPr>
      <w:pBdr>
        <w:top w:val="single" w:sz="12"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131">
    <w:name w:val="xl131"/>
    <w:basedOn w:val="Normal"/>
    <w:rsid w:val="00503E80"/>
    <w:pPr>
      <w:shd w:val="clear" w:color="000000" w:fill="D7E4BC"/>
      <w:spacing w:before="100" w:beforeAutospacing="1" w:after="100" w:afterAutospacing="1"/>
      <w:textAlignment w:val="top"/>
    </w:pPr>
    <w:rPr>
      <w:rFonts w:ascii="Tahoma" w:hAnsi="Tahoma" w:cs="Tahoma"/>
      <w:sz w:val="8"/>
      <w:szCs w:val="8"/>
    </w:rPr>
  </w:style>
  <w:style w:type="paragraph" w:customStyle="1" w:styleId="xl132">
    <w:name w:val="xl132"/>
    <w:basedOn w:val="Normal"/>
    <w:rsid w:val="00503E80"/>
    <w:pPr>
      <w:shd w:val="clear" w:color="000000" w:fill="E6B9B8"/>
      <w:spacing w:before="100" w:beforeAutospacing="1" w:after="100" w:afterAutospacing="1"/>
    </w:pPr>
    <w:rPr>
      <w:rFonts w:ascii="Tahoma" w:hAnsi="Tahoma" w:cs="Tahoma"/>
      <w:sz w:val="8"/>
      <w:szCs w:val="8"/>
    </w:rPr>
  </w:style>
  <w:style w:type="paragraph" w:customStyle="1" w:styleId="xl133">
    <w:name w:val="xl133"/>
    <w:basedOn w:val="Normal"/>
    <w:rsid w:val="00503E80"/>
    <w:pPr>
      <w:pBdr>
        <w:top w:val="single" w:sz="12"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Tahoma" w:hAnsi="Tahoma" w:cs="Tahoma"/>
      <w:sz w:val="8"/>
      <w:szCs w:val="8"/>
    </w:rPr>
  </w:style>
  <w:style w:type="paragraph" w:customStyle="1" w:styleId="xl134">
    <w:name w:val="xl134"/>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000" w:firstLine="1000"/>
      <w:textAlignment w:val="top"/>
    </w:pPr>
    <w:rPr>
      <w:rFonts w:ascii="Tahoma" w:hAnsi="Tahoma" w:cs="Tahoma"/>
      <w:sz w:val="8"/>
      <w:szCs w:val="8"/>
    </w:rPr>
  </w:style>
  <w:style w:type="paragraph" w:customStyle="1" w:styleId="xl135">
    <w:name w:val="xl135"/>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cs="Arial"/>
      <w:sz w:val="8"/>
      <w:szCs w:val="8"/>
    </w:rPr>
  </w:style>
  <w:style w:type="paragraph" w:customStyle="1" w:styleId="xl136">
    <w:name w:val="xl136"/>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cs="Arial"/>
      <w:sz w:val="8"/>
      <w:szCs w:val="8"/>
    </w:rPr>
  </w:style>
  <w:style w:type="paragraph" w:customStyle="1" w:styleId="xl137">
    <w:name w:val="xl137"/>
    <w:basedOn w:val="Normal"/>
    <w:rsid w:val="00503E80"/>
    <w:pPr>
      <w:pBdr>
        <w:top w:val="single" w:sz="12" w:space="0" w:color="auto"/>
        <w:left w:val="single" w:sz="4" w:space="0" w:color="auto"/>
        <w:bottom w:val="single" w:sz="12" w:space="0" w:color="auto"/>
        <w:right w:val="single" w:sz="4" w:space="0" w:color="auto"/>
      </w:pBdr>
      <w:shd w:val="clear" w:color="000000" w:fill="D7E4BC"/>
      <w:spacing w:before="100" w:beforeAutospacing="1" w:after="100" w:afterAutospacing="1"/>
      <w:textAlignment w:val="top"/>
    </w:pPr>
    <w:rPr>
      <w:rFonts w:ascii="Tahoma" w:hAnsi="Tahoma" w:cs="Tahoma"/>
      <w:sz w:val="8"/>
      <w:szCs w:val="8"/>
    </w:rPr>
  </w:style>
  <w:style w:type="paragraph" w:customStyle="1" w:styleId="xl138">
    <w:name w:val="xl138"/>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100" w:firstLine="1100"/>
      <w:textAlignment w:val="top"/>
    </w:pPr>
    <w:rPr>
      <w:rFonts w:ascii="Tahoma" w:hAnsi="Tahoma" w:cs="Tahoma"/>
      <w:sz w:val="8"/>
      <w:szCs w:val="8"/>
    </w:rPr>
  </w:style>
  <w:style w:type="paragraph" w:customStyle="1" w:styleId="xl139">
    <w:name w:val="xl139"/>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800" w:firstLine="800"/>
      <w:textAlignment w:val="top"/>
    </w:pPr>
    <w:rPr>
      <w:rFonts w:ascii="Tahoma" w:hAnsi="Tahoma" w:cs="Tahoma"/>
      <w:sz w:val="8"/>
      <w:szCs w:val="8"/>
    </w:rPr>
  </w:style>
  <w:style w:type="paragraph" w:customStyle="1" w:styleId="xl140">
    <w:name w:val="xl140"/>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700" w:firstLine="700"/>
      <w:textAlignment w:val="top"/>
    </w:pPr>
    <w:rPr>
      <w:rFonts w:ascii="Tahoma" w:hAnsi="Tahoma" w:cs="Tahoma"/>
      <w:sz w:val="8"/>
      <w:szCs w:val="8"/>
    </w:rPr>
  </w:style>
  <w:style w:type="paragraph" w:customStyle="1" w:styleId="xl141">
    <w:name w:val="xl141"/>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900" w:firstLine="900"/>
      <w:textAlignment w:val="top"/>
    </w:pPr>
    <w:rPr>
      <w:rFonts w:ascii="Tahoma" w:hAnsi="Tahoma" w:cs="Tahoma"/>
      <w:sz w:val="8"/>
      <w:szCs w:val="8"/>
    </w:rPr>
  </w:style>
  <w:style w:type="paragraph" w:customStyle="1" w:styleId="xl142">
    <w:name w:val="xl142"/>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000" w:firstLine="1000"/>
      <w:textAlignment w:val="top"/>
    </w:pPr>
    <w:rPr>
      <w:rFonts w:ascii="Tahoma" w:hAnsi="Tahoma" w:cs="Tahoma"/>
      <w:sz w:val="8"/>
      <w:szCs w:val="8"/>
    </w:rPr>
  </w:style>
  <w:style w:type="paragraph" w:customStyle="1" w:styleId="xl143">
    <w:name w:val="xl143"/>
    <w:basedOn w:val="Normal"/>
    <w:rsid w:val="00503E80"/>
    <w:pPr>
      <w:pBdr>
        <w:top w:val="single" w:sz="4" w:space="0" w:color="auto"/>
        <w:left w:val="single" w:sz="4" w:space="31" w:color="auto"/>
        <w:bottom w:val="single" w:sz="4" w:space="0" w:color="auto"/>
        <w:right w:val="single" w:sz="4" w:space="0" w:color="auto"/>
      </w:pBdr>
      <w:shd w:val="clear" w:color="000000" w:fill="D7E4BC"/>
      <w:spacing w:before="100" w:beforeAutospacing="1" w:after="100" w:afterAutospacing="1"/>
      <w:ind w:firstLineChars="1200" w:firstLine="1200"/>
      <w:textAlignment w:val="top"/>
    </w:pPr>
    <w:rPr>
      <w:rFonts w:ascii="Tahoma" w:hAnsi="Tahoma" w:cs="Tahoma"/>
      <w:sz w:val="8"/>
      <w:szCs w:val="8"/>
    </w:rPr>
  </w:style>
  <w:style w:type="paragraph" w:customStyle="1" w:styleId="xl144">
    <w:name w:val="xl144"/>
    <w:basedOn w:val="Normal"/>
    <w:rsid w:val="00503E80"/>
    <w:pPr>
      <w:pBdr>
        <w:top w:val="single" w:sz="4" w:space="0" w:color="auto"/>
        <w:left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145">
    <w:name w:val="xl145"/>
    <w:basedOn w:val="Normal"/>
    <w:rsid w:val="00503E80"/>
    <w:pPr>
      <w:pBdr>
        <w:top w:val="single" w:sz="4" w:space="0" w:color="auto"/>
        <w:left w:val="single" w:sz="4" w:space="31" w:color="auto"/>
        <w:bottom w:val="single" w:sz="4" w:space="0" w:color="auto"/>
        <w:right w:val="single" w:sz="4" w:space="0" w:color="auto"/>
      </w:pBdr>
      <w:shd w:val="clear" w:color="000000" w:fill="E6B9B8"/>
      <w:spacing w:before="100" w:beforeAutospacing="1" w:after="100" w:afterAutospacing="1"/>
      <w:ind w:firstLineChars="900" w:firstLine="900"/>
      <w:textAlignment w:val="top"/>
    </w:pPr>
    <w:rPr>
      <w:rFonts w:ascii="Tahoma" w:hAnsi="Tahoma" w:cs="Tahoma"/>
      <w:sz w:val="8"/>
      <w:szCs w:val="8"/>
    </w:rPr>
  </w:style>
  <w:style w:type="paragraph" w:customStyle="1" w:styleId="xl146">
    <w:name w:val="xl146"/>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ahoma" w:hAnsi="Tahoma" w:cs="Tahoma"/>
      <w:sz w:val="8"/>
      <w:szCs w:val="8"/>
    </w:rPr>
  </w:style>
  <w:style w:type="paragraph" w:customStyle="1" w:styleId="xl147">
    <w:name w:val="xl147"/>
    <w:basedOn w:val="Normal"/>
    <w:rsid w:val="00503E80"/>
    <w:pPr>
      <w:pBdr>
        <w:top w:val="single" w:sz="4" w:space="0" w:color="auto"/>
        <w:left w:val="single" w:sz="4" w:space="18" w:color="auto"/>
        <w:bottom w:val="single" w:sz="4" w:space="0" w:color="auto"/>
        <w:right w:val="single" w:sz="4" w:space="0" w:color="auto"/>
      </w:pBdr>
      <w:shd w:val="clear" w:color="000000" w:fill="E6B9B8"/>
      <w:spacing w:before="100" w:beforeAutospacing="1" w:after="100" w:afterAutospacing="1"/>
      <w:ind w:firstLineChars="300" w:firstLine="300"/>
      <w:textAlignment w:val="top"/>
    </w:pPr>
    <w:rPr>
      <w:rFonts w:ascii="Tahoma" w:hAnsi="Tahoma" w:cs="Tahoma"/>
      <w:sz w:val="8"/>
      <w:szCs w:val="8"/>
    </w:rPr>
  </w:style>
  <w:style w:type="paragraph" w:customStyle="1" w:styleId="xl148">
    <w:name w:val="xl148"/>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cs="Arial"/>
      <w:sz w:val="8"/>
      <w:szCs w:val="8"/>
    </w:rPr>
  </w:style>
  <w:style w:type="paragraph" w:customStyle="1" w:styleId="xl149">
    <w:name w:val="xl149"/>
    <w:basedOn w:val="Normal"/>
    <w:rsid w:val="00503E8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cs="Arial"/>
      <w:sz w:val="8"/>
      <w:szCs w:val="8"/>
    </w:rPr>
  </w:style>
  <w:style w:type="paragraph" w:customStyle="1" w:styleId="xl150">
    <w:name w:val="xl150"/>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sz w:val="8"/>
      <w:szCs w:val="8"/>
    </w:rPr>
  </w:style>
  <w:style w:type="paragraph" w:customStyle="1" w:styleId="xl151">
    <w:name w:val="xl151"/>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ahoma" w:hAnsi="Tahoma" w:cs="Tahoma"/>
      <w:sz w:val="8"/>
      <w:szCs w:val="8"/>
    </w:rPr>
  </w:style>
  <w:style w:type="paragraph" w:customStyle="1" w:styleId="xl152">
    <w:name w:val="xl152"/>
    <w:basedOn w:val="Normal"/>
    <w:rsid w:val="00503E80"/>
    <w:pPr>
      <w:pBdr>
        <w:top w:val="single" w:sz="4" w:space="0" w:color="auto"/>
        <w:left w:val="single" w:sz="4" w:space="6" w:color="auto"/>
        <w:bottom w:val="single" w:sz="4" w:space="0" w:color="auto"/>
        <w:right w:val="single" w:sz="4" w:space="0" w:color="auto"/>
      </w:pBdr>
      <w:shd w:val="clear" w:color="000000" w:fill="E6B9B8"/>
      <w:spacing w:before="100" w:beforeAutospacing="1" w:after="100" w:afterAutospacing="1"/>
      <w:ind w:firstLineChars="100" w:firstLine="100"/>
      <w:textAlignment w:val="top"/>
    </w:pPr>
    <w:rPr>
      <w:rFonts w:ascii="Tahoma" w:hAnsi="Tahoma" w:cs="Tahoma"/>
      <w:sz w:val="8"/>
      <w:szCs w:val="8"/>
    </w:rPr>
  </w:style>
  <w:style w:type="paragraph" w:customStyle="1" w:styleId="xl153">
    <w:name w:val="xl153"/>
    <w:basedOn w:val="Normal"/>
    <w:rsid w:val="00503E80"/>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rFonts w:ascii="Tahoma" w:hAnsi="Tahoma" w:cs="Tahoma"/>
      <w:sz w:val="8"/>
      <w:szCs w:val="8"/>
    </w:rPr>
  </w:style>
  <w:style w:type="paragraph" w:styleId="TOCHeading">
    <w:name w:val="TOC Heading"/>
    <w:basedOn w:val="Heading1"/>
    <w:next w:val="Normal"/>
    <w:uiPriority w:val="39"/>
    <w:semiHidden/>
    <w:unhideWhenUsed/>
    <w:qFormat/>
    <w:rsid w:val="007C3C40"/>
    <w:pPr>
      <w:keepLines/>
      <w:pageBreakBefore w:val="0"/>
      <w:numPr>
        <w:numId w:val="0"/>
      </w:numPr>
      <w:spacing w:before="480" w:after="0" w:line="276" w:lineRule="auto"/>
      <w:outlineLvl w:val="9"/>
    </w:pPr>
    <w:rPr>
      <w:rFonts w:asciiTheme="majorHAnsi" w:eastAsiaTheme="majorEastAsia" w:hAnsiTheme="majorHAnsi" w:cstheme="majorBidi"/>
      <w:b/>
      <w:caps w:val="0"/>
      <w:color w:val="365F91" w:themeColor="accent1" w:themeShade="BF"/>
      <w:kern w:val="0"/>
      <w:sz w:val="28"/>
      <w:szCs w:val="28"/>
      <w:lang w:val="en-US" w:eastAsia="ja-JP"/>
    </w:rPr>
  </w:style>
  <w:style w:type="character" w:styleId="UnresolvedMention">
    <w:name w:val="Unresolved Mention"/>
    <w:basedOn w:val="DefaultParagraphFont"/>
    <w:uiPriority w:val="99"/>
    <w:semiHidden/>
    <w:unhideWhenUsed/>
    <w:rsid w:val="00770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4223">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9989576">
      <w:bodyDiv w:val="1"/>
      <w:marLeft w:val="0"/>
      <w:marRight w:val="0"/>
      <w:marTop w:val="0"/>
      <w:marBottom w:val="0"/>
      <w:divBdr>
        <w:top w:val="none" w:sz="0" w:space="0" w:color="auto"/>
        <w:left w:val="none" w:sz="0" w:space="0" w:color="auto"/>
        <w:bottom w:val="none" w:sz="0" w:space="0" w:color="auto"/>
        <w:right w:val="none" w:sz="0" w:space="0" w:color="auto"/>
      </w:divBdr>
    </w:div>
    <w:div w:id="91823699">
      <w:bodyDiv w:val="1"/>
      <w:marLeft w:val="0"/>
      <w:marRight w:val="0"/>
      <w:marTop w:val="0"/>
      <w:marBottom w:val="0"/>
      <w:divBdr>
        <w:top w:val="none" w:sz="0" w:space="0" w:color="auto"/>
        <w:left w:val="none" w:sz="0" w:space="0" w:color="auto"/>
        <w:bottom w:val="none" w:sz="0" w:space="0" w:color="auto"/>
        <w:right w:val="none" w:sz="0" w:space="0" w:color="auto"/>
      </w:divBdr>
    </w:div>
    <w:div w:id="120923454">
      <w:bodyDiv w:val="1"/>
      <w:marLeft w:val="0"/>
      <w:marRight w:val="0"/>
      <w:marTop w:val="0"/>
      <w:marBottom w:val="0"/>
      <w:divBdr>
        <w:top w:val="none" w:sz="0" w:space="0" w:color="auto"/>
        <w:left w:val="none" w:sz="0" w:space="0" w:color="auto"/>
        <w:bottom w:val="none" w:sz="0" w:space="0" w:color="auto"/>
        <w:right w:val="none" w:sz="0" w:space="0" w:color="auto"/>
      </w:divBdr>
      <w:divsChild>
        <w:div w:id="400564023">
          <w:marLeft w:val="0"/>
          <w:marRight w:val="0"/>
          <w:marTop w:val="0"/>
          <w:marBottom w:val="0"/>
          <w:divBdr>
            <w:top w:val="none" w:sz="0" w:space="0" w:color="auto"/>
            <w:left w:val="none" w:sz="0" w:space="0" w:color="auto"/>
            <w:bottom w:val="none" w:sz="0" w:space="0" w:color="auto"/>
            <w:right w:val="none" w:sz="0" w:space="0" w:color="auto"/>
          </w:divBdr>
          <w:divsChild>
            <w:div w:id="1192256836">
              <w:marLeft w:val="0"/>
              <w:marRight w:val="0"/>
              <w:marTop w:val="0"/>
              <w:marBottom w:val="0"/>
              <w:divBdr>
                <w:top w:val="none" w:sz="0" w:space="0" w:color="auto"/>
                <w:left w:val="none" w:sz="0" w:space="0" w:color="auto"/>
                <w:bottom w:val="double" w:sz="6" w:space="1" w:color="auto"/>
                <w:right w:val="none" w:sz="0" w:space="0" w:color="auto"/>
              </w:divBdr>
            </w:div>
          </w:divsChild>
        </w:div>
      </w:divsChild>
    </w:div>
    <w:div w:id="148987655">
      <w:bodyDiv w:val="1"/>
      <w:marLeft w:val="0"/>
      <w:marRight w:val="0"/>
      <w:marTop w:val="0"/>
      <w:marBottom w:val="0"/>
      <w:divBdr>
        <w:top w:val="none" w:sz="0" w:space="0" w:color="auto"/>
        <w:left w:val="none" w:sz="0" w:space="0" w:color="auto"/>
        <w:bottom w:val="none" w:sz="0" w:space="0" w:color="auto"/>
        <w:right w:val="none" w:sz="0" w:space="0" w:color="auto"/>
      </w:divBdr>
    </w:div>
    <w:div w:id="179197495">
      <w:bodyDiv w:val="1"/>
      <w:marLeft w:val="0"/>
      <w:marRight w:val="0"/>
      <w:marTop w:val="0"/>
      <w:marBottom w:val="0"/>
      <w:divBdr>
        <w:top w:val="none" w:sz="0" w:space="0" w:color="auto"/>
        <w:left w:val="none" w:sz="0" w:space="0" w:color="auto"/>
        <w:bottom w:val="none" w:sz="0" w:space="0" w:color="auto"/>
        <w:right w:val="none" w:sz="0" w:space="0" w:color="auto"/>
      </w:divBdr>
    </w:div>
    <w:div w:id="192424029">
      <w:bodyDiv w:val="1"/>
      <w:marLeft w:val="0"/>
      <w:marRight w:val="0"/>
      <w:marTop w:val="0"/>
      <w:marBottom w:val="0"/>
      <w:divBdr>
        <w:top w:val="none" w:sz="0" w:space="0" w:color="auto"/>
        <w:left w:val="none" w:sz="0" w:space="0" w:color="auto"/>
        <w:bottom w:val="none" w:sz="0" w:space="0" w:color="auto"/>
        <w:right w:val="none" w:sz="0" w:space="0" w:color="auto"/>
      </w:divBdr>
    </w:div>
    <w:div w:id="235405758">
      <w:bodyDiv w:val="1"/>
      <w:marLeft w:val="0"/>
      <w:marRight w:val="0"/>
      <w:marTop w:val="0"/>
      <w:marBottom w:val="0"/>
      <w:divBdr>
        <w:top w:val="none" w:sz="0" w:space="0" w:color="auto"/>
        <w:left w:val="none" w:sz="0" w:space="0" w:color="auto"/>
        <w:bottom w:val="none" w:sz="0" w:space="0" w:color="auto"/>
        <w:right w:val="none" w:sz="0" w:space="0" w:color="auto"/>
      </w:divBdr>
    </w:div>
    <w:div w:id="244344181">
      <w:bodyDiv w:val="1"/>
      <w:marLeft w:val="0"/>
      <w:marRight w:val="0"/>
      <w:marTop w:val="0"/>
      <w:marBottom w:val="0"/>
      <w:divBdr>
        <w:top w:val="none" w:sz="0" w:space="0" w:color="auto"/>
        <w:left w:val="none" w:sz="0" w:space="0" w:color="auto"/>
        <w:bottom w:val="none" w:sz="0" w:space="0" w:color="auto"/>
        <w:right w:val="none" w:sz="0" w:space="0" w:color="auto"/>
      </w:divBdr>
      <w:divsChild>
        <w:div w:id="634408692">
          <w:marLeft w:val="0"/>
          <w:marRight w:val="0"/>
          <w:marTop w:val="0"/>
          <w:marBottom w:val="0"/>
          <w:divBdr>
            <w:top w:val="none" w:sz="0" w:space="0" w:color="auto"/>
            <w:left w:val="none" w:sz="0" w:space="0" w:color="auto"/>
            <w:bottom w:val="none" w:sz="0" w:space="0" w:color="auto"/>
            <w:right w:val="none" w:sz="0" w:space="0" w:color="auto"/>
          </w:divBdr>
          <w:divsChild>
            <w:div w:id="1205217360">
              <w:marLeft w:val="0"/>
              <w:marRight w:val="0"/>
              <w:marTop w:val="0"/>
              <w:marBottom w:val="0"/>
              <w:divBdr>
                <w:top w:val="none" w:sz="0" w:space="0" w:color="auto"/>
                <w:left w:val="none" w:sz="0" w:space="0" w:color="auto"/>
                <w:bottom w:val="double" w:sz="6" w:space="1" w:color="auto"/>
                <w:right w:val="none" w:sz="0" w:space="0" w:color="auto"/>
              </w:divBdr>
            </w:div>
          </w:divsChild>
        </w:div>
      </w:divsChild>
    </w:div>
    <w:div w:id="269433191">
      <w:bodyDiv w:val="1"/>
      <w:marLeft w:val="0"/>
      <w:marRight w:val="0"/>
      <w:marTop w:val="0"/>
      <w:marBottom w:val="0"/>
      <w:divBdr>
        <w:top w:val="none" w:sz="0" w:space="0" w:color="auto"/>
        <w:left w:val="none" w:sz="0" w:space="0" w:color="auto"/>
        <w:bottom w:val="none" w:sz="0" w:space="0" w:color="auto"/>
        <w:right w:val="none" w:sz="0" w:space="0" w:color="auto"/>
      </w:divBdr>
      <w:divsChild>
        <w:div w:id="1155531650">
          <w:marLeft w:val="547"/>
          <w:marRight w:val="0"/>
          <w:marTop w:val="0"/>
          <w:marBottom w:val="0"/>
          <w:divBdr>
            <w:top w:val="none" w:sz="0" w:space="0" w:color="auto"/>
            <w:left w:val="none" w:sz="0" w:space="0" w:color="auto"/>
            <w:bottom w:val="none" w:sz="0" w:space="0" w:color="auto"/>
            <w:right w:val="none" w:sz="0" w:space="0" w:color="auto"/>
          </w:divBdr>
        </w:div>
      </w:divsChild>
    </w:div>
    <w:div w:id="284045459">
      <w:bodyDiv w:val="1"/>
      <w:marLeft w:val="0"/>
      <w:marRight w:val="0"/>
      <w:marTop w:val="0"/>
      <w:marBottom w:val="0"/>
      <w:divBdr>
        <w:top w:val="none" w:sz="0" w:space="0" w:color="auto"/>
        <w:left w:val="none" w:sz="0" w:space="0" w:color="auto"/>
        <w:bottom w:val="none" w:sz="0" w:space="0" w:color="auto"/>
        <w:right w:val="none" w:sz="0" w:space="0" w:color="auto"/>
      </w:divBdr>
    </w:div>
    <w:div w:id="358437960">
      <w:bodyDiv w:val="1"/>
      <w:marLeft w:val="0"/>
      <w:marRight w:val="0"/>
      <w:marTop w:val="0"/>
      <w:marBottom w:val="0"/>
      <w:divBdr>
        <w:top w:val="none" w:sz="0" w:space="0" w:color="auto"/>
        <w:left w:val="none" w:sz="0" w:space="0" w:color="auto"/>
        <w:bottom w:val="none" w:sz="0" w:space="0" w:color="auto"/>
        <w:right w:val="none" w:sz="0" w:space="0" w:color="auto"/>
      </w:divBdr>
    </w:div>
    <w:div w:id="431824401">
      <w:bodyDiv w:val="1"/>
      <w:marLeft w:val="0"/>
      <w:marRight w:val="0"/>
      <w:marTop w:val="0"/>
      <w:marBottom w:val="0"/>
      <w:divBdr>
        <w:top w:val="none" w:sz="0" w:space="0" w:color="auto"/>
        <w:left w:val="none" w:sz="0" w:space="0" w:color="auto"/>
        <w:bottom w:val="none" w:sz="0" w:space="0" w:color="auto"/>
        <w:right w:val="none" w:sz="0" w:space="0" w:color="auto"/>
      </w:divBdr>
    </w:div>
    <w:div w:id="450058702">
      <w:bodyDiv w:val="1"/>
      <w:marLeft w:val="0"/>
      <w:marRight w:val="0"/>
      <w:marTop w:val="0"/>
      <w:marBottom w:val="0"/>
      <w:divBdr>
        <w:top w:val="none" w:sz="0" w:space="0" w:color="auto"/>
        <w:left w:val="none" w:sz="0" w:space="0" w:color="auto"/>
        <w:bottom w:val="none" w:sz="0" w:space="0" w:color="auto"/>
        <w:right w:val="none" w:sz="0" w:space="0" w:color="auto"/>
      </w:divBdr>
    </w:div>
    <w:div w:id="473186012">
      <w:bodyDiv w:val="1"/>
      <w:marLeft w:val="0"/>
      <w:marRight w:val="0"/>
      <w:marTop w:val="0"/>
      <w:marBottom w:val="0"/>
      <w:divBdr>
        <w:top w:val="none" w:sz="0" w:space="0" w:color="auto"/>
        <w:left w:val="none" w:sz="0" w:space="0" w:color="auto"/>
        <w:bottom w:val="none" w:sz="0" w:space="0" w:color="auto"/>
        <w:right w:val="none" w:sz="0" w:space="0" w:color="auto"/>
      </w:divBdr>
      <w:divsChild>
        <w:div w:id="1774400416">
          <w:marLeft w:val="547"/>
          <w:marRight w:val="0"/>
          <w:marTop w:val="0"/>
          <w:marBottom w:val="0"/>
          <w:divBdr>
            <w:top w:val="none" w:sz="0" w:space="0" w:color="auto"/>
            <w:left w:val="none" w:sz="0" w:space="0" w:color="auto"/>
            <w:bottom w:val="none" w:sz="0" w:space="0" w:color="auto"/>
            <w:right w:val="none" w:sz="0" w:space="0" w:color="auto"/>
          </w:divBdr>
        </w:div>
      </w:divsChild>
    </w:div>
    <w:div w:id="496657083">
      <w:bodyDiv w:val="1"/>
      <w:marLeft w:val="0"/>
      <w:marRight w:val="0"/>
      <w:marTop w:val="0"/>
      <w:marBottom w:val="0"/>
      <w:divBdr>
        <w:top w:val="none" w:sz="0" w:space="0" w:color="auto"/>
        <w:left w:val="none" w:sz="0" w:space="0" w:color="auto"/>
        <w:bottom w:val="none" w:sz="0" w:space="0" w:color="auto"/>
        <w:right w:val="none" w:sz="0" w:space="0" w:color="auto"/>
      </w:divBdr>
    </w:div>
    <w:div w:id="500703640">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78194561">
      <w:bodyDiv w:val="1"/>
      <w:marLeft w:val="0"/>
      <w:marRight w:val="0"/>
      <w:marTop w:val="0"/>
      <w:marBottom w:val="0"/>
      <w:divBdr>
        <w:top w:val="none" w:sz="0" w:space="0" w:color="auto"/>
        <w:left w:val="none" w:sz="0" w:space="0" w:color="auto"/>
        <w:bottom w:val="none" w:sz="0" w:space="0" w:color="auto"/>
        <w:right w:val="none" w:sz="0" w:space="0" w:color="auto"/>
      </w:divBdr>
    </w:div>
    <w:div w:id="711613456">
      <w:bodyDiv w:val="1"/>
      <w:marLeft w:val="0"/>
      <w:marRight w:val="0"/>
      <w:marTop w:val="0"/>
      <w:marBottom w:val="0"/>
      <w:divBdr>
        <w:top w:val="none" w:sz="0" w:space="0" w:color="auto"/>
        <w:left w:val="none" w:sz="0" w:space="0" w:color="auto"/>
        <w:bottom w:val="none" w:sz="0" w:space="0" w:color="auto"/>
        <w:right w:val="none" w:sz="0" w:space="0" w:color="auto"/>
      </w:divBdr>
    </w:div>
    <w:div w:id="720594627">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1580187">
      <w:bodyDiv w:val="1"/>
      <w:marLeft w:val="0"/>
      <w:marRight w:val="0"/>
      <w:marTop w:val="0"/>
      <w:marBottom w:val="0"/>
      <w:divBdr>
        <w:top w:val="none" w:sz="0" w:space="0" w:color="auto"/>
        <w:left w:val="none" w:sz="0" w:space="0" w:color="auto"/>
        <w:bottom w:val="none" w:sz="0" w:space="0" w:color="auto"/>
        <w:right w:val="none" w:sz="0" w:space="0" w:color="auto"/>
      </w:divBdr>
      <w:divsChild>
        <w:div w:id="1514802275">
          <w:marLeft w:val="547"/>
          <w:marRight w:val="0"/>
          <w:marTop w:val="0"/>
          <w:marBottom w:val="0"/>
          <w:divBdr>
            <w:top w:val="none" w:sz="0" w:space="0" w:color="auto"/>
            <w:left w:val="none" w:sz="0" w:space="0" w:color="auto"/>
            <w:bottom w:val="none" w:sz="0" w:space="0" w:color="auto"/>
            <w:right w:val="none" w:sz="0" w:space="0" w:color="auto"/>
          </w:divBdr>
        </w:div>
      </w:divsChild>
    </w:div>
    <w:div w:id="844513471">
      <w:bodyDiv w:val="1"/>
      <w:marLeft w:val="0"/>
      <w:marRight w:val="0"/>
      <w:marTop w:val="0"/>
      <w:marBottom w:val="0"/>
      <w:divBdr>
        <w:top w:val="none" w:sz="0" w:space="0" w:color="auto"/>
        <w:left w:val="none" w:sz="0" w:space="0" w:color="auto"/>
        <w:bottom w:val="none" w:sz="0" w:space="0" w:color="auto"/>
        <w:right w:val="none" w:sz="0" w:space="0" w:color="auto"/>
      </w:divBdr>
    </w:div>
    <w:div w:id="845940224">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370245">
      <w:bodyDiv w:val="1"/>
      <w:marLeft w:val="0"/>
      <w:marRight w:val="0"/>
      <w:marTop w:val="0"/>
      <w:marBottom w:val="0"/>
      <w:divBdr>
        <w:top w:val="none" w:sz="0" w:space="0" w:color="auto"/>
        <w:left w:val="none" w:sz="0" w:space="0" w:color="auto"/>
        <w:bottom w:val="none" w:sz="0" w:space="0" w:color="auto"/>
        <w:right w:val="none" w:sz="0" w:space="0" w:color="auto"/>
      </w:divBdr>
    </w:div>
    <w:div w:id="929387931">
      <w:bodyDiv w:val="1"/>
      <w:marLeft w:val="0"/>
      <w:marRight w:val="0"/>
      <w:marTop w:val="0"/>
      <w:marBottom w:val="0"/>
      <w:divBdr>
        <w:top w:val="none" w:sz="0" w:space="0" w:color="auto"/>
        <w:left w:val="none" w:sz="0" w:space="0" w:color="auto"/>
        <w:bottom w:val="none" w:sz="0" w:space="0" w:color="auto"/>
        <w:right w:val="none" w:sz="0" w:space="0" w:color="auto"/>
      </w:divBdr>
    </w:div>
    <w:div w:id="933587925">
      <w:bodyDiv w:val="1"/>
      <w:marLeft w:val="0"/>
      <w:marRight w:val="0"/>
      <w:marTop w:val="0"/>
      <w:marBottom w:val="0"/>
      <w:divBdr>
        <w:top w:val="none" w:sz="0" w:space="0" w:color="auto"/>
        <w:left w:val="none" w:sz="0" w:space="0" w:color="auto"/>
        <w:bottom w:val="none" w:sz="0" w:space="0" w:color="auto"/>
        <w:right w:val="none" w:sz="0" w:space="0" w:color="auto"/>
      </w:divBdr>
    </w:div>
    <w:div w:id="940063676">
      <w:bodyDiv w:val="1"/>
      <w:marLeft w:val="0"/>
      <w:marRight w:val="0"/>
      <w:marTop w:val="0"/>
      <w:marBottom w:val="0"/>
      <w:divBdr>
        <w:top w:val="none" w:sz="0" w:space="0" w:color="auto"/>
        <w:left w:val="none" w:sz="0" w:space="0" w:color="auto"/>
        <w:bottom w:val="none" w:sz="0" w:space="0" w:color="auto"/>
        <w:right w:val="none" w:sz="0" w:space="0" w:color="auto"/>
      </w:divBdr>
    </w:div>
    <w:div w:id="965702019">
      <w:bodyDiv w:val="1"/>
      <w:marLeft w:val="0"/>
      <w:marRight w:val="0"/>
      <w:marTop w:val="0"/>
      <w:marBottom w:val="0"/>
      <w:divBdr>
        <w:top w:val="none" w:sz="0" w:space="0" w:color="auto"/>
        <w:left w:val="none" w:sz="0" w:space="0" w:color="auto"/>
        <w:bottom w:val="none" w:sz="0" w:space="0" w:color="auto"/>
        <w:right w:val="none" w:sz="0" w:space="0" w:color="auto"/>
      </w:divBdr>
    </w:div>
    <w:div w:id="966931251">
      <w:bodyDiv w:val="1"/>
      <w:marLeft w:val="0"/>
      <w:marRight w:val="0"/>
      <w:marTop w:val="0"/>
      <w:marBottom w:val="0"/>
      <w:divBdr>
        <w:top w:val="none" w:sz="0" w:space="0" w:color="auto"/>
        <w:left w:val="none" w:sz="0" w:space="0" w:color="auto"/>
        <w:bottom w:val="none" w:sz="0" w:space="0" w:color="auto"/>
        <w:right w:val="none" w:sz="0" w:space="0" w:color="auto"/>
      </w:divBdr>
    </w:div>
    <w:div w:id="1022364447">
      <w:bodyDiv w:val="1"/>
      <w:marLeft w:val="0"/>
      <w:marRight w:val="0"/>
      <w:marTop w:val="0"/>
      <w:marBottom w:val="0"/>
      <w:divBdr>
        <w:top w:val="none" w:sz="0" w:space="0" w:color="auto"/>
        <w:left w:val="none" w:sz="0" w:space="0" w:color="auto"/>
        <w:bottom w:val="none" w:sz="0" w:space="0" w:color="auto"/>
        <w:right w:val="none" w:sz="0" w:space="0" w:color="auto"/>
      </w:divBdr>
    </w:div>
    <w:div w:id="1026102693">
      <w:bodyDiv w:val="1"/>
      <w:marLeft w:val="0"/>
      <w:marRight w:val="0"/>
      <w:marTop w:val="0"/>
      <w:marBottom w:val="0"/>
      <w:divBdr>
        <w:top w:val="none" w:sz="0" w:space="0" w:color="auto"/>
        <w:left w:val="none" w:sz="0" w:space="0" w:color="auto"/>
        <w:bottom w:val="none" w:sz="0" w:space="0" w:color="auto"/>
        <w:right w:val="none" w:sz="0" w:space="0" w:color="auto"/>
      </w:divBdr>
    </w:div>
    <w:div w:id="1026516339">
      <w:bodyDiv w:val="1"/>
      <w:marLeft w:val="0"/>
      <w:marRight w:val="0"/>
      <w:marTop w:val="0"/>
      <w:marBottom w:val="0"/>
      <w:divBdr>
        <w:top w:val="none" w:sz="0" w:space="0" w:color="auto"/>
        <w:left w:val="none" w:sz="0" w:space="0" w:color="auto"/>
        <w:bottom w:val="none" w:sz="0" w:space="0" w:color="auto"/>
        <w:right w:val="none" w:sz="0" w:space="0" w:color="auto"/>
      </w:divBdr>
    </w:div>
    <w:div w:id="1029067612">
      <w:bodyDiv w:val="1"/>
      <w:marLeft w:val="0"/>
      <w:marRight w:val="0"/>
      <w:marTop w:val="0"/>
      <w:marBottom w:val="0"/>
      <w:divBdr>
        <w:top w:val="none" w:sz="0" w:space="0" w:color="auto"/>
        <w:left w:val="none" w:sz="0" w:space="0" w:color="auto"/>
        <w:bottom w:val="none" w:sz="0" w:space="0" w:color="auto"/>
        <w:right w:val="none" w:sz="0" w:space="0" w:color="auto"/>
      </w:divBdr>
    </w:div>
    <w:div w:id="1069036032">
      <w:bodyDiv w:val="1"/>
      <w:marLeft w:val="0"/>
      <w:marRight w:val="0"/>
      <w:marTop w:val="0"/>
      <w:marBottom w:val="0"/>
      <w:divBdr>
        <w:top w:val="none" w:sz="0" w:space="0" w:color="auto"/>
        <w:left w:val="none" w:sz="0" w:space="0" w:color="auto"/>
        <w:bottom w:val="none" w:sz="0" w:space="0" w:color="auto"/>
        <w:right w:val="none" w:sz="0" w:space="0" w:color="auto"/>
      </w:divBdr>
    </w:div>
    <w:div w:id="1073088497">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45779332">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81431911">
      <w:bodyDiv w:val="1"/>
      <w:marLeft w:val="0"/>
      <w:marRight w:val="0"/>
      <w:marTop w:val="0"/>
      <w:marBottom w:val="0"/>
      <w:divBdr>
        <w:top w:val="none" w:sz="0" w:space="0" w:color="auto"/>
        <w:left w:val="none" w:sz="0" w:space="0" w:color="auto"/>
        <w:bottom w:val="none" w:sz="0" w:space="0" w:color="auto"/>
        <w:right w:val="none" w:sz="0" w:space="0" w:color="auto"/>
      </w:divBdr>
    </w:div>
    <w:div w:id="1203135384">
      <w:bodyDiv w:val="1"/>
      <w:marLeft w:val="0"/>
      <w:marRight w:val="0"/>
      <w:marTop w:val="0"/>
      <w:marBottom w:val="0"/>
      <w:divBdr>
        <w:top w:val="none" w:sz="0" w:space="0" w:color="auto"/>
        <w:left w:val="none" w:sz="0" w:space="0" w:color="auto"/>
        <w:bottom w:val="none" w:sz="0" w:space="0" w:color="auto"/>
        <w:right w:val="none" w:sz="0" w:space="0" w:color="auto"/>
      </w:divBdr>
    </w:div>
    <w:div w:id="1233199800">
      <w:bodyDiv w:val="1"/>
      <w:marLeft w:val="0"/>
      <w:marRight w:val="0"/>
      <w:marTop w:val="0"/>
      <w:marBottom w:val="0"/>
      <w:divBdr>
        <w:top w:val="none" w:sz="0" w:space="0" w:color="auto"/>
        <w:left w:val="none" w:sz="0" w:space="0" w:color="auto"/>
        <w:bottom w:val="none" w:sz="0" w:space="0" w:color="auto"/>
        <w:right w:val="none" w:sz="0" w:space="0" w:color="auto"/>
      </w:divBdr>
      <w:divsChild>
        <w:div w:id="1419671519">
          <w:marLeft w:val="547"/>
          <w:marRight w:val="0"/>
          <w:marTop w:val="0"/>
          <w:marBottom w:val="0"/>
          <w:divBdr>
            <w:top w:val="none" w:sz="0" w:space="0" w:color="auto"/>
            <w:left w:val="none" w:sz="0" w:space="0" w:color="auto"/>
            <w:bottom w:val="none" w:sz="0" w:space="0" w:color="auto"/>
            <w:right w:val="none" w:sz="0" w:space="0" w:color="auto"/>
          </w:divBdr>
        </w:div>
      </w:divsChild>
    </w:div>
    <w:div w:id="1245802950">
      <w:bodyDiv w:val="1"/>
      <w:marLeft w:val="0"/>
      <w:marRight w:val="0"/>
      <w:marTop w:val="0"/>
      <w:marBottom w:val="0"/>
      <w:divBdr>
        <w:top w:val="none" w:sz="0" w:space="0" w:color="auto"/>
        <w:left w:val="none" w:sz="0" w:space="0" w:color="auto"/>
        <w:bottom w:val="none" w:sz="0" w:space="0" w:color="auto"/>
        <w:right w:val="none" w:sz="0" w:space="0" w:color="auto"/>
      </w:divBdr>
    </w:div>
    <w:div w:id="1290697381">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78504219">
      <w:bodyDiv w:val="1"/>
      <w:marLeft w:val="0"/>
      <w:marRight w:val="0"/>
      <w:marTop w:val="0"/>
      <w:marBottom w:val="0"/>
      <w:divBdr>
        <w:top w:val="none" w:sz="0" w:space="0" w:color="auto"/>
        <w:left w:val="none" w:sz="0" w:space="0" w:color="auto"/>
        <w:bottom w:val="none" w:sz="0" w:space="0" w:color="auto"/>
        <w:right w:val="none" w:sz="0" w:space="0" w:color="auto"/>
      </w:divBdr>
    </w:div>
    <w:div w:id="1385522663">
      <w:bodyDiv w:val="1"/>
      <w:marLeft w:val="0"/>
      <w:marRight w:val="0"/>
      <w:marTop w:val="0"/>
      <w:marBottom w:val="0"/>
      <w:divBdr>
        <w:top w:val="none" w:sz="0" w:space="0" w:color="auto"/>
        <w:left w:val="none" w:sz="0" w:space="0" w:color="auto"/>
        <w:bottom w:val="none" w:sz="0" w:space="0" w:color="auto"/>
        <w:right w:val="none" w:sz="0" w:space="0" w:color="auto"/>
      </w:divBdr>
    </w:div>
    <w:div w:id="1404330664">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83692467">
      <w:bodyDiv w:val="1"/>
      <w:marLeft w:val="0"/>
      <w:marRight w:val="0"/>
      <w:marTop w:val="0"/>
      <w:marBottom w:val="0"/>
      <w:divBdr>
        <w:top w:val="none" w:sz="0" w:space="0" w:color="auto"/>
        <w:left w:val="none" w:sz="0" w:space="0" w:color="auto"/>
        <w:bottom w:val="none" w:sz="0" w:space="0" w:color="auto"/>
        <w:right w:val="none" w:sz="0" w:space="0" w:color="auto"/>
      </w:divBdr>
    </w:div>
    <w:div w:id="1490711126">
      <w:bodyDiv w:val="1"/>
      <w:marLeft w:val="0"/>
      <w:marRight w:val="0"/>
      <w:marTop w:val="0"/>
      <w:marBottom w:val="0"/>
      <w:divBdr>
        <w:top w:val="none" w:sz="0" w:space="0" w:color="auto"/>
        <w:left w:val="none" w:sz="0" w:space="0" w:color="auto"/>
        <w:bottom w:val="none" w:sz="0" w:space="0" w:color="auto"/>
        <w:right w:val="none" w:sz="0" w:space="0" w:color="auto"/>
      </w:divBdr>
    </w:div>
    <w:div w:id="1561163989">
      <w:bodyDiv w:val="1"/>
      <w:marLeft w:val="0"/>
      <w:marRight w:val="0"/>
      <w:marTop w:val="0"/>
      <w:marBottom w:val="0"/>
      <w:divBdr>
        <w:top w:val="none" w:sz="0" w:space="0" w:color="auto"/>
        <w:left w:val="none" w:sz="0" w:space="0" w:color="auto"/>
        <w:bottom w:val="none" w:sz="0" w:space="0" w:color="auto"/>
        <w:right w:val="none" w:sz="0" w:space="0" w:color="auto"/>
      </w:divBdr>
    </w:div>
    <w:div w:id="1599558052">
      <w:bodyDiv w:val="1"/>
      <w:marLeft w:val="0"/>
      <w:marRight w:val="0"/>
      <w:marTop w:val="0"/>
      <w:marBottom w:val="0"/>
      <w:divBdr>
        <w:top w:val="none" w:sz="0" w:space="0" w:color="auto"/>
        <w:left w:val="none" w:sz="0" w:space="0" w:color="auto"/>
        <w:bottom w:val="none" w:sz="0" w:space="0" w:color="auto"/>
        <w:right w:val="none" w:sz="0" w:space="0" w:color="auto"/>
      </w:divBdr>
    </w:div>
    <w:div w:id="1638292280">
      <w:bodyDiv w:val="1"/>
      <w:marLeft w:val="0"/>
      <w:marRight w:val="0"/>
      <w:marTop w:val="0"/>
      <w:marBottom w:val="0"/>
      <w:divBdr>
        <w:top w:val="none" w:sz="0" w:space="0" w:color="auto"/>
        <w:left w:val="none" w:sz="0" w:space="0" w:color="auto"/>
        <w:bottom w:val="none" w:sz="0" w:space="0" w:color="auto"/>
        <w:right w:val="none" w:sz="0" w:space="0" w:color="auto"/>
      </w:divBdr>
    </w:div>
    <w:div w:id="1665039416">
      <w:bodyDiv w:val="1"/>
      <w:marLeft w:val="0"/>
      <w:marRight w:val="0"/>
      <w:marTop w:val="0"/>
      <w:marBottom w:val="0"/>
      <w:divBdr>
        <w:top w:val="none" w:sz="0" w:space="0" w:color="auto"/>
        <w:left w:val="none" w:sz="0" w:space="0" w:color="auto"/>
        <w:bottom w:val="none" w:sz="0" w:space="0" w:color="auto"/>
        <w:right w:val="none" w:sz="0" w:space="0" w:color="auto"/>
      </w:divBdr>
    </w:div>
    <w:div w:id="1709838378">
      <w:bodyDiv w:val="1"/>
      <w:marLeft w:val="0"/>
      <w:marRight w:val="0"/>
      <w:marTop w:val="0"/>
      <w:marBottom w:val="0"/>
      <w:divBdr>
        <w:top w:val="none" w:sz="0" w:space="0" w:color="auto"/>
        <w:left w:val="none" w:sz="0" w:space="0" w:color="auto"/>
        <w:bottom w:val="none" w:sz="0" w:space="0" w:color="auto"/>
        <w:right w:val="none" w:sz="0" w:space="0" w:color="auto"/>
      </w:divBdr>
    </w:div>
    <w:div w:id="1724677102">
      <w:bodyDiv w:val="1"/>
      <w:marLeft w:val="0"/>
      <w:marRight w:val="0"/>
      <w:marTop w:val="0"/>
      <w:marBottom w:val="0"/>
      <w:divBdr>
        <w:top w:val="none" w:sz="0" w:space="0" w:color="auto"/>
        <w:left w:val="none" w:sz="0" w:space="0" w:color="auto"/>
        <w:bottom w:val="none" w:sz="0" w:space="0" w:color="auto"/>
        <w:right w:val="none" w:sz="0" w:space="0" w:color="auto"/>
      </w:divBdr>
    </w:div>
    <w:div w:id="1768193165">
      <w:bodyDiv w:val="1"/>
      <w:marLeft w:val="0"/>
      <w:marRight w:val="0"/>
      <w:marTop w:val="0"/>
      <w:marBottom w:val="0"/>
      <w:divBdr>
        <w:top w:val="none" w:sz="0" w:space="0" w:color="auto"/>
        <w:left w:val="none" w:sz="0" w:space="0" w:color="auto"/>
        <w:bottom w:val="none" w:sz="0" w:space="0" w:color="auto"/>
        <w:right w:val="none" w:sz="0" w:space="0" w:color="auto"/>
      </w:divBdr>
    </w:div>
    <w:div w:id="1773429587">
      <w:bodyDiv w:val="1"/>
      <w:marLeft w:val="0"/>
      <w:marRight w:val="0"/>
      <w:marTop w:val="0"/>
      <w:marBottom w:val="0"/>
      <w:divBdr>
        <w:top w:val="none" w:sz="0" w:space="0" w:color="auto"/>
        <w:left w:val="none" w:sz="0" w:space="0" w:color="auto"/>
        <w:bottom w:val="none" w:sz="0" w:space="0" w:color="auto"/>
        <w:right w:val="none" w:sz="0" w:space="0" w:color="auto"/>
      </w:divBdr>
      <w:divsChild>
        <w:div w:id="1684697499">
          <w:marLeft w:val="547"/>
          <w:marRight w:val="0"/>
          <w:marTop w:val="0"/>
          <w:marBottom w:val="0"/>
          <w:divBdr>
            <w:top w:val="none" w:sz="0" w:space="0" w:color="auto"/>
            <w:left w:val="none" w:sz="0" w:space="0" w:color="auto"/>
            <w:bottom w:val="none" w:sz="0" w:space="0" w:color="auto"/>
            <w:right w:val="none" w:sz="0" w:space="0" w:color="auto"/>
          </w:divBdr>
        </w:div>
      </w:divsChild>
    </w:div>
    <w:div w:id="1829596590">
      <w:bodyDiv w:val="1"/>
      <w:marLeft w:val="0"/>
      <w:marRight w:val="0"/>
      <w:marTop w:val="0"/>
      <w:marBottom w:val="0"/>
      <w:divBdr>
        <w:top w:val="none" w:sz="0" w:space="0" w:color="auto"/>
        <w:left w:val="none" w:sz="0" w:space="0" w:color="auto"/>
        <w:bottom w:val="none" w:sz="0" w:space="0" w:color="auto"/>
        <w:right w:val="none" w:sz="0" w:space="0" w:color="auto"/>
      </w:divBdr>
    </w:div>
    <w:div w:id="1885868021">
      <w:bodyDiv w:val="1"/>
      <w:marLeft w:val="0"/>
      <w:marRight w:val="0"/>
      <w:marTop w:val="0"/>
      <w:marBottom w:val="0"/>
      <w:divBdr>
        <w:top w:val="none" w:sz="0" w:space="0" w:color="auto"/>
        <w:left w:val="none" w:sz="0" w:space="0" w:color="auto"/>
        <w:bottom w:val="none" w:sz="0" w:space="0" w:color="auto"/>
        <w:right w:val="none" w:sz="0" w:space="0" w:color="auto"/>
      </w:divBdr>
    </w:div>
    <w:div w:id="1902518799">
      <w:bodyDiv w:val="1"/>
      <w:marLeft w:val="0"/>
      <w:marRight w:val="0"/>
      <w:marTop w:val="0"/>
      <w:marBottom w:val="0"/>
      <w:divBdr>
        <w:top w:val="none" w:sz="0" w:space="0" w:color="auto"/>
        <w:left w:val="none" w:sz="0" w:space="0" w:color="auto"/>
        <w:bottom w:val="none" w:sz="0" w:space="0" w:color="auto"/>
        <w:right w:val="none" w:sz="0" w:space="0" w:color="auto"/>
      </w:divBdr>
    </w:div>
    <w:div w:id="1915191273">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30374577">
      <w:bodyDiv w:val="1"/>
      <w:marLeft w:val="0"/>
      <w:marRight w:val="0"/>
      <w:marTop w:val="0"/>
      <w:marBottom w:val="0"/>
      <w:divBdr>
        <w:top w:val="none" w:sz="0" w:space="0" w:color="auto"/>
        <w:left w:val="none" w:sz="0" w:space="0" w:color="auto"/>
        <w:bottom w:val="none" w:sz="0" w:space="0" w:color="auto"/>
        <w:right w:val="none" w:sz="0" w:space="0" w:color="auto"/>
      </w:divBdr>
    </w:div>
    <w:div w:id="2083021257">
      <w:bodyDiv w:val="1"/>
      <w:marLeft w:val="0"/>
      <w:marRight w:val="0"/>
      <w:marTop w:val="0"/>
      <w:marBottom w:val="0"/>
      <w:divBdr>
        <w:top w:val="none" w:sz="0" w:space="0" w:color="auto"/>
        <w:left w:val="none" w:sz="0" w:space="0" w:color="auto"/>
        <w:bottom w:val="none" w:sz="0" w:space="0" w:color="auto"/>
        <w:right w:val="none" w:sz="0" w:space="0" w:color="auto"/>
      </w:divBdr>
    </w:div>
    <w:div w:id="212900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sbr.gov.au/" TargetMode="External"/><Relationship Id="rId26" Type="http://schemas.openxmlformats.org/officeDocument/2006/relationships/hyperlink" Target="mailto:xbrl_financial_reports@asic.gov.au" TargetMode="External"/><Relationship Id="rId39" Type="http://schemas.openxmlformats.org/officeDocument/2006/relationships/hyperlink" Target="http://www.asic.gov.au/ACN"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diagramLayout" Target="diagrams/layout1.xml"/><Relationship Id="rId42" Type="http://schemas.openxmlformats.org/officeDocument/2006/relationships/hyperlink" Target="http://www.asic.gov.au/AFSL" TargetMode="External"/><Relationship Id="rId47" Type="http://schemas.openxmlformats.org/officeDocument/2006/relationships/footer" Target="footer1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sbr.gov.au/digital-service-providers/developer-tools/sbr-core-service-webservice" TargetMode="External"/><Relationship Id="rId33" Type="http://schemas.openxmlformats.org/officeDocument/2006/relationships/diagramData" Target="diagrams/data1.xml"/><Relationship Id="rId38" Type="http://schemas.openxmlformats.org/officeDocument/2006/relationships/hyperlink" Target="http://sbr.gov.au/rprt/asic/finrpt/2017-07-20/" TargetMode="External"/><Relationship Id="rId46"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7.xml"/><Relationship Id="rId41" Type="http://schemas.openxmlformats.org/officeDocument/2006/relationships/hyperlink" Target="http://www.asic.gov.au/AR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RServiceDesk@ato.gov.au" TargetMode="External"/><Relationship Id="rId24" Type="http://schemas.openxmlformats.org/officeDocument/2006/relationships/footer" Target="footer6.xml"/><Relationship Id="rId32" Type="http://schemas.openxmlformats.org/officeDocument/2006/relationships/footer" Target="footer9.xml"/><Relationship Id="rId37" Type="http://schemas.microsoft.com/office/2007/relationships/diagramDrawing" Target="diagrams/drawing1.xml"/><Relationship Id="rId40" Type="http://schemas.openxmlformats.org/officeDocument/2006/relationships/hyperlink" Target="http://www.asic.gov.au/ARSN" TargetMode="External"/><Relationship Id="rId45"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diagramColors" Target="diagrams/colors1.xml"/><Relationship Id="rId49" Type="http://schemas.openxmlformats.org/officeDocument/2006/relationships/footer" Target="footer12.xml"/><Relationship Id="rId10" Type="http://schemas.openxmlformats.org/officeDocument/2006/relationships/image" Target="media/image3.jpeg"/><Relationship Id="rId19" Type="http://schemas.openxmlformats.org/officeDocument/2006/relationships/header" Target="header4.xml"/><Relationship Id="rId31" Type="http://schemas.openxmlformats.org/officeDocument/2006/relationships/header" Target="header9.xml"/><Relationship Id="rId44"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diagramQuickStyle" Target="diagrams/quickStyle1.xml"/><Relationship Id="rId43" Type="http://schemas.openxmlformats.org/officeDocument/2006/relationships/hyperlink" Target="http://www.iso.org" TargetMode="External"/><Relationship Id="rId48" Type="http://schemas.openxmlformats.org/officeDocument/2006/relationships/header" Target="header12.xml"/><Relationship Id="rId8" Type="http://schemas.openxmlformats.org/officeDocument/2006/relationships/image" Target="media/image1.png"/><Relationship Id="rId51"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79D274-D806-49A1-BF93-47AAA212575C}" type="doc">
      <dgm:prSet loTypeId="urn:microsoft.com/office/officeart/2005/8/layout/hierarchy6" loCatId="hierarchy" qsTypeId="urn:microsoft.com/office/officeart/2005/8/quickstyle/simple4" qsCatId="simple" csTypeId="urn:microsoft.com/office/officeart/2005/8/colors/accent6_1" csCatId="accent6" phldr="1"/>
      <dgm:spPr/>
      <dgm:t>
        <a:bodyPr/>
        <a:lstStyle/>
        <a:p>
          <a:endParaRPr lang="en-AU"/>
        </a:p>
      </dgm:t>
    </dgm:pt>
    <dgm:pt modelId="{20A67C63-60EC-4F3C-A874-2398E166189B}">
      <dgm:prSet phldrT="[Text]" custT="1"/>
      <dgm:spPr>
        <a:solidFill>
          <a:srgbClr val="FFC000"/>
        </a:solidFill>
      </dgm:spPr>
      <dgm:t>
        <a:bodyPr/>
        <a:lstStyle/>
        <a:p>
          <a:r>
            <a:rPr lang="en-AU" sz="800" b="1"/>
            <a:t>sbr_au</a:t>
          </a:r>
        </a:p>
      </dgm:t>
    </dgm:pt>
    <dgm:pt modelId="{261CE037-A2E7-4371-8E84-2EF2CA5A8A9F}" type="parTrans" cxnId="{0287E183-C226-4430-960A-0DCBB55DBD20}">
      <dgm:prSet/>
      <dgm:spPr/>
      <dgm:t>
        <a:bodyPr/>
        <a:lstStyle/>
        <a:p>
          <a:endParaRPr lang="en-AU"/>
        </a:p>
      </dgm:t>
    </dgm:pt>
    <dgm:pt modelId="{8046B411-151B-4FD4-B20E-637DE93498EE}" type="sibTrans" cxnId="{0287E183-C226-4430-960A-0DCBB55DBD20}">
      <dgm:prSet/>
      <dgm:spPr/>
      <dgm:t>
        <a:bodyPr/>
        <a:lstStyle/>
        <a:p>
          <a:endParaRPr lang="en-AU"/>
        </a:p>
      </dgm:t>
    </dgm:pt>
    <dgm:pt modelId="{1D9E0CAB-8198-4774-B2D1-4E565754B847}">
      <dgm:prSet phldrT="[Text]" custT="1"/>
      <dgm:spPr>
        <a:solidFill>
          <a:srgbClr val="FFC000"/>
        </a:solidFill>
      </dgm:spPr>
      <dgm:t>
        <a:bodyPr/>
        <a:lstStyle/>
        <a:p>
          <a:r>
            <a:rPr lang="en-AU" sz="800" b="1"/>
            <a:t>sbr_au_taxonomy</a:t>
          </a:r>
        </a:p>
      </dgm:t>
    </dgm:pt>
    <dgm:pt modelId="{F2EEA9CF-F800-4D13-B9F9-14486656862F}" type="parTrans" cxnId="{8B0FBF20-74D8-4BDE-B7E3-B4E994865299}">
      <dgm:prSet/>
      <dgm:spPr/>
      <dgm:t>
        <a:bodyPr/>
        <a:lstStyle/>
        <a:p>
          <a:endParaRPr lang="en-AU"/>
        </a:p>
      </dgm:t>
    </dgm:pt>
    <dgm:pt modelId="{8AE0271A-C493-4572-B7DB-4F8C1E9D78AD}" type="sibTrans" cxnId="{8B0FBF20-74D8-4BDE-B7E3-B4E994865299}">
      <dgm:prSet/>
      <dgm:spPr/>
      <dgm:t>
        <a:bodyPr/>
        <a:lstStyle/>
        <a:p>
          <a:endParaRPr lang="en-AU"/>
        </a:p>
      </dgm:t>
    </dgm:pt>
    <dgm:pt modelId="{80EB47EC-7489-40A9-848C-44A353FCB22D}">
      <dgm:prSet phldrT="[Text]" custT="1"/>
      <dgm:spPr>
        <a:solidFill>
          <a:srgbClr val="FFC000"/>
        </a:solidFill>
      </dgm:spPr>
      <dgm:t>
        <a:bodyPr/>
        <a:lstStyle/>
        <a:p>
          <a:r>
            <a:rPr lang="en-AU" sz="800" b="1"/>
            <a:t>extl</a:t>
          </a:r>
        </a:p>
      </dgm:t>
    </dgm:pt>
    <dgm:pt modelId="{2BC0E021-E7DE-4AEF-A66A-1F4FC477F3D4}" type="parTrans" cxnId="{A30EEC57-D0C2-4D8E-B5EB-3DBBA9E21807}">
      <dgm:prSet/>
      <dgm:spPr/>
      <dgm:t>
        <a:bodyPr/>
        <a:lstStyle/>
        <a:p>
          <a:endParaRPr lang="en-AU"/>
        </a:p>
      </dgm:t>
    </dgm:pt>
    <dgm:pt modelId="{0EAF8024-2B53-40C2-A195-3F10D4ED4D44}" type="sibTrans" cxnId="{A30EEC57-D0C2-4D8E-B5EB-3DBBA9E21807}">
      <dgm:prSet/>
      <dgm:spPr/>
      <dgm:t>
        <a:bodyPr/>
        <a:lstStyle/>
        <a:p>
          <a:endParaRPr lang="en-AU"/>
        </a:p>
      </dgm:t>
    </dgm:pt>
    <dgm:pt modelId="{6D9E1B21-0E4E-4AC4-A21D-517902D7C214}">
      <dgm:prSet custT="1"/>
      <dgm:spPr>
        <a:solidFill>
          <a:srgbClr val="FFC000"/>
        </a:solidFill>
      </dgm:spPr>
      <dgm:t>
        <a:bodyPr/>
        <a:lstStyle/>
        <a:p>
          <a:r>
            <a:rPr lang="en-AU" sz="800" b="1"/>
            <a:t>ifrs_au_20250821</a:t>
          </a:r>
        </a:p>
      </dgm:t>
    </dgm:pt>
    <dgm:pt modelId="{C2FAE539-CC8D-4C29-81B8-52E57A6523F2}" type="parTrans" cxnId="{3550547E-4722-493A-884D-EFCAAAD8A5DB}">
      <dgm:prSet/>
      <dgm:spPr/>
      <dgm:t>
        <a:bodyPr/>
        <a:lstStyle/>
        <a:p>
          <a:endParaRPr lang="en-AU"/>
        </a:p>
      </dgm:t>
    </dgm:pt>
    <dgm:pt modelId="{B0CB5045-DA8C-4EFE-AC0E-8398032E82F6}" type="sibTrans" cxnId="{3550547E-4722-493A-884D-EFCAAAD8A5DB}">
      <dgm:prSet/>
      <dgm:spPr/>
      <dgm:t>
        <a:bodyPr/>
        <a:lstStyle/>
        <a:p>
          <a:endParaRPr lang="en-AU"/>
        </a:p>
      </dgm:t>
    </dgm:pt>
    <dgm:pt modelId="{E9D2E110-F4A3-4ED5-80EE-843AEC846045}">
      <dgm:prSet custT="1"/>
      <dgm:spPr>
        <a:solidFill>
          <a:srgbClr val="FFC000"/>
        </a:solidFill>
      </dgm:spPr>
      <dgm:t>
        <a:bodyPr/>
        <a:lstStyle/>
        <a:p>
          <a:r>
            <a:rPr lang="en-AU" sz="800" b="1"/>
            <a:t>deprecated</a:t>
          </a:r>
        </a:p>
      </dgm:t>
    </dgm:pt>
    <dgm:pt modelId="{608812BE-F1C3-4B23-AC9F-CE2117C60D91}" type="parTrans" cxnId="{0AFC5F0C-3190-4C67-9366-334D9367D3F5}">
      <dgm:prSet/>
      <dgm:spPr/>
      <dgm:t>
        <a:bodyPr/>
        <a:lstStyle/>
        <a:p>
          <a:endParaRPr lang="en-AU"/>
        </a:p>
      </dgm:t>
    </dgm:pt>
    <dgm:pt modelId="{3833C8E6-3E84-4AFD-BCA5-C66CC88ED3F9}" type="sibTrans" cxnId="{0AFC5F0C-3190-4C67-9366-334D9367D3F5}">
      <dgm:prSet/>
      <dgm:spPr/>
      <dgm:t>
        <a:bodyPr/>
        <a:lstStyle/>
        <a:p>
          <a:endParaRPr lang="en-AU"/>
        </a:p>
      </dgm:t>
    </dgm:pt>
    <dgm:pt modelId="{D8EED32D-5B4A-4449-AAC0-C6B85D9BEBF8}">
      <dgm:prSet custT="1"/>
      <dgm:spPr>
        <a:solidFill>
          <a:srgbClr val="FFC000"/>
        </a:solidFill>
      </dgm:spPr>
      <dgm:t>
        <a:bodyPr/>
        <a:lstStyle/>
        <a:p>
          <a:r>
            <a:rPr lang="en-AU" sz="800" b="1"/>
            <a:t>full_ifrs </a:t>
          </a:r>
        </a:p>
        <a:p>
          <a:r>
            <a:rPr lang="en-AU" sz="800" b="1"/>
            <a:t>(see note *)</a:t>
          </a:r>
        </a:p>
      </dgm:t>
    </dgm:pt>
    <dgm:pt modelId="{CFFA2EA6-44CD-444A-A9EB-6266C7BE0719}" type="parTrans" cxnId="{D5EDAACE-6C23-4808-9B2D-2565C6325FD8}">
      <dgm:prSet/>
      <dgm:spPr/>
      <dgm:t>
        <a:bodyPr/>
        <a:lstStyle/>
        <a:p>
          <a:endParaRPr lang="en-AU"/>
        </a:p>
      </dgm:t>
    </dgm:pt>
    <dgm:pt modelId="{8BE88BEA-6D71-4B47-BCEB-A45695415CEC}" type="sibTrans" cxnId="{D5EDAACE-6C23-4808-9B2D-2565C6325FD8}">
      <dgm:prSet/>
      <dgm:spPr/>
      <dgm:t>
        <a:bodyPr/>
        <a:lstStyle/>
        <a:p>
          <a:endParaRPr lang="en-AU"/>
        </a:p>
      </dgm:t>
    </dgm:pt>
    <dgm:pt modelId="{40CDF261-35CD-4F2D-A3B6-62F9134D73DE}">
      <dgm:prSet custT="1"/>
      <dgm:spPr>
        <a:solidFill>
          <a:srgbClr val="FFC000"/>
        </a:solidFill>
      </dgm:spPr>
      <dgm:t>
        <a:bodyPr/>
        <a:lstStyle/>
        <a:p>
          <a:r>
            <a:rPr lang="en-AU" sz="800" b="1"/>
            <a:t>au_extensions</a:t>
          </a:r>
        </a:p>
      </dgm:t>
    </dgm:pt>
    <dgm:pt modelId="{3EFBF3A4-ED26-481B-B560-BA4702DB6526}" type="parTrans" cxnId="{465C9AB2-FD36-4D7B-96CA-DAA304394C19}">
      <dgm:prSet/>
      <dgm:spPr/>
      <dgm:t>
        <a:bodyPr/>
        <a:lstStyle/>
        <a:p>
          <a:endParaRPr lang="en-AU"/>
        </a:p>
      </dgm:t>
    </dgm:pt>
    <dgm:pt modelId="{2624B4A5-7608-4A42-9999-EFB25421BC4F}" type="sibTrans" cxnId="{465C9AB2-FD36-4D7B-96CA-DAA304394C19}">
      <dgm:prSet/>
      <dgm:spPr/>
      <dgm:t>
        <a:bodyPr/>
        <a:lstStyle/>
        <a:p>
          <a:endParaRPr lang="en-AU"/>
        </a:p>
      </dgm:t>
    </dgm:pt>
    <dgm:pt modelId="{B5D08BAF-5DB8-4BFD-B669-E81B73F3A555}">
      <dgm:prSet custT="1"/>
      <dgm:spPr>
        <a:solidFill>
          <a:srgbClr val="FFC000"/>
        </a:solidFill>
      </dgm:spPr>
      <dgm:t>
        <a:bodyPr/>
        <a:lstStyle/>
        <a:p>
          <a:r>
            <a:rPr lang="en-AU" sz="800" b="1"/>
            <a:t>aasb_1058</a:t>
          </a:r>
        </a:p>
      </dgm:t>
    </dgm:pt>
    <dgm:pt modelId="{54CEFD40-7C45-4344-85A9-2F84E6314154}" type="parTrans" cxnId="{1A8F9D84-3825-4611-BD09-1DBBDC9BA644}">
      <dgm:prSet/>
      <dgm:spPr/>
      <dgm:t>
        <a:bodyPr/>
        <a:lstStyle/>
        <a:p>
          <a:endParaRPr lang="en-AU"/>
        </a:p>
      </dgm:t>
    </dgm:pt>
    <dgm:pt modelId="{7F0B2604-E117-4E2C-B802-EA04559891EB}" type="sibTrans" cxnId="{1A8F9D84-3825-4611-BD09-1DBBDC9BA644}">
      <dgm:prSet/>
      <dgm:spPr/>
      <dgm:t>
        <a:bodyPr/>
        <a:lstStyle/>
        <a:p>
          <a:endParaRPr lang="en-AU"/>
        </a:p>
      </dgm:t>
    </dgm:pt>
    <dgm:pt modelId="{159AFC2E-678B-47F6-B805-BCE10774A9A7}">
      <dgm:prSet custT="1"/>
      <dgm:spPr>
        <a:solidFill>
          <a:srgbClr val="FFC000"/>
        </a:solidFill>
      </dgm:spPr>
      <dgm:t>
        <a:bodyPr/>
        <a:lstStyle/>
        <a:p>
          <a:r>
            <a:rPr lang="en-AU" sz="800" b="1"/>
            <a:t>linkbases_au</a:t>
          </a:r>
        </a:p>
      </dgm:t>
    </dgm:pt>
    <dgm:pt modelId="{AA286477-201C-4025-A155-B03B5ACDFE81}" type="parTrans" cxnId="{13CF2F16-8B71-4E4C-91C6-BB4DA81764A7}">
      <dgm:prSet/>
      <dgm:spPr/>
      <dgm:t>
        <a:bodyPr/>
        <a:lstStyle/>
        <a:p>
          <a:endParaRPr lang="en-AU"/>
        </a:p>
      </dgm:t>
    </dgm:pt>
    <dgm:pt modelId="{1D06D425-ED39-4173-A25E-F4FEB7A6E831}" type="sibTrans" cxnId="{13CF2F16-8B71-4E4C-91C6-BB4DA81764A7}">
      <dgm:prSet/>
      <dgm:spPr/>
      <dgm:t>
        <a:bodyPr/>
        <a:lstStyle/>
        <a:p>
          <a:endParaRPr lang="en-AU"/>
        </a:p>
      </dgm:t>
    </dgm:pt>
    <dgm:pt modelId="{50FF3B05-DAE4-4263-BB30-9DB825125704}">
      <dgm:prSet custT="1"/>
      <dgm:spPr>
        <a:solidFill>
          <a:srgbClr val="FFC000"/>
        </a:solidFill>
      </dgm:spPr>
      <dgm:t>
        <a:bodyPr/>
        <a:lstStyle/>
        <a:p>
          <a:r>
            <a:rPr lang="en-AU" sz="800" b="1"/>
            <a:t>labels_au</a:t>
          </a:r>
        </a:p>
      </dgm:t>
    </dgm:pt>
    <dgm:pt modelId="{416ED1ED-E82F-4539-9F09-4FA6ADC8BF11}" type="parTrans" cxnId="{DA952FDA-E97A-4DBE-9D91-647AC0FE0125}">
      <dgm:prSet/>
      <dgm:spPr/>
      <dgm:t>
        <a:bodyPr/>
        <a:lstStyle/>
        <a:p>
          <a:endParaRPr lang="en-AU"/>
        </a:p>
      </dgm:t>
    </dgm:pt>
    <dgm:pt modelId="{0DE98844-CC10-4E65-B058-CF1E215A6D2B}" type="sibTrans" cxnId="{DA952FDA-E97A-4DBE-9D91-647AC0FE0125}">
      <dgm:prSet/>
      <dgm:spPr/>
      <dgm:t>
        <a:bodyPr/>
        <a:lstStyle/>
        <a:p>
          <a:endParaRPr lang="en-AU"/>
        </a:p>
      </dgm:t>
    </dgm:pt>
    <dgm:pt modelId="{E84050C7-73F2-42FA-AFA9-2003A99ACB79}">
      <dgm:prSet custT="1"/>
      <dgm:spPr/>
      <dgm:t>
        <a:bodyPr/>
        <a:lstStyle/>
        <a:p>
          <a:r>
            <a:rPr lang="en-AU" sz="800" b="1"/>
            <a:t>ifrs_au-cor_2025-08-21.xsd</a:t>
          </a:r>
        </a:p>
      </dgm:t>
    </dgm:pt>
    <dgm:pt modelId="{92C1F273-415A-4884-B6F8-B5492E50E78B}" type="parTrans" cxnId="{9D988937-1BFA-4915-8796-844159AC6F14}">
      <dgm:prSet/>
      <dgm:spPr/>
      <dgm:t>
        <a:bodyPr/>
        <a:lstStyle/>
        <a:p>
          <a:endParaRPr lang="en-AU"/>
        </a:p>
      </dgm:t>
    </dgm:pt>
    <dgm:pt modelId="{C4AED956-3454-4F23-AB3E-0769BCF2838A}" type="sibTrans" cxnId="{9D988937-1BFA-4915-8796-844159AC6F14}">
      <dgm:prSet/>
      <dgm:spPr/>
      <dgm:t>
        <a:bodyPr/>
        <a:lstStyle/>
        <a:p>
          <a:endParaRPr lang="en-AU"/>
        </a:p>
      </dgm:t>
    </dgm:pt>
    <dgm:pt modelId="{5D5A2414-ED81-4F93-B3F5-CAF8A5A7232E}">
      <dgm:prSet custT="1"/>
      <dgm:spPr/>
      <dgm:t>
        <a:bodyPr/>
        <a:lstStyle/>
        <a:p>
          <a:r>
            <a:rPr lang="en-AU" sz="800" b="1"/>
            <a:t>full_ifrs_with_AU_extensions_entry_point_1_2025-08-21.xsd</a:t>
          </a:r>
        </a:p>
      </dgm:t>
    </dgm:pt>
    <dgm:pt modelId="{B83F1CAB-8CB2-426A-8BEC-E6AB7A3D9600}" type="parTrans" cxnId="{8502D0A2-E4F7-43B3-ADB3-270986171D1F}">
      <dgm:prSet/>
      <dgm:spPr/>
      <dgm:t>
        <a:bodyPr/>
        <a:lstStyle/>
        <a:p>
          <a:endParaRPr lang="en-AU"/>
        </a:p>
      </dgm:t>
    </dgm:pt>
    <dgm:pt modelId="{776E9534-89C1-4079-AFEB-E90282C85423}" type="sibTrans" cxnId="{8502D0A2-E4F7-43B3-ADB3-270986171D1F}">
      <dgm:prSet/>
      <dgm:spPr/>
      <dgm:t>
        <a:bodyPr/>
        <a:lstStyle/>
        <a:p>
          <a:endParaRPr lang="en-AU"/>
        </a:p>
      </dgm:t>
    </dgm:pt>
    <dgm:pt modelId="{0A403E41-C9A7-40CF-9CFE-EC34F082C5B4}">
      <dgm:prSet custT="1"/>
      <dgm:spPr>
        <a:solidFill>
          <a:srgbClr val="FFC000"/>
        </a:solidFill>
      </dgm:spPr>
      <dgm:t>
        <a:bodyPr/>
        <a:lstStyle/>
        <a:p>
          <a:r>
            <a:rPr lang="en-AU" sz="800" b="1"/>
            <a:t>au_additional_disclosures_entry_point_1</a:t>
          </a:r>
        </a:p>
      </dgm:t>
    </dgm:pt>
    <dgm:pt modelId="{E5B22A57-CC2A-4DAC-96EB-0A7987CF392C}" type="parTrans" cxnId="{C15515C6-9656-445C-BA09-4FF6E4472CBA}">
      <dgm:prSet/>
      <dgm:spPr/>
      <dgm:t>
        <a:bodyPr/>
        <a:lstStyle/>
        <a:p>
          <a:endParaRPr lang="en-AU"/>
        </a:p>
      </dgm:t>
    </dgm:pt>
    <dgm:pt modelId="{B76DA575-CDA0-4F66-BC85-1F6952F3C09C}" type="sibTrans" cxnId="{C15515C6-9656-445C-BA09-4FF6E4472CBA}">
      <dgm:prSet/>
      <dgm:spPr/>
      <dgm:t>
        <a:bodyPr/>
        <a:lstStyle/>
        <a:p>
          <a:endParaRPr lang="en-AU"/>
        </a:p>
      </dgm:t>
    </dgm:pt>
    <dgm:pt modelId="{4D985DCF-F8B1-4133-808A-9D5C7A5D651A}" type="pres">
      <dgm:prSet presAssocID="{2479D274-D806-49A1-BF93-47AAA212575C}" presName="mainComposite" presStyleCnt="0">
        <dgm:presLayoutVars>
          <dgm:chPref val="1"/>
          <dgm:dir/>
          <dgm:animOne val="branch"/>
          <dgm:animLvl val="lvl"/>
          <dgm:resizeHandles val="exact"/>
        </dgm:presLayoutVars>
      </dgm:prSet>
      <dgm:spPr/>
    </dgm:pt>
    <dgm:pt modelId="{AE3E20CC-FC7F-4410-8866-6C7A140EEAC9}" type="pres">
      <dgm:prSet presAssocID="{2479D274-D806-49A1-BF93-47AAA212575C}" presName="hierFlow" presStyleCnt="0"/>
      <dgm:spPr/>
    </dgm:pt>
    <dgm:pt modelId="{463B695C-1353-43D7-9D32-1313DB50911D}" type="pres">
      <dgm:prSet presAssocID="{2479D274-D806-49A1-BF93-47AAA212575C}" presName="hierChild1" presStyleCnt="0">
        <dgm:presLayoutVars>
          <dgm:chPref val="1"/>
          <dgm:animOne val="branch"/>
          <dgm:animLvl val="lvl"/>
        </dgm:presLayoutVars>
      </dgm:prSet>
      <dgm:spPr/>
    </dgm:pt>
    <dgm:pt modelId="{DA76D042-EA7A-4793-9788-3B5B00806FC5}" type="pres">
      <dgm:prSet presAssocID="{20A67C63-60EC-4F3C-A874-2398E166189B}" presName="Name14" presStyleCnt="0"/>
      <dgm:spPr/>
    </dgm:pt>
    <dgm:pt modelId="{C93678A5-B5E0-4E98-9689-6D8FEE51DB9A}" type="pres">
      <dgm:prSet presAssocID="{20A67C63-60EC-4F3C-A874-2398E166189B}" presName="level1Shape" presStyleLbl="node0" presStyleIdx="0" presStyleCnt="1" custLinFactNeighborY="-384">
        <dgm:presLayoutVars>
          <dgm:chPref val="3"/>
        </dgm:presLayoutVars>
      </dgm:prSet>
      <dgm:spPr>
        <a:prstGeom prst="flowChartDocument">
          <a:avLst/>
        </a:prstGeom>
      </dgm:spPr>
    </dgm:pt>
    <dgm:pt modelId="{B706AC47-59D2-40FC-91AE-FCF193921941}" type="pres">
      <dgm:prSet presAssocID="{20A67C63-60EC-4F3C-A874-2398E166189B}" presName="hierChild2" presStyleCnt="0"/>
      <dgm:spPr/>
    </dgm:pt>
    <dgm:pt modelId="{4DB68F34-1A59-4AE0-A0E0-626EBA75A088}" type="pres">
      <dgm:prSet presAssocID="{F2EEA9CF-F800-4D13-B9F9-14486656862F}" presName="Name19" presStyleLbl="parChTrans1D2" presStyleIdx="0" presStyleCnt="1"/>
      <dgm:spPr/>
    </dgm:pt>
    <dgm:pt modelId="{9000BAAC-BB71-4B81-9238-BECD1FEAB7C0}" type="pres">
      <dgm:prSet presAssocID="{1D9E0CAB-8198-4774-B2D1-4E565754B847}" presName="Name21" presStyleCnt="0"/>
      <dgm:spPr/>
    </dgm:pt>
    <dgm:pt modelId="{61F1A455-6215-40FE-B66F-04AB4A3FBBA6}" type="pres">
      <dgm:prSet presAssocID="{1D9E0CAB-8198-4774-B2D1-4E565754B847}" presName="level2Shape" presStyleLbl="node2" presStyleIdx="0" presStyleCnt="1"/>
      <dgm:spPr>
        <a:prstGeom prst="flowChartDocument">
          <a:avLst/>
        </a:prstGeom>
      </dgm:spPr>
    </dgm:pt>
    <dgm:pt modelId="{39D0A376-806F-4CB0-9C8A-5B44D2D2F53F}" type="pres">
      <dgm:prSet presAssocID="{1D9E0CAB-8198-4774-B2D1-4E565754B847}" presName="hierChild3" presStyleCnt="0"/>
      <dgm:spPr/>
    </dgm:pt>
    <dgm:pt modelId="{C6AAA803-7C8A-4EB2-8549-B888C3586A32}" type="pres">
      <dgm:prSet presAssocID="{2BC0E021-E7DE-4AEF-A66A-1F4FC477F3D4}" presName="Name19" presStyleLbl="parChTrans1D3" presStyleIdx="0" presStyleCnt="1"/>
      <dgm:spPr/>
    </dgm:pt>
    <dgm:pt modelId="{44C4811A-9D3A-40A7-9BF5-8EA98E57431F}" type="pres">
      <dgm:prSet presAssocID="{80EB47EC-7489-40A9-848C-44A353FCB22D}" presName="Name21" presStyleCnt="0"/>
      <dgm:spPr/>
    </dgm:pt>
    <dgm:pt modelId="{62FE14EF-22EB-4B31-9472-1D31EF06BECD}" type="pres">
      <dgm:prSet presAssocID="{80EB47EC-7489-40A9-848C-44A353FCB22D}" presName="level2Shape" presStyleLbl="node3" presStyleIdx="0" presStyleCnt="1"/>
      <dgm:spPr>
        <a:prstGeom prst="flowChartDocument">
          <a:avLst/>
        </a:prstGeom>
      </dgm:spPr>
    </dgm:pt>
    <dgm:pt modelId="{CE5AB224-1A97-46C3-B59A-C4EEB08BE2E4}" type="pres">
      <dgm:prSet presAssocID="{80EB47EC-7489-40A9-848C-44A353FCB22D}" presName="hierChild3" presStyleCnt="0"/>
      <dgm:spPr/>
    </dgm:pt>
    <dgm:pt modelId="{FBB25AB0-7D56-49CE-B043-63EFF3F5A2BB}" type="pres">
      <dgm:prSet presAssocID="{C2FAE539-CC8D-4C29-81B8-52E57A6523F2}" presName="Name19" presStyleLbl="parChTrans1D4" presStyleIdx="0" presStyleCnt="10"/>
      <dgm:spPr/>
    </dgm:pt>
    <dgm:pt modelId="{9ED5F033-EE07-4D49-9F47-98F07948998D}" type="pres">
      <dgm:prSet presAssocID="{6D9E1B21-0E4E-4AC4-A21D-517902D7C214}" presName="Name21" presStyleCnt="0"/>
      <dgm:spPr/>
    </dgm:pt>
    <dgm:pt modelId="{7A8B0A92-F8F7-4845-ABBF-B263F34C921F}" type="pres">
      <dgm:prSet presAssocID="{6D9E1B21-0E4E-4AC4-A21D-517902D7C214}" presName="level2Shape" presStyleLbl="node4" presStyleIdx="0" presStyleCnt="10"/>
      <dgm:spPr>
        <a:prstGeom prst="flowChartDocument">
          <a:avLst/>
        </a:prstGeom>
      </dgm:spPr>
    </dgm:pt>
    <dgm:pt modelId="{3515FEAB-85CE-47F5-A81C-5EF7C4D5D182}" type="pres">
      <dgm:prSet presAssocID="{6D9E1B21-0E4E-4AC4-A21D-517902D7C214}" presName="hierChild3" presStyleCnt="0"/>
      <dgm:spPr/>
    </dgm:pt>
    <dgm:pt modelId="{4EA5DB5C-34E1-4233-BBF0-4FDB49510F92}" type="pres">
      <dgm:prSet presAssocID="{608812BE-F1C3-4B23-AC9F-CE2117C60D91}" presName="Name19" presStyleLbl="parChTrans1D4" presStyleIdx="1" presStyleCnt="10"/>
      <dgm:spPr/>
    </dgm:pt>
    <dgm:pt modelId="{910F7C58-A2CD-4AD3-9057-32605D182878}" type="pres">
      <dgm:prSet presAssocID="{E9D2E110-F4A3-4ED5-80EE-843AEC846045}" presName="Name21" presStyleCnt="0"/>
      <dgm:spPr/>
    </dgm:pt>
    <dgm:pt modelId="{0A954689-C2C3-4AF5-9984-32753ED4F841}" type="pres">
      <dgm:prSet presAssocID="{E9D2E110-F4A3-4ED5-80EE-843AEC846045}" presName="level2Shape" presStyleLbl="node4" presStyleIdx="1" presStyleCnt="10" custLinFactX="-100000" custLinFactNeighborX="-172233" custLinFactNeighborY="-1798"/>
      <dgm:spPr>
        <a:prstGeom prst="flowChartDocument">
          <a:avLst/>
        </a:prstGeom>
      </dgm:spPr>
    </dgm:pt>
    <dgm:pt modelId="{8B8EB084-E46B-4E4A-A079-192A30AB59BF}" type="pres">
      <dgm:prSet presAssocID="{E9D2E110-F4A3-4ED5-80EE-843AEC846045}" presName="hierChild3" presStyleCnt="0"/>
      <dgm:spPr/>
    </dgm:pt>
    <dgm:pt modelId="{D0F904D2-EEC8-4AA4-A924-6FADF88351EF}" type="pres">
      <dgm:prSet presAssocID="{3EFBF3A4-ED26-481B-B560-BA4702DB6526}" presName="Name19" presStyleLbl="parChTrans1D4" presStyleIdx="2" presStyleCnt="10"/>
      <dgm:spPr/>
    </dgm:pt>
    <dgm:pt modelId="{E8C296E1-0E2A-4569-A7DB-D341BFF77D49}" type="pres">
      <dgm:prSet presAssocID="{40CDF261-35CD-4F2D-A3B6-62F9134D73DE}" presName="Name21" presStyleCnt="0"/>
      <dgm:spPr/>
    </dgm:pt>
    <dgm:pt modelId="{7650ACCF-BC2F-4FF2-8126-5D75E7BAC6E7}" type="pres">
      <dgm:prSet presAssocID="{40CDF261-35CD-4F2D-A3B6-62F9134D73DE}" presName="level2Shape" presStyleLbl="node4" presStyleIdx="2" presStyleCnt="10" custScaleX="111648"/>
      <dgm:spPr>
        <a:prstGeom prst="flowChartDocument">
          <a:avLst/>
        </a:prstGeom>
      </dgm:spPr>
    </dgm:pt>
    <dgm:pt modelId="{DF8794AF-C235-42CB-A775-120BB38D355D}" type="pres">
      <dgm:prSet presAssocID="{40CDF261-35CD-4F2D-A3B6-62F9134D73DE}" presName="hierChild3" presStyleCnt="0"/>
      <dgm:spPr/>
    </dgm:pt>
    <dgm:pt modelId="{0145C062-6B4F-4667-AD98-061726602BF7}" type="pres">
      <dgm:prSet presAssocID="{416ED1ED-E82F-4539-9F09-4FA6ADC8BF11}" presName="Name19" presStyleLbl="parChTrans1D4" presStyleIdx="3" presStyleCnt="10"/>
      <dgm:spPr/>
    </dgm:pt>
    <dgm:pt modelId="{5EE52800-F961-49E7-A5C6-ADCF439653D9}" type="pres">
      <dgm:prSet presAssocID="{50FF3B05-DAE4-4263-BB30-9DB825125704}" presName="Name21" presStyleCnt="0"/>
      <dgm:spPr/>
    </dgm:pt>
    <dgm:pt modelId="{E224B061-1715-4235-8058-427C4F5A8383}" type="pres">
      <dgm:prSet presAssocID="{50FF3B05-DAE4-4263-BB30-9DB825125704}" presName="level2Shape" presStyleLbl="node4" presStyleIdx="3" presStyleCnt="10"/>
      <dgm:spPr>
        <a:prstGeom prst="flowChartDocument">
          <a:avLst/>
        </a:prstGeom>
      </dgm:spPr>
    </dgm:pt>
    <dgm:pt modelId="{26E1DC92-E7E1-4B19-8D47-716E14F1A67E}" type="pres">
      <dgm:prSet presAssocID="{50FF3B05-DAE4-4263-BB30-9DB825125704}" presName="hierChild3" presStyleCnt="0"/>
      <dgm:spPr/>
    </dgm:pt>
    <dgm:pt modelId="{5A6DA8C2-1BBB-4438-BD9D-53243E868872}" type="pres">
      <dgm:prSet presAssocID="{AA286477-201C-4025-A155-B03B5ACDFE81}" presName="Name19" presStyleLbl="parChTrans1D4" presStyleIdx="4" presStyleCnt="10"/>
      <dgm:spPr/>
    </dgm:pt>
    <dgm:pt modelId="{E8A827C0-783A-4B36-8C6C-00E10174909C}" type="pres">
      <dgm:prSet presAssocID="{159AFC2E-678B-47F6-B805-BCE10774A9A7}" presName="Name21" presStyleCnt="0"/>
      <dgm:spPr/>
    </dgm:pt>
    <dgm:pt modelId="{E5E9AB58-7BC6-400E-B9CF-787FEAEA05A8}" type="pres">
      <dgm:prSet presAssocID="{159AFC2E-678B-47F6-B805-BCE10774A9A7}" presName="level2Shape" presStyleLbl="node4" presStyleIdx="4" presStyleCnt="10"/>
      <dgm:spPr>
        <a:prstGeom prst="flowChartDocument">
          <a:avLst/>
        </a:prstGeom>
      </dgm:spPr>
    </dgm:pt>
    <dgm:pt modelId="{230B15E1-96AF-41AA-A0A8-C3023F53CF48}" type="pres">
      <dgm:prSet presAssocID="{159AFC2E-678B-47F6-B805-BCE10774A9A7}" presName="hierChild3" presStyleCnt="0"/>
      <dgm:spPr/>
    </dgm:pt>
    <dgm:pt modelId="{B91C360A-B627-4B65-B7A7-BE1655D9BA57}" type="pres">
      <dgm:prSet presAssocID="{54CEFD40-7C45-4344-85A9-2F84E6314154}" presName="Name19" presStyleLbl="parChTrans1D4" presStyleIdx="5" presStyleCnt="10"/>
      <dgm:spPr/>
    </dgm:pt>
    <dgm:pt modelId="{03BA9C13-A6DE-4BC1-914E-F59AD27214E2}" type="pres">
      <dgm:prSet presAssocID="{B5D08BAF-5DB8-4BFD-B669-E81B73F3A555}" presName="Name21" presStyleCnt="0"/>
      <dgm:spPr/>
    </dgm:pt>
    <dgm:pt modelId="{5985D432-F39A-4D1D-832E-D472B40C7951}" type="pres">
      <dgm:prSet presAssocID="{B5D08BAF-5DB8-4BFD-B669-E81B73F3A555}" presName="level2Shape" presStyleLbl="node4" presStyleIdx="5" presStyleCnt="10"/>
      <dgm:spPr>
        <a:prstGeom prst="flowChartDocument">
          <a:avLst/>
        </a:prstGeom>
      </dgm:spPr>
    </dgm:pt>
    <dgm:pt modelId="{2B40CDD5-0480-46A0-9227-78E99EED2E81}" type="pres">
      <dgm:prSet presAssocID="{B5D08BAF-5DB8-4BFD-B669-E81B73F3A555}" presName="hierChild3" presStyleCnt="0"/>
      <dgm:spPr/>
    </dgm:pt>
    <dgm:pt modelId="{3F24FD26-6644-499B-8139-AAC494A4568D}" type="pres">
      <dgm:prSet presAssocID="{E5B22A57-CC2A-4DAC-96EB-0A7987CF392C}" presName="Name19" presStyleLbl="parChTrans1D4" presStyleIdx="6" presStyleCnt="10"/>
      <dgm:spPr/>
    </dgm:pt>
    <dgm:pt modelId="{DF0AC1BD-44A7-466D-BC1E-EAE2901E1278}" type="pres">
      <dgm:prSet presAssocID="{0A403E41-C9A7-40CF-9CFE-EC34F082C5B4}" presName="Name21" presStyleCnt="0"/>
      <dgm:spPr/>
    </dgm:pt>
    <dgm:pt modelId="{DE3E01BB-487D-47D5-A924-207023ACC2FF}" type="pres">
      <dgm:prSet presAssocID="{0A403E41-C9A7-40CF-9CFE-EC34F082C5B4}" presName="level2Shape" presStyleLbl="node4" presStyleIdx="6" presStyleCnt="10" custScaleX="156302"/>
      <dgm:spPr>
        <a:prstGeom prst="flowChartDocument">
          <a:avLst/>
        </a:prstGeom>
      </dgm:spPr>
    </dgm:pt>
    <dgm:pt modelId="{1C7708E1-5850-4D6D-A4F5-F05AE06DFB27}" type="pres">
      <dgm:prSet presAssocID="{0A403E41-C9A7-40CF-9CFE-EC34F082C5B4}" presName="hierChild3" presStyleCnt="0"/>
      <dgm:spPr/>
    </dgm:pt>
    <dgm:pt modelId="{8E7200C5-EF42-42DC-AFDA-5A2382C1118B}" type="pres">
      <dgm:prSet presAssocID="{92C1F273-415A-4884-B6F8-B5492E50E78B}" presName="Name19" presStyleLbl="parChTrans1D4" presStyleIdx="7" presStyleCnt="10"/>
      <dgm:spPr/>
    </dgm:pt>
    <dgm:pt modelId="{4ED3C35D-F384-4A3F-A2DC-AE480F79F59A}" type="pres">
      <dgm:prSet presAssocID="{E84050C7-73F2-42FA-AFA9-2003A99ACB79}" presName="Name21" presStyleCnt="0"/>
      <dgm:spPr/>
    </dgm:pt>
    <dgm:pt modelId="{6D9E9E75-CD36-4F6F-A4B5-9DF8213225D6}" type="pres">
      <dgm:prSet presAssocID="{E84050C7-73F2-42FA-AFA9-2003A99ACB79}" presName="level2Shape" presStyleLbl="node4" presStyleIdx="7" presStyleCnt="10" custScaleX="235135" custScaleY="54311"/>
      <dgm:spPr/>
    </dgm:pt>
    <dgm:pt modelId="{03A6E26A-82AE-485D-B46F-AD2656DF5B7C}" type="pres">
      <dgm:prSet presAssocID="{E84050C7-73F2-42FA-AFA9-2003A99ACB79}" presName="hierChild3" presStyleCnt="0"/>
      <dgm:spPr/>
    </dgm:pt>
    <dgm:pt modelId="{2E94BF55-23E0-4F8B-B63D-AFD7F72C7506}" type="pres">
      <dgm:prSet presAssocID="{CFFA2EA6-44CD-444A-A9EB-6266C7BE0719}" presName="Name19" presStyleLbl="parChTrans1D4" presStyleIdx="8" presStyleCnt="10"/>
      <dgm:spPr/>
    </dgm:pt>
    <dgm:pt modelId="{DC3B471F-8F15-46A9-ABCF-76343698EF3E}" type="pres">
      <dgm:prSet presAssocID="{D8EED32D-5B4A-4449-AAC0-C6B85D9BEBF8}" presName="Name21" presStyleCnt="0"/>
      <dgm:spPr/>
    </dgm:pt>
    <dgm:pt modelId="{372BA02B-E426-4FBC-A2DE-2D2473E1C18E}" type="pres">
      <dgm:prSet presAssocID="{D8EED32D-5B4A-4449-AAC0-C6B85D9BEBF8}" presName="level2Shape" presStyleLbl="node4" presStyleIdx="8" presStyleCnt="10" custScaleX="121490"/>
      <dgm:spPr>
        <a:prstGeom prst="flowChartDocument">
          <a:avLst/>
        </a:prstGeom>
      </dgm:spPr>
    </dgm:pt>
    <dgm:pt modelId="{59D0E98A-1DE3-4B00-8B3F-E0E2E6CF8F26}" type="pres">
      <dgm:prSet presAssocID="{D8EED32D-5B4A-4449-AAC0-C6B85D9BEBF8}" presName="hierChild3" presStyleCnt="0"/>
      <dgm:spPr/>
    </dgm:pt>
    <dgm:pt modelId="{7270E921-E8B6-4458-9D48-8F0789A3697F}" type="pres">
      <dgm:prSet presAssocID="{B83F1CAB-8CB2-426A-8BEC-E6AB7A3D9600}" presName="Name19" presStyleLbl="parChTrans1D4" presStyleIdx="9" presStyleCnt="10"/>
      <dgm:spPr/>
    </dgm:pt>
    <dgm:pt modelId="{5B5047B9-A4FF-4CA9-931A-3857D69B56A0}" type="pres">
      <dgm:prSet presAssocID="{5D5A2414-ED81-4F93-B3F5-CAF8A5A7232E}" presName="Name21" presStyleCnt="0"/>
      <dgm:spPr/>
    </dgm:pt>
    <dgm:pt modelId="{27B31E12-1EED-49C0-B143-09C1AB621E61}" type="pres">
      <dgm:prSet presAssocID="{5D5A2414-ED81-4F93-B3F5-CAF8A5A7232E}" presName="level2Shape" presStyleLbl="node4" presStyleIdx="9" presStyleCnt="10" custScaleX="321169" custScaleY="67290"/>
      <dgm:spPr/>
    </dgm:pt>
    <dgm:pt modelId="{561917C8-C285-4FF2-955C-13C4DFE83265}" type="pres">
      <dgm:prSet presAssocID="{5D5A2414-ED81-4F93-B3F5-CAF8A5A7232E}" presName="hierChild3" presStyleCnt="0"/>
      <dgm:spPr/>
    </dgm:pt>
    <dgm:pt modelId="{C7247476-4370-495A-BD0A-85D926A576E0}" type="pres">
      <dgm:prSet presAssocID="{2479D274-D806-49A1-BF93-47AAA212575C}" presName="bgShapesFlow" presStyleCnt="0"/>
      <dgm:spPr/>
    </dgm:pt>
  </dgm:ptLst>
  <dgm:cxnLst>
    <dgm:cxn modelId="{0AFC5F0C-3190-4C67-9366-334D9367D3F5}" srcId="{6D9E1B21-0E4E-4AC4-A21D-517902D7C214}" destId="{E9D2E110-F4A3-4ED5-80EE-843AEC846045}" srcOrd="0" destOrd="0" parTransId="{608812BE-F1C3-4B23-AC9F-CE2117C60D91}" sibTransId="{3833C8E6-3E84-4AFD-BCA5-C66CC88ED3F9}"/>
    <dgm:cxn modelId="{94147E12-CB92-41E2-86C3-B4564C4C2718}" type="presOf" srcId="{40CDF261-35CD-4F2D-A3B6-62F9134D73DE}" destId="{7650ACCF-BC2F-4FF2-8126-5D75E7BAC6E7}" srcOrd="0" destOrd="0" presId="urn:microsoft.com/office/officeart/2005/8/layout/hierarchy6"/>
    <dgm:cxn modelId="{D18CA614-CA3F-44C6-BC06-A2EEBA6C2297}" type="presOf" srcId="{20A67C63-60EC-4F3C-A874-2398E166189B}" destId="{C93678A5-B5E0-4E98-9689-6D8FEE51DB9A}" srcOrd="0" destOrd="0" presId="urn:microsoft.com/office/officeart/2005/8/layout/hierarchy6"/>
    <dgm:cxn modelId="{13CF2F16-8B71-4E4C-91C6-BB4DA81764A7}" srcId="{40CDF261-35CD-4F2D-A3B6-62F9134D73DE}" destId="{159AFC2E-678B-47F6-B805-BCE10774A9A7}" srcOrd="1" destOrd="0" parTransId="{AA286477-201C-4025-A155-B03B5ACDFE81}" sibTransId="{1D06D425-ED39-4173-A25E-F4FEB7A6E831}"/>
    <dgm:cxn modelId="{66FD1819-E55B-4583-80DA-A4A3FB6BE625}" type="presOf" srcId="{E5B22A57-CC2A-4DAC-96EB-0A7987CF392C}" destId="{3F24FD26-6644-499B-8139-AAC494A4568D}" srcOrd="0" destOrd="0" presId="urn:microsoft.com/office/officeart/2005/8/layout/hierarchy6"/>
    <dgm:cxn modelId="{5610CD1F-588C-4134-860E-2034905E03BF}" type="presOf" srcId="{D8EED32D-5B4A-4449-AAC0-C6B85D9BEBF8}" destId="{372BA02B-E426-4FBC-A2DE-2D2473E1C18E}" srcOrd="0" destOrd="0" presId="urn:microsoft.com/office/officeart/2005/8/layout/hierarchy6"/>
    <dgm:cxn modelId="{8B0FBF20-74D8-4BDE-B7E3-B4E994865299}" srcId="{20A67C63-60EC-4F3C-A874-2398E166189B}" destId="{1D9E0CAB-8198-4774-B2D1-4E565754B847}" srcOrd="0" destOrd="0" parTransId="{F2EEA9CF-F800-4D13-B9F9-14486656862F}" sibTransId="{8AE0271A-C493-4572-B7DB-4F8C1E9D78AD}"/>
    <dgm:cxn modelId="{E7EBF724-F1D3-42FE-BBFB-6A6DBA87A968}" type="presOf" srcId="{80EB47EC-7489-40A9-848C-44A353FCB22D}" destId="{62FE14EF-22EB-4B31-9472-1D31EF06BECD}" srcOrd="0" destOrd="0" presId="urn:microsoft.com/office/officeart/2005/8/layout/hierarchy6"/>
    <dgm:cxn modelId="{06C75F28-BE6A-4B58-B346-2D86A414E23F}" type="presOf" srcId="{159AFC2E-678B-47F6-B805-BCE10774A9A7}" destId="{E5E9AB58-7BC6-400E-B9CF-787FEAEA05A8}" srcOrd="0" destOrd="0" presId="urn:microsoft.com/office/officeart/2005/8/layout/hierarchy6"/>
    <dgm:cxn modelId="{D933FA2B-CBE7-4906-AF2B-384EBBCBC1CB}" type="presOf" srcId="{0A403E41-C9A7-40CF-9CFE-EC34F082C5B4}" destId="{DE3E01BB-487D-47D5-A924-207023ACC2FF}" srcOrd="0" destOrd="0" presId="urn:microsoft.com/office/officeart/2005/8/layout/hierarchy6"/>
    <dgm:cxn modelId="{9D988937-1BFA-4915-8796-844159AC6F14}" srcId="{40CDF261-35CD-4F2D-A3B6-62F9134D73DE}" destId="{E84050C7-73F2-42FA-AFA9-2003A99ACB79}" srcOrd="2" destOrd="0" parTransId="{92C1F273-415A-4884-B6F8-B5492E50E78B}" sibTransId="{C4AED956-3454-4F23-AB3E-0769BCF2838A}"/>
    <dgm:cxn modelId="{A44BBF38-5DCF-4561-8B39-06E72EA1F3BC}" type="presOf" srcId="{B5D08BAF-5DB8-4BFD-B669-E81B73F3A555}" destId="{5985D432-F39A-4D1D-832E-D472B40C7951}" srcOrd="0" destOrd="0" presId="urn:microsoft.com/office/officeart/2005/8/layout/hierarchy6"/>
    <dgm:cxn modelId="{88F7733C-F1B1-402B-9842-F493E3B401C4}" type="presOf" srcId="{F2EEA9CF-F800-4D13-B9F9-14486656862F}" destId="{4DB68F34-1A59-4AE0-A0E0-626EBA75A088}" srcOrd="0" destOrd="0" presId="urn:microsoft.com/office/officeart/2005/8/layout/hierarchy6"/>
    <dgm:cxn modelId="{DA00713F-99C4-4F8A-8231-9F7089CC3192}" type="presOf" srcId="{C2FAE539-CC8D-4C29-81B8-52E57A6523F2}" destId="{FBB25AB0-7D56-49CE-B043-63EFF3F5A2BB}" srcOrd="0" destOrd="0" presId="urn:microsoft.com/office/officeart/2005/8/layout/hierarchy6"/>
    <dgm:cxn modelId="{4BEE9640-0C88-4521-BF23-55124A3B66BA}" type="presOf" srcId="{3EFBF3A4-ED26-481B-B560-BA4702DB6526}" destId="{D0F904D2-EEC8-4AA4-A924-6FADF88351EF}" srcOrd="0" destOrd="0" presId="urn:microsoft.com/office/officeart/2005/8/layout/hierarchy6"/>
    <dgm:cxn modelId="{DDAA2568-6BE5-4E3D-845F-9A17E5289003}" type="presOf" srcId="{AA286477-201C-4025-A155-B03B5ACDFE81}" destId="{5A6DA8C2-1BBB-4438-BD9D-53243E868872}" srcOrd="0" destOrd="0" presId="urn:microsoft.com/office/officeart/2005/8/layout/hierarchy6"/>
    <dgm:cxn modelId="{A3645D48-3692-439E-B729-DB6A6137569F}" type="presOf" srcId="{92C1F273-415A-4884-B6F8-B5492E50E78B}" destId="{8E7200C5-EF42-42DC-AFDA-5A2382C1118B}" srcOrd="0" destOrd="0" presId="urn:microsoft.com/office/officeart/2005/8/layout/hierarchy6"/>
    <dgm:cxn modelId="{50A7B74E-094A-4FA2-B56C-F671508032DF}" type="presOf" srcId="{E9D2E110-F4A3-4ED5-80EE-843AEC846045}" destId="{0A954689-C2C3-4AF5-9984-32753ED4F841}" srcOrd="0" destOrd="0" presId="urn:microsoft.com/office/officeart/2005/8/layout/hierarchy6"/>
    <dgm:cxn modelId="{54C9AE4F-0BBC-4344-A41F-8CE328F7AA5C}" type="presOf" srcId="{2479D274-D806-49A1-BF93-47AAA212575C}" destId="{4D985DCF-F8B1-4133-808A-9D5C7A5D651A}" srcOrd="0" destOrd="0" presId="urn:microsoft.com/office/officeart/2005/8/layout/hierarchy6"/>
    <dgm:cxn modelId="{54830350-8BE2-45C8-AC44-FB30F1BC09C6}" type="presOf" srcId="{CFFA2EA6-44CD-444A-A9EB-6266C7BE0719}" destId="{2E94BF55-23E0-4F8B-B63D-AFD7F72C7506}" srcOrd="0" destOrd="0" presId="urn:microsoft.com/office/officeart/2005/8/layout/hierarchy6"/>
    <dgm:cxn modelId="{A30EEC57-D0C2-4D8E-B5EB-3DBBA9E21807}" srcId="{1D9E0CAB-8198-4774-B2D1-4E565754B847}" destId="{80EB47EC-7489-40A9-848C-44A353FCB22D}" srcOrd="0" destOrd="0" parTransId="{2BC0E021-E7DE-4AEF-A66A-1F4FC477F3D4}" sibTransId="{0EAF8024-2B53-40C2-A195-3F10D4ED4D44}"/>
    <dgm:cxn modelId="{3550547E-4722-493A-884D-EFCAAAD8A5DB}" srcId="{80EB47EC-7489-40A9-848C-44A353FCB22D}" destId="{6D9E1B21-0E4E-4AC4-A21D-517902D7C214}" srcOrd="0" destOrd="0" parTransId="{C2FAE539-CC8D-4C29-81B8-52E57A6523F2}" sibTransId="{B0CB5045-DA8C-4EFE-AC0E-8398032E82F6}"/>
    <dgm:cxn modelId="{0287E183-C226-4430-960A-0DCBB55DBD20}" srcId="{2479D274-D806-49A1-BF93-47AAA212575C}" destId="{20A67C63-60EC-4F3C-A874-2398E166189B}" srcOrd="0" destOrd="0" parTransId="{261CE037-A2E7-4371-8E84-2EF2CA5A8A9F}" sibTransId="{8046B411-151B-4FD4-B20E-637DE93498EE}"/>
    <dgm:cxn modelId="{1A8F9D84-3825-4611-BD09-1DBBDC9BA644}" srcId="{159AFC2E-678B-47F6-B805-BCE10774A9A7}" destId="{B5D08BAF-5DB8-4BFD-B669-E81B73F3A555}" srcOrd="0" destOrd="0" parTransId="{54CEFD40-7C45-4344-85A9-2F84E6314154}" sibTransId="{7F0B2604-E117-4E2C-B802-EA04559891EB}"/>
    <dgm:cxn modelId="{62B71A8F-67CE-4FDE-9685-C8C6B2DFC619}" type="presOf" srcId="{B83F1CAB-8CB2-426A-8BEC-E6AB7A3D9600}" destId="{7270E921-E8B6-4458-9D48-8F0789A3697F}" srcOrd="0" destOrd="0" presId="urn:microsoft.com/office/officeart/2005/8/layout/hierarchy6"/>
    <dgm:cxn modelId="{8502D0A2-E4F7-43B3-ADB3-270986171D1F}" srcId="{6D9E1B21-0E4E-4AC4-A21D-517902D7C214}" destId="{5D5A2414-ED81-4F93-B3F5-CAF8A5A7232E}" srcOrd="3" destOrd="0" parTransId="{B83F1CAB-8CB2-426A-8BEC-E6AB7A3D9600}" sibTransId="{776E9534-89C1-4079-AFEB-E90282C85423}"/>
    <dgm:cxn modelId="{465C9AB2-FD36-4D7B-96CA-DAA304394C19}" srcId="{6D9E1B21-0E4E-4AC4-A21D-517902D7C214}" destId="{40CDF261-35CD-4F2D-A3B6-62F9134D73DE}" srcOrd="1" destOrd="0" parTransId="{3EFBF3A4-ED26-481B-B560-BA4702DB6526}" sibTransId="{2624B4A5-7608-4A42-9999-EFB25421BC4F}"/>
    <dgm:cxn modelId="{463A21B6-A0F6-44AB-8FA0-26F4BA6BB727}" type="presOf" srcId="{54CEFD40-7C45-4344-85A9-2F84E6314154}" destId="{B91C360A-B627-4B65-B7A7-BE1655D9BA57}" srcOrd="0" destOrd="0" presId="urn:microsoft.com/office/officeart/2005/8/layout/hierarchy6"/>
    <dgm:cxn modelId="{37035EB9-37BA-4D54-88A7-A0D78718259F}" type="presOf" srcId="{1D9E0CAB-8198-4774-B2D1-4E565754B847}" destId="{61F1A455-6215-40FE-B66F-04AB4A3FBBA6}" srcOrd="0" destOrd="0" presId="urn:microsoft.com/office/officeart/2005/8/layout/hierarchy6"/>
    <dgm:cxn modelId="{1E9476BF-7310-4C6A-B196-167554632E2B}" type="presOf" srcId="{6D9E1B21-0E4E-4AC4-A21D-517902D7C214}" destId="{7A8B0A92-F8F7-4845-ABBF-B263F34C921F}" srcOrd="0" destOrd="0" presId="urn:microsoft.com/office/officeart/2005/8/layout/hierarchy6"/>
    <dgm:cxn modelId="{C15515C6-9656-445C-BA09-4FF6E4472CBA}" srcId="{159AFC2E-678B-47F6-B805-BCE10774A9A7}" destId="{0A403E41-C9A7-40CF-9CFE-EC34F082C5B4}" srcOrd="1" destOrd="0" parTransId="{E5B22A57-CC2A-4DAC-96EB-0A7987CF392C}" sibTransId="{B76DA575-CDA0-4F66-BC85-1F6952F3C09C}"/>
    <dgm:cxn modelId="{D5EDAACE-6C23-4808-9B2D-2565C6325FD8}" srcId="{6D9E1B21-0E4E-4AC4-A21D-517902D7C214}" destId="{D8EED32D-5B4A-4449-AAC0-C6B85D9BEBF8}" srcOrd="2" destOrd="0" parTransId="{CFFA2EA6-44CD-444A-A9EB-6266C7BE0719}" sibTransId="{8BE88BEA-6D71-4B47-BCEB-A45695415CEC}"/>
    <dgm:cxn modelId="{A137ADD4-8DBC-4E66-8F0B-EF9DA89856E3}" type="presOf" srcId="{2BC0E021-E7DE-4AEF-A66A-1F4FC477F3D4}" destId="{C6AAA803-7C8A-4EB2-8549-B888C3586A32}" srcOrd="0" destOrd="0" presId="urn:microsoft.com/office/officeart/2005/8/layout/hierarchy6"/>
    <dgm:cxn modelId="{6685E1D4-C7E4-4D8C-ACBA-A7D2AA30196D}" type="presOf" srcId="{50FF3B05-DAE4-4263-BB30-9DB825125704}" destId="{E224B061-1715-4235-8058-427C4F5A8383}" srcOrd="0" destOrd="0" presId="urn:microsoft.com/office/officeart/2005/8/layout/hierarchy6"/>
    <dgm:cxn modelId="{F464E8D4-060E-4802-8298-A77CEB2F152C}" type="presOf" srcId="{608812BE-F1C3-4B23-AC9F-CE2117C60D91}" destId="{4EA5DB5C-34E1-4233-BBF0-4FDB49510F92}" srcOrd="0" destOrd="0" presId="urn:microsoft.com/office/officeart/2005/8/layout/hierarchy6"/>
    <dgm:cxn modelId="{DA952FDA-E97A-4DBE-9D91-647AC0FE0125}" srcId="{40CDF261-35CD-4F2D-A3B6-62F9134D73DE}" destId="{50FF3B05-DAE4-4263-BB30-9DB825125704}" srcOrd="0" destOrd="0" parTransId="{416ED1ED-E82F-4539-9F09-4FA6ADC8BF11}" sibTransId="{0DE98844-CC10-4E65-B058-CF1E215A6D2B}"/>
    <dgm:cxn modelId="{D03255DE-6F8A-44C0-A795-CAC21D83E83A}" type="presOf" srcId="{5D5A2414-ED81-4F93-B3F5-CAF8A5A7232E}" destId="{27B31E12-1EED-49C0-B143-09C1AB621E61}" srcOrd="0" destOrd="0" presId="urn:microsoft.com/office/officeart/2005/8/layout/hierarchy6"/>
    <dgm:cxn modelId="{1F36DEE6-1B03-4A5C-86CB-DC9F237336BB}" type="presOf" srcId="{416ED1ED-E82F-4539-9F09-4FA6ADC8BF11}" destId="{0145C062-6B4F-4667-AD98-061726602BF7}" srcOrd="0" destOrd="0" presId="urn:microsoft.com/office/officeart/2005/8/layout/hierarchy6"/>
    <dgm:cxn modelId="{5EF122EC-CF4B-48E7-9BCC-5C3FBA5253C4}" type="presOf" srcId="{E84050C7-73F2-42FA-AFA9-2003A99ACB79}" destId="{6D9E9E75-CD36-4F6F-A4B5-9DF8213225D6}" srcOrd="0" destOrd="0" presId="urn:microsoft.com/office/officeart/2005/8/layout/hierarchy6"/>
    <dgm:cxn modelId="{541C0563-C12D-4534-8CFC-8D2ED4B3FBFD}" type="presParOf" srcId="{4D985DCF-F8B1-4133-808A-9D5C7A5D651A}" destId="{AE3E20CC-FC7F-4410-8866-6C7A140EEAC9}" srcOrd="0" destOrd="0" presId="urn:microsoft.com/office/officeart/2005/8/layout/hierarchy6"/>
    <dgm:cxn modelId="{FDB7049F-7AB4-4537-87CD-2C3AE264F8BF}" type="presParOf" srcId="{AE3E20CC-FC7F-4410-8866-6C7A140EEAC9}" destId="{463B695C-1353-43D7-9D32-1313DB50911D}" srcOrd="0" destOrd="0" presId="urn:microsoft.com/office/officeart/2005/8/layout/hierarchy6"/>
    <dgm:cxn modelId="{D503C892-232A-4BCD-B61E-719F62AE8B2D}" type="presParOf" srcId="{463B695C-1353-43D7-9D32-1313DB50911D}" destId="{DA76D042-EA7A-4793-9788-3B5B00806FC5}" srcOrd="0" destOrd="0" presId="urn:microsoft.com/office/officeart/2005/8/layout/hierarchy6"/>
    <dgm:cxn modelId="{8D8AE852-7E32-4A9F-ACF7-439AC74864B4}" type="presParOf" srcId="{DA76D042-EA7A-4793-9788-3B5B00806FC5}" destId="{C93678A5-B5E0-4E98-9689-6D8FEE51DB9A}" srcOrd="0" destOrd="0" presId="urn:microsoft.com/office/officeart/2005/8/layout/hierarchy6"/>
    <dgm:cxn modelId="{F97691F3-BBDD-4E00-9567-5C5B3A5E6401}" type="presParOf" srcId="{DA76D042-EA7A-4793-9788-3B5B00806FC5}" destId="{B706AC47-59D2-40FC-91AE-FCF193921941}" srcOrd="1" destOrd="0" presId="urn:microsoft.com/office/officeart/2005/8/layout/hierarchy6"/>
    <dgm:cxn modelId="{F3CCAA5B-FEE1-41C1-9556-543E85AE2103}" type="presParOf" srcId="{B706AC47-59D2-40FC-91AE-FCF193921941}" destId="{4DB68F34-1A59-4AE0-A0E0-626EBA75A088}" srcOrd="0" destOrd="0" presId="urn:microsoft.com/office/officeart/2005/8/layout/hierarchy6"/>
    <dgm:cxn modelId="{85C0B072-147A-4F1B-8358-CF82B4FE7E18}" type="presParOf" srcId="{B706AC47-59D2-40FC-91AE-FCF193921941}" destId="{9000BAAC-BB71-4B81-9238-BECD1FEAB7C0}" srcOrd="1" destOrd="0" presId="urn:microsoft.com/office/officeart/2005/8/layout/hierarchy6"/>
    <dgm:cxn modelId="{9F14C20B-DE9D-4F19-BF18-03B9EC991B3C}" type="presParOf" srcId="{9000BAAC-BB71-4B81-9238-BECD1FEAB7C0}" destId="{61F1A455-6215-40FE-B66F-04AB4A3FBBA6}" srcOrd="0" destOrd="0" presId="urn:microsoft.com/office/officeart/2005/8/layout/hierarchy6"/>
    <dgm:cxn modelId="{D036498C-309C-4BB5-819E-74784AD85AF1}" type="presParOf" srcId="{9000BAAC-BB71-4B81-9238-BECD1FEAB7C0}" destId="{39D0A376-806F-4CB0-9C8A-5B44D2D2F53F}" srcOrd="1" destOrd="0" presId="urn:microsoft.com/office/officeart/2005/8/layout/hierarchy6"/>
    <dgm:cxn modelId="{7176E6D8-8503-4748-95AA-8F2DE12B4DA7}" type="presParOf" srcId="{39D0A376-806F-4CB0-9C8A-5B44D2D2F53F}" destId="{C6AAA803-7C8A-4EB2-8549-B888C3586A32}" srcOrd="0" destOrd="0" presId="urn:microsoft.com/office/officeart/2005/8/layout/hierarchy6"/>
    <dgm:cxn modelId="{1919D6FD-050E-4BC1-9AD2-FBBE11A4BED4}" type="presParOf" srcId="{39D0A376-806F-4CB0-9C8A-5B44D2D2F53F}" destId="{44C4811A-9D3A-40A7-9BF5-8EA98E57431F}" srcOrd="1" destOrd="0" presId="urn:microsoft.com/office/officeart/2005/8/layout/hierarchy6"/>
    <dgm:cxn modelId="{77F3A888-0BB7-4977-924A-6F7B59E4787A}" type="presParOf" srcId="{44C4811A-9D3A-40A7-9BF5-8EA98E57431F}" destId="{62FE14EF-22EB-4B31-9472-1D31EF06BECD}" srcOrd="0" destOrd="0" presId="urn:microsoft.com/office/officeart/2005/8/layout/hierarchy6"/>
    <dgm:cxn modelId="{FCA2CA31-A472-428A-B29A-AE552C290FE7}" type="presParOf" srcId="{44C4811A-9D3A-40A7-9BF5-8EA98E57431F}" destId="{CE5AB224-1A97-46C3-B59A-C4EEB08BE2E4}" srcOrd="1" destOrd="0" presId="urn:microsoft.com/office/officeart/2005/8/layout/hierarchy6"/>
    <dgm:cxn modelId="{C843E389-63F3-4514-BDF1-C13D0DA2FB02}" type="presParOf" srcId="{CE5AB224-1A97-46C3-B59A-C4EEB08BE2E4}" destId="{FBB25AB0-7D56-49CE-B043-63EFF3F5A2BB}" srcOrd="0" destOrd="0" presId="urn:microsoft.com/office/officeart/2005/8/layout/hierarchy6"/>
    <dgm:cxn modelId="{D823D0E1-F565-455E-9810-79B9B7CDA419}" type="presParOf" srcId="{CE5AB224-1A97-46C3-B59A-C4EEB08BE2E4}" destId="{9ED5F033-EE07-4D49-9F47-98F07948998D}" srcOrd="1" destOrd="0" presId="urn:microsoft.com/office/officeart/2005/8/layout/hierarchy6"/>
    <dgm:cxn modelId="{762BDF5B-6B10-494F-996B-6166A116F03F}" type="presParOf" srcId="{9ED5F033-EE07-4D49-9F47-98F07948998D}" destId="{7A8B0A92-F8F7-4845-ABBF-B263F34C921F}" srcOrd="0" destOrd="0" presId="urn:microsoft.com/office/officeart/2005/8/layout/hierarchy6"/>
    <dgm:cxn modelId="{4F6FAFA4-73D4-4DDC-BBC7-4C4F6CC4F74F}" type="presParOf" srcId="{9ED5F033-EE07-4D49-9F47-98F07948998D}" destId="{3515FEAB-85CE-47F5-A81C-5EF7C4D5D182}" srcOrd="1" destOrd="0" presId="urn:microsoft.com/office/officeart/2005/8/layout/hierarchy6"/>
    <dgm:cxn modelId="{64E691D2-046A-4C3B-8949-5583DBDA6FEE}" type="presParOf" srcId="{3515FEAB-85CE-47F5-A81C-5EF7C4D5D182}" destId="{4EA5DB5C-34E1-4233-BBF0-4FDB49510F92}" srcOrd="0" destOrd="0" presId="urn:microsoft.com/office/officeart/2005/8/layout/hierarchy6"/>
    <dgm:cxn modelId="{D5FD8B26-56FE-46F0-81C0-5982306B24E3}" type="presParOf" srcId="{3515FEAB-85CE-47F5-A81C-5EF7C4D5D182}" destId="{910F7C58-A2CD-4AD3-9057-32605D182878}" srcOrd="1" destOrd="0" presId="urn:microsoft.com/office/officeart/2005/8/layout/hierarchy6"/>
    <dgm:cxn modelId="{D7AC5482-1C34-465A-9EA4-A41AC4A41500}" type="presParOf" srcId="{910F7C58-A2CD-4AD3-9057-32605D182878}" destId="{0A954689-C2C3-4AF5-9984-32753ED4F841}" srcOrd="0" destOrd="0" presId="urn:microsoft.com/office/officeart/2005/8/layout/hierarchy6"/>
    <dgm:cxn modelId="{1475B89F-9F01-4AE2-BCDC-1EA16E6E4222}" type="presParOf" srcId="{910F7C58-A2CD-4AD3-9057-32605D182878}" destId="{8B8EB084-E46B-4E4A-A079-192A30AB59BF}" srcOrd="1" destOrd="0" presId="urn:microsoft.com/office/officeart/2005/8/layout/hierarchy6"/>
    <dgm:cxn modelId="{442ED315-38F7-4575-9348-B71485BC502B}" type="presParOf" srcId="{3515FEAB-85CE-47F5-A81C-5EF7C4D5D182}" destId="{D0F904D2-EEC8-4AA4-A924-6FADF88351EF}" srcOrd="2" destOrd="0" presId="urn:microsoft.com/office/officeart/2005/8/layout/hierarchy6"/>
    <dgm:cxn modelId="{36FFCDF1-C91B-4796-97D1-F9E69BCA5DD4}" type="presParOf" srcId="{3515FEAB-85CE-47F5-A81C-5EF7C4D5D182}" destId="{E8C296E1-0E2A-4569-A7DB-D341BFF77D49}" srcOrd="3" destOrd="0" presId="urn:microsoft.com/office/officeart/2005/8/layout/hierarchy6"/>
    <dgm:cxn modelId="{53A277E7-9818-4D05-9510-342EFB0C6EFF}" type="presParOf" srcId="{E8C296E1-0E2A-4569-A7DB-D341BFF77D49}" destId="{7650ACCF-BC2F-4FF2-8126-5D75E7BAC6E7}" srcOrd="0" destOrd="0" presId="urn:microsoft.com/office/officeart/2005/8/layout/hierarchy6"/>
    <dgm:cxn modelId="{ED6E1800-A575-4FEB-8490-72D5F3204C8C}" type="presParOf" srcId="{E8C296E1-0E2A-4569-A7DB-D341BFF77D49}" destId="{DF8794AF-C235-42CB-A775-120BB38D355D}" srcOrd="1" destOrd="0" presId="urn:microsoft.com/office/officeart/2005/8/layout/hierarchy6"/>
    <dgm:cxn modelId="{6513C827-0BF9-4940-BCC8-60C4E4D27638}" type="presParOf" srcId="{DF8794AF-C235-42CB-A775-120BB38D355D}" destId="{0145C062-6B4F-4667-AD98-061726602BF7}" srcOrd="0" destOrd="0" presId="urn:microsoft.com/office/officeart/2005/8/layout/hierarchy6"/>
    <dgm:cxn modelId="{88191AE5-CBD0-445F-8353-50F5BD850E04}" type="presParOf" srcId="{DF8794AF-C235-42CB-A775-120BB38D355D}" destId="{5EE52800-F961-49E7-A5C6-ADCF439653D9}" srcOrd="1" destOrd="0" presId="urn:microsoft.com/office/officeart/2005/8/layout/hierarchy6"/>
    <dgm:cxn modelId="{CC08F259-3E49-4F25-B356-8EF655199C0D}" type="presParOf" srcId="{5EE52800-F961-49E7-A5C6-ADCF439653D9}" destId="{E224B061-1715-4235-8058-427C4F5A8383}" srcOrd="0" destOrd="0" presId="urn:microsoft.com/office/officeart/2005/8/layout/hierarchy6"/>
    <dgm:cxn modelId="{370B7FC7-CCD7-4FBF-A351-BE32D8EF347E}" type="presParOf" srcId="{5EE52800-F961-49E7-A5C6-ADCF439653D9}" destId="{26E1DC92-E7E1-4B19-8D47-716E14F1A67E}" srcOrd="1" destOrd="0" presId="urn:microsoft.com/office/officeart/2005/8/layout/hierarchy6"/>
    <dgm:cxn modelId="{59C2E9DD-6ED7-4CC1-8A87-F1ECDD993201}" type="presParOf" srcId="{DF8794AF-C235-42CB-A775-120BB38D355D}" destId="{5A6DA8C2-1BBB-4438-BD9D-53243E868872}" srcOrd="2" destOrd="0" presId="urn:microsoft.com/office/officeart/2005/8/layout/hierarchy6"/>
    <dgm:cxn modelId="{36B9B352-B458-4C30-937E-54F0BBFE2F98}" type="presParOf" srcId="{DF8794AF-C235-42CB-A775-120BB38D355D}" destId="{E8A827C0-783A-4B36-8C6C-00E10174909C}" srcOrd="3" destOrd="0" presId="urn:microsoft.com/office/officeart/2005/8/layout/hierarchy6"/>
    <dgm:cxn modelId="{9E804C75-4C36-4A52-A3A1-4798BD5A0264}" type="presParOf" srcId="{E8A827C0-783A-4B36-8C6C-00E10174909C}" destId="{E5E9AB58-7BC6-400E-B9CF-787FEAEA05A8}" srcOrd="0" destOrd="0" presId="urn:microsoft.com/office/officeart/2005/8/layout/hierarchy6"/>
    <dgm:cxn modelId="{4CE33DD5-1318-4A2A-B966-A04B9DB8AAC5}" type="presParOf" srcId="{E8A827C0-783A-4B36-8C6C-00E10174909C}" destId="{230B15E1-96AF-41AA-A0A8-C3023F53CF48}" srcOrd="1" destOrd="0" presId="urn:microsoft.com/office/officeart/2005/8/layout/hierarchy6"/>
    <dgm:cxn modelId="{B918E694-E972-46A2-BC72-EE5D6AE57C0E}" type="presParOf" srcId="{230B15E1-96AF-41AA-A0A8-C3023F53CF48}" destId="{B91C360A-B627-4B65-B7A7-BE1655D9BA57}" srcOrd="0" destOrd="0" presId="urn:microsoft.com/office/officeart/2005/8/layout/hierarchy6"/>
    <dgm:cxn modelId="{8C2EA337-E922-4077-88E2-9370085375D1}" type="presParOf" srcId="{230B15E1-96AF-41AA-A0A8-C3023F53CF48}" destId="{03BA9C13-A6DE-4BC1-914E-F59AD27214E2}" srcOrd="1" destOrd="0" presId="urn:microsoft.com/office/officeart/2005/8/layout/hierarchy6"/>
    <dgm:cxn modelId="{B06B9A18-86DF-4126-B3DF-3A515BE8C0F2}" type="presParOf" srcId="{03BA9C13-A6DE-4BC1-914E-F59AD27214E2}" destId="{5985D432-F39A-4D1D-832E-D472B40C7951}" srcOrd="0" destOrd="0" presId="urn:microsoft.com/office/officeart/2005/8/layout/hierarchy6"/>
    <dgm:cxn modelId="{79E60B55-F889-4BC9-B79D-F8F0C00A026D}" type="presParOf" srcId="{03BA9C13-A6DE-4BC1-914E-F59AD27214E2}" destId="{2B40CDD5-0480-46A0-9227-78E99EED2E81}" srcOrd="1" destOrd="0" presId="urn:microsoft.com/office/officeart/2005/8/layout/hierarchy6"/>
    <dgm:cxn modelId="{EC853A2A-9C4C-4D8C-801A-5D0DEBDC38CD}" type="presParOf" srcId="{230B15E1-96AF-41AA-A0A8-C3023F53CF48}" destId="{3F24FD26-6644-499B-8139-AAC494A4568D}" srcOrd="2" destOrd="0" presId="urn:microsoft.com/office/officeart/2005/8/layout/hierarchy6"/>
    <dgm:cxn modelId="{149BF1FE-EFDE-454A-9B31-3DDAC2D4CF8E}" type="presParOf" srcId="{230B15E1-96AF-41AA-A0A8-C3023F53CF48}" destId="{DF0AC1BD-44A7-466D-BC1E-EAE2901E1278}" srcOrd="3" destOrd="0" presId="urn:microsoft.com/office/officeart/2005/8/layout/hierarchy6"/>
    <dgm:cxn modelId="{50D9CB78-0F71-42D0-AA54-98586FB6756C}" type="presParOf" srcId="{DF0AC1BD-44A7-466D-BC1E-EAE2901E1278}" destId="{DE3E01BB-487D-47D5-A924-207023ACC2FF}" srcOrd="0" destOrd="0" presId="urn:microsoft.com/office/officeart/2005/8/layout/hierarchy6"/>
    <dgm:cxn modelId="{FCB318B6-A07E-4544-9725-9F88D9F2F533}" type="presParOf" srcId="{DF0AC1BD-44A7-466D-BC1E-EAE2901E1278}" destId="{1C7708E1-5850-4D6D-A4F5-F05AE06DFB27}" srcOrd="1" destOrd="0" presId="urn:microsoft.com/office/officeart/2005/8/layout/hierarchy6"/>
    <dgm:cxn modelId="{D04495DC-92B5-469D-AB7B-8AB824C24EDF}" type="presParOf" srcId="{DF8794AF-C235-42CB-A775-120BB38D355D}" destId="{8E7200C5-EF42-42DC-AFDA-5A2382C1118B}" srcOrd="4" destOrd="0" presId="urn:microsoft.com/office/officeart/2005/8/layout/hierarchy6"/>
    <dgm:cxn modelId="{F5E64C77-7614-4AA8-80E1-6525F20C64F3}" type="presParOf" srcId="{DF8794AF-C235-42CB-A775-120BB38D355D}" destId="{4ED3C35D-F384-4A3F-A2DC-AE480F79F59A}" srcOrd="5" destOrd="0" presId="urn:microsoft.com/office/officeart/2005/8/layout/hierarchy6"/>
    <dgm:cxn modelId="{70B517A9-6918-4806-B814-296DAEB30832}" type="presParOf" srcId="{4ED3C35D-F384-4A3F-A2DC-AE480F79F59A}" destId="{6D9E9E75-CD36-4F6F-A4B5-9DF8213225D6}" srcOrd="0" destOrd="0" presId="urn:microsoft.com/office/officeart/2005/8/layout/hierarchy6"/>
    <dgm:cxn modelId="{FC146035-6234-4E04-B563-5382ACE0DF62}" type="presParOf" srcId="{4ED3C35D-F384-4A3F-A2DC-AE480F79F59A}" destId="{03A6E26A-82AE-485D-B46F-AD2656DF5B7C}" srcOrd="1" destOrd="0" presId="urn:microsoft.com/office/officeart/2005/8/layout/hierarchy6"/>
    <dgm:cxn modelId="{58B3DE71-A756-4C6C-AF6E-29DAD2008A9A}" type="presParOf" srcId="{3515FEAB-85CE-47F5-A81C-5EF7C4D5D182}" destId="{2E94BF55-23E0-4F8B-B63D-AFD7F72C7506}" srcOrd="4" destOrd="0" presId="urn:microsoft.com/office/officeart/2005/8/layout/hierarchy6"/>
    <dgm:cxn modelId="{2BAB7822-603D-4E48-B379-015A07F9CACA}" type="presParOf" srcId="{3515FEAB-85CE-47F5-A81C-5EF7C4D5D182}" destId="{DC3B471F-8F15-46A9-ABCF-76343698EF3E}" srcOrd="5" destOrd="0" presId="urn:microsoft.com/office/officeart/2005/8/layout/hierarchy6"/>
    <dgm:cxn modelId="{5CFB026A-7B8B-43B7-881F-8C0476BDFD25}" type="presParOf" srcId="{DC3B471F-8F15-46A9-ABCF-76343698EF3E}" destId="{372BA02B-E426-4FBC-A2DE-2D2473E1C18E}" srcOrd="0" destOrd="0" presId="urn:microsoft.com/office/officeart/2005/8/layout/hierarchy6"/>
    <dgm:cxn modelId="{496F8562-7661-44CD-8275-B124D5308786}" type="presParOf" srcId="{DC3B471F-8F15-46A9-ABCF-76343698EF3E}" destId="{59D0E98A-1DE3-4B00-8B3F-E0E2E6CF8F26}" srcOrd="1" destOrd="0" presId="urn:microsoft.com/office/officeart/2005/8/layout/hierarchy6"/>
    <dgm:cxn modelId="{9A895DEA-1023-44B0-9530-05002E6A46FF}" type="presParOf" srcId="{3515FEAB-85CE-47F5-A81C-5EF7C4D5D182}" destId="{7270E921-E8B6-4458-9D48-8F0789A3697F}" srcOrd="6" destOrd="0" presId="urn:microsoft.com/office/officeart/2005/8/layout/hierarchy6"/>
    <dgm:cxn modelId="{36DD1CDB-B22B-4F08-92D0-5E582ADEEBAE}" type="presParOf" srcId="{3515FEAB-85CE-47F5-A81C-5EF7C4D5D182}" destId="{5B5047B9-A4FF-4CA9-931A-3857D69B56A0}" srcOrd="7" destOrd="0" presId="urn:microsoft.com/office/officeart/2005/8/layout/hierarchy6"/>
    <dgm:cxn modelId="{1E9C691B-7D3A-461A-A060-3DBC0B1A3774}" type="presParOf" srcId="{5B5047B9-A4FF-4CA9-931A-3857D69B56A0}" destId="{27B31E12-1EED-49C0-B143-09C1AB621E61}" srcOrd="0" destOrd="0" presId="urn:microsoft.com/office/officeart/2005/8/layout/hierarchy6"/>
    <dgm:cxn modelId="{C195B0F4-DE2D-49CC-BBF3-A87C739B5845}" type="presParOf" srcId="{5B5047B9-A4FF-4CA9-931A-3857D69B56A0}" destId="{561917C8-C285-4FF2-955C-13C4DFE83265}" srcOrd="1" destOrd="0" presId="urn:microsoft.com/office/officeart/2005/8/layout/hierarchy6"/>
    <dgm:cxn modelId="{18B4DDA4-E772-4ACA-94A5-9AAF5FE5D7F7}" type="presParOf" srcId="{4D985DCF-F8B1-4133-808A-9D5C7A5D651A}" destId="{C7247476-4370-495A-BD0A-85D926A576E0}" srcOrd="1" destOrd="0" presId="urn:microsoft.com/office/officeart/2005/8/layout/hierarchy6"/>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3678A5-B5E0-4E98-9689-6D8FEE51DB9A}">
      <dsp:nvSpPr>
        <dsp:cNvPr id="0" name=""/>
        <dsp:cNvSpPr/>
      </dsp:nvSpPr>
      <dsp:spPr>
        <a:xfrm>
          <a:off x="4367826" y="1323"/>
          <a:ext cx="642471" cy="428314"/>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sbr_au</a:t>
          </a:r>
        </a:p>
      </dsp:txBody>
      <dsp:txXfrm>
        <a:off x="4367826" y="1323"/>
        <a:ext cx="642471" cy="343484"/>
      </dsp:txXfrm>
    </dsp:sp>
    <dsp:sp modelId="{4DB68F34-1A59-4AE0-A0E0-626EBA75A088}">
      <dsp:nvSpPr>
        <dsp:cNvPr id="0" name=""/>
        <dsp:cNvSpPr/>
      </dsp:nvSpPr>
      <dsp:spPr>
        <a:xfrm>
          <a:off x="4643342" y="429637"/>
          <a:ext cx="91440" cy="172970"/>
        </a:xfrm>
        <a:custGeom>
          <a:avLst/>
          <a:gdLst/>
          <a:ahLst/>
          <a:cxnLst/>
          <a:rect l="0" t="0" r="0" b="0"/>
          <a:pathLst>
            <a:path>
              <a:moveTo>
                <a:pt x="45720" y="0"/>
              </a:moveTo>
              <a:lnTo>
                <a:pt x="45720" y="172970"/>
              </a:lnTo>
            </a:path>
          </a:pathLst>
        </a:custGeom>
        <a:noFill/>
        <a:ln w="9525" cap="flat" cmpd="sng" algn="ctr">
          <a:solidFill>
            <a:schemeClr val="accent6">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1F1A455-6215-40FE-B66F-04AB4A3FBBA6}">
      <dsp:nvSpPr>
        <dsp:cNvPr id="0" name=""/>
        <dsp:cNvSpPr/>
      </dsp:nvSpPr>
      <dsp:spPr>
        <a:xfrm>
          <a:off x="4367826" y="602607"/>
          <a:ext cx="642471" cy="428314"/>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sbr_au_taxonomy</a:t>
          </a:r>
        </a:p>
      </dsp:txBody>
      <dsp:txXfrm>
        <a:off x="4367826" y="602607"/>
        <a:ext cx="642471" cy="343484"/>
      </dsp:txXfrm>
    </dsp:sp>
    <dsp:sp modelId="{C6AAA803-7C8A-4EB2-8549-B888C3586A32}">
      <dsp:nvSpPr>
        <dsp:cNvPr id="0" name=""/>
        <dsp:cNvSpPr/>
      </dsp:nvSpPr>
      <dsp:spPr>
        <a:xfrm>
          <a:off x="4643342" y="1030922"/>
          <a:ext cx="91440" cy="171325"/>
        </a:xfrm>
        <a:custGeom>
          <a:avLst/>
          <a:gdLst/>
          <a:ahLst/>
          <a:cxnLst/>
          <a:rect l="0" t="0" r="0" b="0"/>
          <a:pathLst>
            <a:path>
              <a:moveTo>
                <a:pt x="45720" y="0"/>
              </a:moveTo>
              <a:lnTo>
                <a:pt x="45720" y="171325"/>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2FE14EF-22EB-4B31-9472-1D31EF06BECD}">
      <dsp:nvSpPr>
        <dsp:cNvPr id="0" name=""/>
        <dsp:cNvSpPr/>
      </dsp:nvSpPr>
      <dsp:spPr>
        <a:xfrm>
          <a:off x="4367826" y="1202247"/>
          <a:ext cx="642471" cy="428314"/>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extl</a:t>
          </a:r>
        </a:p>
      </dsp:txBody>
      <dsp:txXfrm>
        <a:off x="4367826" y="1202247"/>
        <a:ext cx="642471" cy="343484"/>
      </dsp:txXfrm>
    </dsp:sp>
    <dsp:sp modelId="{FBB25AB0-7D56-49CE-B043-63EFF3F5A2BB}">
      <dsp:nvSpPr>
        <dsp:cNvPr id="0" name=""/>
        <dsp:cNvSpPr/>
      </dsp:nvSpPr>
      <dsp:spPr>
        <a:xfrm>
          <a:off x="4643342" y="1630561"/>
          <a:ext cx="91440" cy="171325"/>
        </a:xfrm>
        <a:custGeom>
          <a:avLst/>
          <a:gdLst/>
          <a:ahLst/>
          <a:cxnLst/>
          <a:rect l="0" t="0" r="0" b="0"/>
          <a:pathLst>
            <a:path>
              <a:moveTo>
                <a:pt x="45720" y="0"/>
              </a:moveTo>
              <a:lnTo>
                <a:pt x="45720" y="171325"/>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A8B0A92-F8F7-4845-ABBF-B263F34C921F}">
      <dsp:nvSpPr>
        <dsp:cNvPr id="0" name=""/>
        <dsp:cNvSpPr/>
      </dsp:nvSpPr>
      <dsp:spPr>
        <a:xfrm>
          <a:off x="4367826" y="1801887"/>
          <a:ext cx="642471" cy="428314"/>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ifrs_au_20250821</a:t>
          </a:r>
        </a:p>
      </dsp:txBody>
      <dsp:txXfrm>
        <a:off x="4367826" y="1801887"/>
        <a:ext cx="642471" cy="343484"/>
      </dsp:txXfrm>
    </dsp:sp>
    <dsp:sp modelId="{4EA5DB5C-34E1-4233-BBF0-4FDB49510F92}">
      <dsp:nvSpPr>
        <dsp:cNvPr id="0" name=""/>
        <dsp:cNvSpPr/>
      </dsp:nvSpPr>
      <dsp:spPr>
        <a:xfrm>
          <a:off x="870300" y="2230201"/>
          <a:ext cx="3818761" cy="163624"/>
        </a:xfrm>
        <a:custGeom>
          <a:avLst/>
          <a:gdLst/>
          <a:ahLst/>
          <a:cxnLst/>
          <a:rect l="0" t="0" r="0" b="0"/>
          <a:pathLst>
            <a:path>
              <a:moveTo>
                <a:pt x="3818761" y="0"/>
              </a:moveTo>
              <a:lnTo>
                <a:pt x="3818761" y="81812"/>
              </a:lnTo>
              <a:lnTo>
                <a:pt x="0" y="81812"/>
              </a:lnTo>
              <a:lnTo>
                <a:pt x="0" y="163624"/>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A954689-C2C3-4AF5-9984-32753ED4F841}">
      <dsp:nvSpPr>
        <dsp:cNvPr id="0" name=""/>
        <dsp:cNvSpPr/>
      </dsp:nvSpPr>
      <dsp:spPr>
        <a:xfrm>
          <a:off x="549064" y="2393826"/>
          <a:ext cx="642471" cy="428314"/>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deprecated</a:t>
          </a:r>
        </a:p>
      </dsp:txBody>
      <dsp:txXfrm>
        <a:off x="549064" y="2393826"/>
        <a:ext cx="642471" cy="343484"/>
      </dsp:txXfrm>
    </dsp:sp>
    <dsp:sp modelId="{D0F904D2-EEC8-4AA4-A924-6FADF88351EF}">
      <dsp:nvSpPr>
        <dsp:cNvPr id="0" name=""/>
        <dsp:cNvSpPr/>
      </dsp:nvSpPr>
      <dsp:spPr>
        <a:xfrm>
          <a:off x="3491948" y="2230201"/>
          <a:ext cx="1197113" cy="171325"/>
        </a:xfrm>
        <a:custGeom>
          <a:avLst/>
          <a:gdLst/>
          <a:ahLst/>
          <a:cxnLst/>
          <a:rect l="0" t="0" r="0" b="0"/>
          <a:pathLst>
            <a:path>
              <a:moveTo>
                <a:pt x="1197113" y="0"/>
              </a:moveTo>
              <a:lnTo>
                <a:pt x="1197113" y="85662"/>
              </a:lnTo>
              <a:lnTo>
                <a:pt x="0" y="85662"/>
              </a:lnTo>
              <a:lnTo>
                <a:pt x="0" y="171325"/>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650ACCF-BC2F-4FF2-8126-5D75E7BAC6E7}">
      <dsp:nvSpPr>
        <dsp:cNvPr id="0" name=""/>
        <dsp:cNvSpPr/>
      </dsp:nvSpPr>
      <dsp:spPr>
        <a:xfrm>
          <a:off x="3133295" y="2401527"/>
          <a:ext cx="717306" cy="428314"/>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au_extensions</a:t>
          </a:r>
        </a:p>
      </dsp:txBody>
      <dsp:txXfrm>
        <a:off x="3133295" y="2401527"/>
        <a:ext cx="717306" cy="343484"/>
      </dsp:txXfrm>
    </dsp:sp>
    <dsp:sp modelId="{0145C062-6B4F-4667-AD98-061726602BF7}">
      <dsp:nvSpPr>
        <dsp:cNvPr id="0" name=""/>
        <dsp:cNvSpPr/>
      </dsp:nvSpPr>
      <dsp:spPr>
        <a:xfrm>
          <a:off x="2222634" y="2829841"/>
          <a:ext cx="1269314" cy="171325"/>
        </a:xfrm>
        <a:custGeom>
          <a:avLst/>
          <a:gdLst/>
          <a:ahLst/>
          <a:cxnLst/>
          <a:rect l="0" t="0" r="0" b="0"/>
          <a:pathLst>
            <a:path>
              <a:moveTo>
                <a:pt x="1269314" y="0"/>
              </a:moveTo>
              <a:lnTo>
                <a:pt x="1269314" y="85662"/>
              </a:lnTo>
              <a:lnTo>
                <a:pt x="0" y="85662"/>
              </a:lnTo>
              <a:lnTo>
                <a:pt x="0" y="171325"/>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224B061-1715-4235-8058-427C4F5A8383}">
      <dsp:nvSpPr>
        <dsp:cNvPr id="0" name=""/>
        <dsp:cNvSpPr/>
      </dsp:nvSpPr>
      <dsp:spPr>
        <a:xfrm>
          <a:off x="1901398" y="3001166"/>
          <a:ext cx="642471" cy="428314"/>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labels_au</a:t>
          </a:r>
        </a:p>
      </dsp:txBody>
      <dsp:txXfrm>
        <a:off x="1901398" y="3001166"/>
        <a:ext cx="642471" cy="343484"/>
      </dsp:txXfrm>
    </dsp:sp>
    <dsp:sp modelId="{5A6DA8C2-1BBB-4438-BD9D-53243E868872}">
      <dsp:nvSpPr>
        <dsp:cNvPr id="0" name=""/>
        <dsp:cNvSpPr/>
      </dsp:nvSpPr>
      <dsp:spPr>
        <a:xfrm>
          <a:off x="3057847" y="2829841"/>
          <a:ext cx="434101" cy="171325"/>
        </a:xfrm>
        <a:custGeom>
          <a:avLst/>
          <a:gdLst/>
          <a:ahLst/>
          <a:cxnLst/>
          <a:rect l="0" t="0" r="0" b="0"/>
          <a:pathLst>
            <a:path>
              <a:moveTo>
                <a:pt x="434101" y="0"/>
              </a:moveTo>
              <a:lnTo>
                <a:pt x="434101" y="85662"/>
              </a:lnTo>
              <a:lnTo>
                <a:pt x="0" y="85662"/>
              </a:lnTo>
              <a:lnTo>
                <a:pt x="0" y="171325"/>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5E9AB58-7BC6-400E-B9CF-787FEAEA05A8}">
      <dsp:nvSpPr>
        <dsp:cNvPr id="0" name=""/>
        <dsp:cNvSpPr/>
      </dsp:nvSpPr>
      <dsp:spPr>
        <a:xfrm>
          <a:off x="2736611" y="3001166"/>
          <a:ext cx="642471" cy="428314"/>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linkbases_au</a:t>
          </a:r>
        </a:p>
      </dsp:txBody>
      <dsp:txXfrm>
        <a:off x="2736611" y="3001166"/>
        <a:ext cx="642471" cy="343484"/>
      </dsp:txXfrm>
    </dsp:sp>
    <dsp:sp modelId="{B91C360A-B627-4B65-B7A7-BE1655D9BA57}">
      <dsp:nvSpPr>
        <dsp:cNvPr id="0" name=""/>
        <dsp:cNvSpPr/>
      </dsp:nvSpPr>
      <dsp:spPr>
        <a:xfrm>
          <a:off x="2459378" y="3429481"/>
          <a:ext cx="598468" cy="171325"/>
        </a:xfrm>
        <a:custGeom>
          <a:avLst/>
          <a:gdLst/>
          <a:ahLst/>
          <a:cxnLst/>
          <a:rect l="0" t="0" r="0" b="0"/>
          <a:pathLst>
            <a:path>
              <a:moveTo>
                <a:pt x="598468" y="0"/>
              </a:moveTo>
              <a:lnTo>
                <a:pt x="598468" y="85662"/>
              </a:lnTo>
              <a:lnTo>
                <a:pt x="0" y="85662"/>
              </a:lnTo>
              <a:lnTo>
                <a:pt x="0" y="171325"/>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985D432-F39A-4D1D-832E-D472B40C7951}">
      <dsp:nvSpPr>
        <dsp:cNvPr id="0" name=""/>
        <dsp:cNvSpPr/>
      </dsp:nvSpPr>
      <dsp:spPr>
        <a:xfrm>
          <a:off x="2138143" y="3600806"/>
          <a:ext cx="642471" cy="428314"/>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aasb_1058</a:t>
          </a:r>
        </a:p>
      </dsp:txBody>
      <dsp:txXfrm>
        <a:off x="2138143" y="3600806"/>
        <a:ext cx="642471" cy="343484"/>
      </dsp:txXfrm>
    </dsp:sp>
    <dsp:sp modelId="{3F24FD26-6644-499B-8139-AAC494A4568D}">
      <dsp:nvSpPr>
        <dsp:cNvPr id="0" name=""/>
        <dsp:cNvSpPr/>
      </dsp:nvSpPr>
      <dsp:spPr>
        <a:xfrm>
          <a:off x="3057847" y="3429481"/>
          <a:ext cx="417606" cy="171325"/>
        </a:xfrm>
        <a:custGeom>
          <a:avLst/>
          <a:gdLst/>
          <a:ahLst/>
          <a:cxnLst/>
          <a:rect l="0" t="0" r="0" b="0"/>
          <a:pathLst>
            <a:path>
              <a:moveTo>
                <a:pt x="0" y="0"/>
              </a:moveTo>
              <a:lnTo>
                <a:pt x="0" y="85662"/>
              </a:lnTo>
              <a:lnTo>
                <a:pt x="417606" y="85662"/>
              </a:lnTo>
              <a:lnTo>
                <a:pt x="417606" y="171325"/>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E3E01BB-487D-47D5-A924-207023ACC2FF}">
      <dsp:nvSpPr>
        <dsp:cNvPr id="0" name=""/>
        <dsp:cNvSpPr/>
      </dsp:nvSpPr>
      <dsp:spPr>
        <a:xfrm>
          <a:off x="2973355" y="3600806"/>
          <a:ext cx="1004195" cy="428314"/>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au_additional_disclosures_entry_point_1</a:t>
          </a:r>
        </a:p>
      </dsp:txBody>
      <dsp:txXfrm>
        <a:off x="2973355" y="3600806"/>
        <a:ext cx="1004195" cy="343484"/>
      </dsp:txXfrm>
    </dsp:sp>
    <dsp:sp modelId="{8E7200C5-EF42-42DC-AFDA-5A2382C1118B}">
      <dsp:nvSpPr>
        <dsp:cNvPr id="0" name=""/>
        <dsp:cNvSpPr/>
      </dsp:nvSpPr>
      <dsp:spPr>
        <a:xfrm>
          <a:off x="3491948" y="2829841"/>
          <a:ext cx="835212" cy="171325"/>
        </a:xfrm>
        <a:custGeom>
          <a:avLst/>
          <a:gdLst/>
          <a:ahLst/>
          <a:cxnLst/>
          <a:rect l="0" t="0" r="0" b="0"/>
          <a:pathLst>
            <a:path>
              <a:moveTo>
                <a:pt x="0" y="0"/>
              </a:moveTo>
              <a:lnTo>
                <a:pt x="0" y="85662"/>
              </a:lnTo>
              <a:lnTo>
                <a:pt x="835212" y="85662"/>
              </a:lnTo>
              <a:lnTo>
                <a:pt x="835212" y="171325"/>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D9E9E75-CD36-4F6F-A4B5-9DF8213225D6}">
      <dsp:nvSpPr>
        <dsp:cNvPr id="0" name=""/>
        <dsp:cNvSpPr/>
      </dsp:nvSpPr>
      <dsp:spPr>
        <a:xfrm>
          <a:off x="3571824" y="3001166"/>
          <a:ext cx="1510674" cy="23262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ifrs_au-cor_2025-08-21.xsd</a:t>
          </a:r>
        </a:p>
      </dsp:txBody>
      <dsp:txXfrm>
        <a:off x="3578637" y="3007979"/>
        <a:ext cx="1497048" cy="218995"/>
      </dsp:txXfrm>
    </dsp:sp>
    <dsp:sp modelId="{2E94BF55-23E0-4F8B-B63D-AFD7F72C7506}">
      <dsp:nvSpPr>
        <dsp:cNvPr id="0" name=""/>
        <dsp:cNvSpPr/>
      </dsp:nvSpPr>
      <dsp:spPr>
        <a:xfrm>
          <a:off x="4433612" y="2230201"/>
          <a:ext cx="255449" cy="171325"/>
        </a:xfrm>
        <a:custGeom>
          <a:avLst/>
          <a:gdLst/>
          <a:ahLst/>
          <a:cxnLst/>
          <a:rect l="0" t="0" r="0" b="0"/>
          <a:pathLst>
            <a:path>
              <a:moveTo>
                <a:pt x="255449" y="0"/>
              </a:moveTo>
              <a:lnTo>
                <a:pt x="255449" y="85662"/>
              </a:lnTo>
              <a:lnTo>
                <a:pt x="0" y="85662"/>
              </a:lnTo>
              <a:lnTo>
                <a:pt x="0" y="171325"/>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72BA02B-E426-4FBC-A2DE-2D2473E1C18E}">
      <dsp:nvSpPr>
        <dsp:cNvPr id="0" name=""/>
        <dsp:cNvSpPr/>
      </dsp:nvSpPr>
      <dsp:spPr>
        <a:xfrm>
          <a:off x="4043343" y="2401527"/>
          <a:ext cx="780538" cy="428314"/>
        </a:xfrm>
        <a:prstGeom prst="flowChartDocument">
          <a:avLst/>
        </a:prstGeom>
        <a:solidFill>
          <a:srgbClr val="FFC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full_ifrs </a:t>
          </a:r>
        </a:p>
        <a:p>
          <a:pPr marL="0" lvl="0" indent="0" algn="ctr" defTabSz="355600">
            <a:lnSpc>
              <a:spcPct val="90000"/>
            </a:lnSpc>
            <a:spcBef>
              <a:spcPct val="0"/>
            </a:spcBef>
            <a:spcAft>
              <a:spcPct val="35000"/>
            </a:spcAft>
            <a:buNone/>
          </a:pPr>
          <a:r>
            <a:rPr lang="en-AU" sz="800" b="1" kern="1200"/>
            <a:t>(see note *)</a:t>
          </a:r>
        </a:p>
      </dsp:txBody>
      <dsp:txXfrm>
        <a:off x="4043343" y="2401527"/>
        <a:ext cx="780538" cy="343484"/>
      </dsp:txXfrm>
    </dsp:sp>
    <dsp:sp modelId="{7270E921-E8B6-4458-9D48-8F0789A3697F}">
      <dsp:nvSpPr>
        <dsp:cNvPr id="0" name=""/>
        <dsp:cNvSpPr/>
      </dsp:nvSpPr>
      <dsp:spPr>
        <a:xfrm>
          <a:off x="4689062" y="2230201"/>
          <a:ext cx="1359269" cy="171325"/>
        </a:xfrm>
        <a:custGeom>
          <a:avLst/>
          <a:gdLst/>
          <a:ahLst/>
          <a:cxnLst/>
          <a:rect l="0" t="0" r="0" b="0"/>
          <a:pathLst>
            <a:path>
              <a:moveTo>
                <a:pt x="0" y="0"/>
              </a:moveTo>
              <a:lnTo>
                <a:pt x="0" y="85662"/>
              </a:lnTo>
              <a:lnTo>
                <a:pt x="1359269" y="85662"/>
              </a:lnTo>
              <a:lnTo>
                <a:pt x="1359269" y="171325"/>
              </a:lnTo>
            </a:path>
          </a:pathLst>
        </a:custGeom>
        <a:noFill/>
        <a:ln w="9525" cap="flat" cmpd="sng" algn="ctr">
          <a:solidFill>
            <a:schemeClr val="accent6">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7B31E12-1EED-49C0-B143-09C1AB621E61}">
      <dsp:nvSpPr>
        <dsp:cNvPr id="0" name=""/>
        <dsp:cNvSpPr/>
      </dsp:nvSpPr>
      <dsp:spPr>
        <a:xfrm>
          <a:off x="5016622" y="2401527"/>
          <a:ext cx="2063418" cy="28821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b="1" kern="1200"/>
            <a:t>full_ifrs_with_AU_extensions_entry_point_1_2025-08-21.xsd</a:t>
          </a:r>
        </a:p>
      </dsp:txBody>
      <dsp:txXfrm>
        <a:off x="5025063" y="2409968"/>
        <a:ext cx="2046536" cy="2713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C739B-0DE3-4269-BD73-F3F56EF99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11302</Words>
  <Characters>64424</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75575</CharactersWithSpaces>
  <SharedDoc>false</SharedDoc>
  <HLinks>
    <vt:vector size="432" baseType="variant">
      <vt:variant>
        <vt:i4>2424959</vt:i4>
      </vt:variant>
      <vt:variant>
        <vt:i4>384</vt:i4>
      </vt:variant>
      <vt:variant>
        <vt:i4>0</vt:i4>
      </vt:variant>
      <vt:variant>
        <vt:i4>5</vt:i4>
      </vt:variant>
      <vt:variant>
        <vt:lpwstr>http://www.iso.org/</vt:lpwstr>
      </vt:variant>
      <vt:variant>
        <vt:lpwstr/>
      </vt:variant>
      <vt:variant>
        <vt:i4>2424959</vt:i4>
      </vt:variant>
      <vt:variant>
        <vt:i4>381</vt:i4>
      </vt:variant>
      <vt:variant>
        <vt:i4>0</vt:i4>
      </vt:variant>
      <vt:variant>
        <vt:i4>5</vt:i4>
      </vt:variant>
      <vt:variant>
        <vt:lpwstr>http://www.iso.org/</vt:lpwstr>
      </vt:variant>
      <vt:variant>
        <vt:lpwstr/>
      </vt:variant>
      <vt:variant>
        <vt:i4>3801197</vt:i4>
      </vt:variant>
      <vt:variant>
        <vt:i4>378</vt:i4>
      </vt:variant>
      <vt:variant>
        <vt:i4>0</vt:i4>
      </vt:variant>
      <vt:variant>
        <vt:i4>5</vt:i4>
      </vt:variant>
      <vt:variant>
        <vt:lpwstr>http://www.asic.gov.au/ARBN</vt:lpwstr>
      </vt:variant>
      <vt:variant>
        <vt:lpwstr/>
      </vt:variant>
      <vt:variant>
        <vt:i4>2818157</vt:i4>
      </vt:variant>
      <vt:variant>
        <vt:i4>375</vt:i4>
      </vt:variant>
      <vt:variant>
        <vt:i4>0</vt:i4>
      </vt:variant>
      <vt:variant>
        <vt:i4>5</vt:i4>
      </vt:variant>
      <vt:variant>
        <vt:lpwstr>http://www.asic.gov.au/ARSN</vt:lpwstr>
      </vt:variant>
      <vt:variant>
        <vt:lpwstr/>
      </vt:variant>
      <vt:variant>
        <vt:i4>3539068</vt:i4>
      </vt:variant>
      <vt:variant>
        <vt:i4>372</vt:i4>
      </vt:variant>
      <vt:variant>
        <vt:i4>0</vt:i4>
      </vt:variant>
      <vt:variant>
        <vt:i4>5</vt:i4>
      </vt:variant>
      <vt:variant>
        <vt:lpwstr>http://www.asic.gov.au/ACN</vt:lpwstr>
      </vt:variant>
      <vt:variant>
        <vt:lpwstr/>
      </vt:variant>
      <vt:variant>
        <vt:i4>8192105</vt:i4>
      </vt:variant>
      <vt:variant>
        <vt:i4>369</vt:i4>
      </vt:variant>
      <vt:variant>
        <vt:i4>0</vt:i4>
      </vt:variant>
      <vt:variant>
        <vt:i4>5</vt:i4>
      </vt:variant>
      <vt:variant>
        <vt:lpwstr>http://www.sbr.gov.au/Developers/Downloads_-_2009_December/ASIC_-_Profit_and_loss_statement_and_balance_sheet_FS70.aspx</vt:lpwstr>
      </vt:variant>
      <vt:variant>
        <vt:lpwstr/>
      </vt:variant>
      <vt:variant>
        <vt:i4>8192105</vt:i4>
      </vt:variant>
      <vt:variant>
        <vt:i4>366</vt:i4>
      </vt:variant>
      <vt:variant>
        <vt:i4>0</vt:i4>
      </vt:variant>
      <vt:variant>
        <vt:i4>5</vt:i4>
      </vt:variant>
      <vt:variant>
        <vt:lpwstr>http://www.sbr.gov.au/Developers/Downloads_-_2009_December/ASIC_-_Profit_and_loss_statement_and_balance_sheet_FS70.aspx</vt:lpwstr>
      </vt:variant>
      <vt:variant>
        <vt:lpwstr/>
      </vt:variant>
      <vt:variant>
        <vt:i4>8192105</vt:i4>
      </vt:variant>
      <vt:variant>
        <vt:i4>363</vt:i4>
      </vt:variant>
      <vt:variant>
        <vt:i4>0</vt:i4>
      </vt:variant>
      <vt:variant>
        <vt:i4>5</vt:i4>
      </vt:variant>
      <vt:variant>
        <vt:lpwstr>http://www.sbr.gov.au/Developers/Downloads_-_2009_December/ASIC_-_Profit_and_loss_statement_and_balance_sheet_FS70.aspx</vt:lpwstr>
      </vt:variant>
      <vt:variant>
        <vt:lpwstr/>
      </vt:variant>
      <vt:variant>
        <vt:i4>8257641</vt:i4>
      </vt:variant>
      <vt:variant>
        <vt:i4>360</vt:i4>
      </vt:variant>
      <vt:variant>
        <vt:i4>0</vt:i4>
      </vt:variant>
      <vt:variant>
        <vt:i4>5</vt:i4>
      </vt:variant>
      <vt:variant>
        <vt:lpwstr>http://www.sbr.gov.au/Developers/Downloads/Downloads_by_form.aspx?form=ASIC%20Notification%20of%20half%20yearly%20reports%20(7051</vt:lpwstr>
      </vt:variant>
      <vt:variant>
        <vt:lpwstr/>
      </vt:variant>
      <vt:variant>
        <vt:i4>1638426</vt:i4>
      </vt:variant>
      <vt:variant>
        <vt:i4>357</vt:i4>
      </vt:variant>
      <vt:variant>
        <vt:i4>0</vt:i4>
      </vt:variant>
      <vt:variant>
        <vt:i4>5</vt:i4>
      </vt:variant>
      <vt:variant>
        <vt:lpwstr>http://www.sbr.gov.au/Developers/Downloads/Items/MIG_-_ASIC_Copy_of_Financial_Statements_and_Reports_coversheet_-_Form_388.aspx</vt:lpwstr>
      </vt:variant>
      <vt:variant>
        <vt:lpwstr/>
      </vt:variant>
      <vt:variant>
        <vt:i4>3407987</vt:i4>
      </vt:variant>
      <vt:variant>
        <vt:i4>354</vt:i4>
      </vt:variant>
      <vt:variant>
        <vt:i4>0</vt:i4>
      </vt:variant>
      <vt:variant>
        <vt:i4>5</vt:i4>
      </vt:variant>
      <vt:variant>
        <vt:lpwstr>http://www.sbr.gov.au/Developers/Software_developers_kit.aspx</vt:lpwstr>
      </vt:variant>
      <vt:variant>
        <vt:lpwstr/>
      </vt:variant>
      <vt:variant>
        <vt:i4>1179736</vt:i4>
      </vt:variant>
      <vt:variant>
        <vt:i4>351</vt:i4>
      </vt:variant>
      <vt:variant>
        <vt:i4>0</vt:i4>
      </vt:variant>
      <vt:variant>
        <vt:i4>5</vt:i4>
      </vt:variant>
      <vt:variant>
        <vt:lpwstr>http://www.sbr.gov.au/Developers/Downloads/Common_component_download_items/Re-usable_components/2009_-_SBR_-_Taxonomy_Architecture_-_v11_2.aspx</vt:lpwstr>
      </vt:variant>
      <vt:variant>
        <vt:lpwstr/>
      </vt:variant>
      <vt:variant>
        <vt:i4>6684709</vt:i4>
      </vt:variant>
      <vt:variant>
        <vt:i4>348</vt:i4>
      </vt:variant>
      <vt:variant>
        <vt:i4>0</vt:i4>
      </vt:variant>
      <vt:variant>
        <vt:i4>5</vt:i4>
      </vt:variant>
      <vt:variant>
        <vt:lpwstr>http://www.sbr.gov.au/Developers/Downloads/Common_component_download_items/Web_services/2009_-_WIG_-_Common_Components_-_V2_1e.aspx</vt:lpwstr>
      </vt:variant>
      <vt:variant>
        <vt:lpwstr/>
      </vt:variant>
      <vt:variant>
        <vt:i4>4128807</vt:i4>
      </vt:variant>
      <vt:variant>
        <vt:i4>345</vt:i4>
      </vt:variant>
      <vt:variant>
        <vt:i4>0</vt:i4>
      </vt:variant>
      <vt:variant>
        <vt:i4>5</vt:i4>
      </vt:variant>
      <vt:variant>
        <vt:lpwstr>http://www.ietf.org/rfc/rfc2119.txt</vt:lpwstr>
      </vt:variant>
      <vt:variant>
        <vt:lpwstr/>
      </vt:variant>
      <vt:variant>
        <vt:i4>3866634</vt:i4>
      </vt:variant>
      <vt:variant>
        <vt:i4>342</vt:i4>
      </vt:variant>
      <vt:variant>
        <vt:i4>0</vt:i4>
      </vt:variant>
      <vt:variant>
        <vt:i4>5</vt:i4>
      </vt:variant>
      <vt:variant>
        <vt:lpwstr>http://www.sbr.gov.au/Developers/SBR_Taxonomy/Glossary.aspx</vt:lpwstr>
      </vt:variant>
      <vt:variant>
        <vt:lpwstr/>
      </vt:variant>
      <vt:variant>
        <vt:i4>1572918</vt:i4>
      </vt:variant>
      <vt:variant>
        <vt:i4>335</vt:i4>
      </vt:variant>
      <vt:variant>
        <vt:i4>0</vt:i4>
      </vt:variant>
      <vt:variant>
        <vt:i4>5</vt:i4>
      </vt:variant>
      <vt:variant>
        <vt:lpwstr/>
      </vt:variant>
      <vt:variant>
        <vt:lpwstr>_Toc262121491</vt:lpwstr>
      </vt:variant>
      <vt:variant>
        <vt:i4>1572918</vt:i4>
      </vt:variant>
      <vt:variant>
        <vt:i4>329</vt:i4>
      </vt:variant>
      <vt:variant>
        <vt:i4>0</vt:i4>
      </vt:variant>
      <vt:variant>
        <vt:i4>5</vt:i4>
      </vt:variant>
      <vt:variant>
        <vt:lpwstr/>
      </vt:variant>
      <vt:variant>
        <vt:lpwstr>_Toc262121490</vt:lpwstr>
      </vt:variant>
      <vt:variant>
        <vt:i4>1638454</vt:i4>
      </vt:variant>
      <vt:variant>
        <vt:i4>323</vt:i4>
      </vt:variant>
      <vt:variant>
        <vt:i4>0</vt:i4>
      </vt:variant>
      <vt:variant>
        <vt:i4>5</vt:i4>
      </vt:variant>
      <vt:variant>
        <vt:lpwstr/>
      </vt:variant>
      <vt:variant>
        <vt:lpwstr>_Toc262121489</vt:lpwstr>
      </vt:variant>
      <vt:variant>
        <vt:i4>1638454</vt:i4>
      </vt:variant>
      <vt:variant>
        <vt:i4>317</vt:i4>
      </vt:variant>
      <vt:variant>
        <vt:i4>0</vt:i4>
      </vt:variant>
      <vt:variant>
        <vt:i4>5</vt:i4>
      </vt:variant>
      <vt:variant>
        <vt:lpwstr/>
      </vt:variant>
      <vt:variant>
        <vt:lpwstr>_Toc262121488</vt:lpwstr>
      </vt:variant>
      <vt:variant>
        <vt:i4>1638454</vt:i4>
      </vt:variant>
      <vt:variant>
        <vt:i4>311</vt:i4>
      </vt:variant>
      <vt:variant>
        <vt:i4>0</vt:i4>
      </vt:variant>
      <vt:variant>
        <vt:i4>5</vt:i4>
      </vt:variant>
      <vt:variant>
        <vt:lpwstr/>
      </vt:variant>
      <vt:variant>
        <vt:lpwstr>_Toc262121487</vt:lpwstr>
      </vt:variant>
      <vt:variant>
        <vt:i4>1638454</vt:i4>
      </vt:variant>
      <vt:variant>
        <vt:i4>305</vt:i4>
      </vt:variant>
      <vt:variant>
        <vt:i4>0</vt:i4>
      </vt:variant>
      <vt:variant>
        <vt:i4>5</vt:i4>
      </vt:variant>
      <vt:variant>
        <vt:lpwstr/>
      </vt:variant>
      <vt:variant>
        <vt:lpwstr>_Toc262121486</vt:lpwstr>
      </vt:variant>
      <vt:variant>
        <vt:i4>1638454</vt:i4>
      </vt:variant>
      <vt:variant>
        <vt:i4>299</vt:i4>
      </vt:variant>
      <vt:variant>
        <vt:i4>0</vt:i4>
      </vt:variant>
      <vt:variant>
        <vt:i4>5</vt:i4>
      </vt:variant>
      <vt:variant>
        <vt:lpwstr/>
      </vt:variant>
      <vt:variant>
        <vt:lpwstr>_Toc262121485</vt:lpwstr>
      </vt:variant>
      <vt:variant>
        <vt:i4>1638454</vt:i4>
      </vt:variant>
      <vt:variant>
        <vt:i4>293</vt:i4>
      </vt:variant>
      <vt:variant>
        <vt:i4>0</vt:i4>
      </vt:variant>
      <vt:variant>
        <vt:i4>5</vt:i4>
      </vt:variant>
      <vt:variant>
        <vt:lpwstr/>
      </vt:variant>
      <vt:variant>
        <vt:lpwstr>_Toc262121484</vt:lpwstr>
      </vt:variant>
      <vt:variant>
        <vt:i4>1638454</vt:i4>
      </vt:variant>
      <vt:variant>
        <vt:i4>287</vt:i4>
      </vt:variant>
      <vt:variant>
        <vt:i4>0</vt:i4>
      </vt:variant>
      <vt:variant>
        <vt:i4>5</vt:i4>
      </vt:variant>
      <vt:variant>
        <vt:lpwstr/>
      </vt:variant>
      <vt:variant>
        <vt:lpwstr>_Toc262121483</vt:lpwstr>
      </vt:variant>
      <vt:variant>
        <vt:i4>1638454</vt:i4>
      </vt:variant>
      <vt:variant>
        <vt:i4>281</vt:i4>
      </vt:variant>
      <vt:variant>
        <vt:i4>0</vt:i4>
      </vt:variant>
      <vt:variant>
        <vt:i4>5</vt:i4>
      </vt:variant>
      <vt:variant>
        <vt:lpwstr/>
      </vt:variant>
      <vt:variant>
        <vt:lpwstr>_Toc262121482</vt:lpwstr>
      </vt:variant>
      <vt:variant>
        <vt:i4>1638454</vt:i4>
      </vt:variant>
      <vt:variant>
        <vt:i4>275</vt:i4>
      </vt:variant>
      <vt:variant>
        <vt:i4>0</vt:i4>
      </vt:variant>
      <vt:variant>
        <vt:i4>5</vt:i4>
      </vt:variant>
      <vt:variant>
        <vt:lpwstr/>
      </vt:variant>
      <vt:variant>
        <vt:lpwstr>_Toc262121481</vt:lpwstr>
      </vt:variant>
      <vt:variant>
        <vt:i4>1638454</vt:i4>
      </vt:variant>
      <vt:variant>
        <vt:i4>269</vt:i4>
      </vt:variant>
      <vt:variant>
        <vt:i4>0</vt:i4>
      </vt:variant>
      <vt:variant>
        <vt:i4>5</vt:i4>
      </vt:variant>
      <vt:variant>
        <vt:lpwstr/>
      </vt:variant>
      <vt:variant>
        <vt:lpwstr>_Toc262121480</vt:lpwstr>
      </vt:variant>
      <vt:variant>
        <vt:i4>1441846</vt:i4>
      </vt:variant>
      <vt:variant>
        <vt:i4>263</vt:i4>
      </vt:variant>
      <vt:variant>
        <vt:i4>0</vt:i4>
      </vt:variant>
      <vt:variant>
        <vt:i4>5</vt:i4>
      </vt:variant>
      <vt:variant>
        <vt:lpwstr/>
      </vt:variant>
      <vt:variant>
        <vt:lpwstr>_Toc262121479</vt:lpwstr>
      </vt:variant>
      <vt:variant>
        <vt:i4>1441846</vt:i4>
      </vt:variant>
      <vt:variant>
        <vt:i4>257</vt:i4>
      </vt:variant>
      <vt:variant>
        <vt:i4>0</vt:i4>
      </vt:variant>
      <vt:variant>
        <vt:i4>5</vt:i4>
      </vt:variant>
      <vt:variant>
        <vt:lpwstr/>
      </vt:variant>
      <vt:variant>
        <vt:lpwstr>_Toc262121478</vt:lpwstr>
      </vt:variant>
      <vt:variant>
        <vt:i4>1441846</vt:i4>
      </vt:variant>
      <vt:variant>
        <vt:i4>251</vt:i4>
      </vt:variant>
      <vt:variant>
        <vt:i4>0</vt:i4>
      </vt:variant>
      <vt:variant>
        <vt:i4>5</vt:i4>
      </vt:variant>
      <vt:variant>
        <vt:lpwstr/>
      </vt:variant>
      <vt:variant>
        <vt:lpwstr>_Toc262121477</vt:lpwstr>
      </vt:variant>
      <vt:variant>
        <vt:i4>1441846</vt:i4>
      </vt:variant>
      <vt:variant>
        <vt:i4>245</vt:i4>
      </vt:variant>
      <vt:variant>
        <vt:i4>0</vt:i4>
      </vt:variant>
      <vt:variant>
        <vt:i4>5</vt:i4>
      </vt:variant>
      <vt:variant>
        <vt:lpwstr/>
      </vt:variant>
      <vt:variant>
        <vt:lpwstr>_Toc262121476</vt:lpwstr>
      </vt:variant>
      <vt:variant>
        <vt:i4>1441846</vt:i4>
      </vt:variant>
      <vt:variant>
        <vt:i4>239</vt:i4>
      </vt:variant>
      <vt:variant>
        <vt:i4>0</vt:i4>
      </vt:variant>
      <vt:variant>
        <vt:i4>5</vt:i4>
      </vt:variant>
      <vt:variant>
        <vt:lpwstr/>
      </vt:variant>
      <vt:variant>
        <vt:lpwstr>_Toc262121475</vt:lpwstr>
      </vt:variant>
      <vt:variant>
        <vt:i4>1441846</vt:i4>
      </vt:variant>
      <vt:variant>
        <vt:i4>233</vt:i4>
      </vt:variant>
      <vt:variant>
        <vt:i4>0</vt:i4>
      </vt:variant>
      <vt:variant>
        <vt:i4>5</vt:i4>
      </vt:variant>
      <vt:variant>
        <vt:lpwstr/>
      </vt:variant>
      <vt:variant>
        <vt:lpwstr>_Toc262121474</vt:lpwstr>
      </vt:variant>
      <vt:variant>
        <vt:i4>1441846</vt:i4>
      </vt:variant>
      <vt:variant>
        <vt:i4>227</vt:i4>
      </vt:variant>
      <vt:variant>
        <vt:i4>0</vt:i4>
      </vt:variant>
      <vt:variant>
        <vt:i4>5</vt:i4>
      </vt:variant>
      <vt:variant>
        <vt:lpwstr/>
      </vt:variant>
      <vt:variant>
        <vt:lpwstr>_Toc262121473</vt:lpwstr>
      </vt:variant>
      <vt:variant>
        <vt:i4>1441846</vt:i4>
      </vt:variant>
      <vt:variant>
        <vt:i4>221</vt:i4>
      </vt:variant>
      <vt:variant>
        <vt:i4>0</vt:i4>
      </vt:variant>
      <vt:variant>
        <vt:i4>5</vt:i4>
      </vt:variant>
      <vt:variant>
        <vt:lpwstr/>
      </vt:variant>
      <vt:variant>
        <vt:lpwstr>_Toc262121472</vt:lpwstr>
      </vt:variant>
      <vt:variant>
        <vt:i4>1441846</vt:i4>
      </vt:variant>
      <vt:variant>
        <vt:i4>215</vt:i4>
      </vt:variant>
      <vt:variant>
        <vt:i4>0</vt:i4>
      </vt:variant>
      <vt:variant>
        <vt:i4>5</vt:i4>
      </vt:variant>
      <vt:variant>
        <vt:lpwstr/>
      </vt:variant>
      <vt:variant>
        <vt:lpwstr>_Toc262121471</vt:lpwstr>
      </vt:variant>
      <vt:variant>
        <vt:i4>1441846</vt:i4>
      </vt:variant>
      <vt:variant>
        <vt:i4>209</vt:i4>
      </vt:variant>
      <vt:variant>
        <vt:i4>0</vt:i4>
      </vt:variant>
      <vt:variant>
        <vt:i4>5</vt:i4>
      </vt:variant>
      <vt:variant>
        <vt:lpwstr/>
      </vt:variant>
      <vt:variant>
        <vt:lpwstr>_Toc262121470</vt:lpwstr>
      </vt:variant>
      <vt:variant>
        <vt:i4>1507382</vt:i4>
      </vt:variant>
      <vt:variant>
        <vt:i4>203</vt:i4>
      </vt:variant>
      <vt:variant>
        <vt:i4>0</vt:i4>
      </vt:variant>
      <vt:variant>
        <vt:i4>5</vt:i4>
      </vt:variant>
      <vt:variant>
        <vt:lpwstr/>
      </vt:variant>
      <vt:variant>
        <vt:lpwstr>_Toc262121469</vt:lpwstr>
      </vt:variant>
      <vt:variant>
        <vt:i4>1507382</vt:i4>
      </vt:variant>
      <vt:variant>
        <vt:i4>197</vt:i4>
      </vt:variant>
      <vt:variant>
        <vt:i4>0</vt:i4>
      </vt:variant>
      <vt:variant>
        <vt:i4>5</vt:i4>
      </vt:variant>
      <vt:variant>
        <vt:lpwstr/>
      </vt:variant>
      <vt:variant>
        <vt:lpwstr>_Toc262121468</vt:lpwstr>
      </vt:variant>
      <vt:variant>
        <vt:i4>1507382</vt:i4>
      </vt:variant>
      <vt:variant>
        <vt:i4>191</vt:i4>
      </vt:variant>
      <vt:variant>
        <vt:i4>0</vt:i4>
      </vt:variant>
      <vt:variant>
        <vt:i4>5</vt:i4>
      </vt:variant>
      <vt:variant>
        <vt:lpwstr/>
      </vt:variant>
      <vt:variant>
        <vt:lpwstr>_Toc262121467</vt:lpwstr>
      </vt:variant>
      <vt:variant>
        <vt:i4>1507382</vt:i4>
      </vt:variant>
      <vt:variant>
        <vt:i4>185</vt:i4>
      </vt:variant>
      <vt:variant>
        <vt:i4>0</vt:i4>
      </vt:variant>
      <vt:variant>
        <vt:i4>5</vt:i4>
      </vt:variant>
      <vt:variant>
        <vt:lpwstr/>
      </vt:variant>
      <vt:variant>
        <vt:lpwstr>_Toc262121466</vt:lpwstr>
      </vt:variant>
      <vt:variant>
        <vt:i4>1507382</vt:i4>
      </vt:variant>
      <vt:variant>
        <vt:i4>179</vt:i4>
      </vt:variant>
      <vt:variant>
        <vt:i4>0</vt:i4>
      </vt:variant>
      <vt:variant>
        <vt:i4>5</vt:i4>
      </vt:variant>
      <vt:variant>
        <vt:lpwstr/>
      </vt:variant>
      <vt:variant>
        <vt:lpwstr>_Toc262121465</vt:lpwstr>
      </vt:variant>
      <vt:variant>
        <vt:i4>1507382</vt:i4>
      </vt:variant>
      <vt:variant>
        <vt:i4>173</vt:i4>
      </vt:variant>
      <vt:variant>
        <vt:i4>0</vt:i4>
      </vt:variant>
      <vt:variant>
        <vt:i4>5</vt:i4>
      </vt:variant>
      <vt:variant>
        <vt:lpwstr/>
      </vt:variant>
      <vt:variant>
        <vt:lpwstr>_Toc262121464</vt:lpwstr>
      </vt:variant>
      <vt:variant>
        <vt:i4>1507382</vt:i4>
      </vt:variant>
      <vt:variant>
        <vt:i4>167</vt:i4>
      </vt:variant>
      <vt:variant>
        <vt:i4>0</vt:i4>
      </vt:variant>
      <vt:variant>
        <vt:i4>5</vt:i4>
      </vt:variant>
      <vt:variant>
        <vt:lpwstr/>
      </vt:variant>
      <vt:variant>
        <vt:lpwstr>_Toc262121463</vt:lpwstr>
      </vt:variant>
      <vt:variant>
        <vt:i4>1507382</vt:i4>
      </vt:variant>
      <vt:variant>
        <vt:i4>161</vt:i4>
      </vt:variant>
      <vt:variant>
        <vt:i4>0</vt:i4>
      </vt:variant>
      <vt:variant>
        <vt:i4>5</vt:i4>
      </vt:variant>
      <vt:variant>
        <vt:lpwstr/>
      </vt:variant>
      <vt:variant>
        <vt:lpwstr>_Toc262121462</vt:lpwstr>
      </vt:variant>
      <vt:variant>
        <vt:i4>1507382</vt:i4>
      </vt:variant>
      <vt:variant>
        <vt:i4>155</vt:i4>
      </vt:variant>
      <vt:variant>
        <vt:i4>0</vt:i4>
      </vt:variant>
      <vt:variant>
        <vt:i4>5</vt:i4>
      </vt:variant>
      <vt:variant>
        <vt:lpwstr/>
      </vt:variant>
      <vt:variant>
        <vt:lpwstr>_Toc262121461</vt:lpwstr>
      </vt:variant>
      <vt:variant>
        <vt:i4>1507382</vt:i4>
      </vt:variant>
      <vt:variant>
        <vt:i4>149</vt:i4>
      </vt:variant>
      <vt:variant>
        <vt:i4>0</vt:i4>
      </vt:variant>
      <vt:variant>
        <vt:i4>5</vt:i4>
      </vt:variant>
      <vt:variant>
        <vt:lpwstr/>
      </vt:variant>
      <vt:variant>
        <vt:lpwstr>_Toc262121460</vt:lpwstr>
      </vt:variant>
      <vt:variant>
        <vt:i4>1310774</vt:i4>
      </vt:variant>
      <vt:variant>
        <vt:i4>143</vt:i4>
      </vt:variant>
      <vt:variant>
        <vt:i4>0</vt:i4>
      </vt:variant>
      <vt:variant>
        <vt:i4>5</vt:i4>
      </vt:variant>
      <vt:variant>
        <vt:lpwstr/>
      </vt:variant>
      <vt:variant>
        <vt:lpwstr>_Toc262121459</vt:lpwstr>
      </vt:variant>
      <vt:variant>
        <vt:i4>1310774</vt:i4>
      </vt:variant>
      <vt:variant>
        <vt:i4>137</vt:i4>
      </vt:variant>
      <vt:variant>
        <vt:i4>0</vt:i4>
      </vt:variant>
      <vt:variant>
        <vt:i4>5</vt:i4>
      </vt:variant>
      <vt:variant>
        <vt:lpwstr/>
      </vt:variant>
      <vt:variant>
        <vt:lpwstr>_Toc262121458</vt:lpwstr>
      </vt:variant>
      <vt:variant>
        <vt:i4>1310774</vt:i4>
      </vt:variant>
      <vt:variant>
        <vt:i4>131</vt:i4>
      </vt:variant>
      <vt:variant>
        <vt:i4>0</vt:i4>
      </vt:variant>
      <vt:variant>
        <vt:i4>5</vt:i4>
      </vt:variant>
      <vt:variant>
        <vt:lpwstr/>
      </vt:variant>
      <vt:variant>
        <vt:lpwstr>_Toc262121456</vt:lpwstr>
      </vt:variant>
      <vt:variant>
        <vt:i4>1310774</vt:i4>
      </vt:variant>
      <vt:variant>
        <vt:i4>125</vt:i4>
      </vt:variant>
      <vt:variant>
        <vt:i4>0</vt:i4>
      </vt:variant>
      <vt:variant>
        <vt:i4>5</vt:i4>
      </vt:variant>
      <vt:variant>
        <vt:lpwstr/>
      </vt:variant>
      <vt:variant>
        <vt:lpwstr>_Toc262121455</vt:lpwstr>
      </vt:variant>
      <vt:variant>
        <vt:i4>1310774</vt:i4>
      </vt:variant>
      <vt:variant>
        <vt:i4>119</vt:i4>
      </vt:variant>
      <vt:variant>
        <vt:i4>0</vt:i4>
      </vt:variant>
      <vt:variant>
        <vt:i4>5</vt:i4>
      </vt:variant>
      <vt:variant>
        <vt:lpwstr/>
      </vt:variant>
      <vt:variant>
        <vt:lpwstr>_Toc262121454</vt:lpwstr>
      </vt:variant>
      <vt:variant>
        <vt:i4>1376310</vt:i4>
      </vt:variant>
      <vt:variant>
        <vt:i4>113</vt:i4>
      </vt:variant>
      <vt:variant>
        <vt:i4>0</vt:i4>
      </vt:variant>
      <vt:variant>
        <vt:i4>5</vt:i4>
      </vt:variant>
      <vt:variant>
        <vt:lpwstr/>
      </vt:variant>
      <vt:variant>
        <vt:lpwstr>_Toc262121445</vt:lpwstr>
      </vt:variant>
      <vt:variant>
        <vt:i4>1179702</vt:i4>
      </vt:variant>
      <vt:variant>
        <vt:i4>107</vt:i4>
      </vt:variant>
      <vt:variant>
        <vt:i4>0</vt:i4>
      </vt:variant>
      <vt:variant>
        <vt:i4>5</vt:i4>
      </vt:variant>
      <vt:variant>
        <vt:lpwstr/>
      </vt:variant>
      <vt:variant>
        <vt:lpwstr>_Toc262121437</vt:lpwstr>
      </vt:variant>
      <vt:variant>
        <vt:i4>1179702</vt:i4>
      </vt:variant>
      <vt:variant>
        <vt:i4>101</vt:i4>
      </vt:variant>
      <vt:variant>
        <vt:i4>0</vt:i4>
      </vt:variant>
      <vt:variant>
        <vt:i4>5</vt:i4>
      </vt:variant>
      <vt:variant>
        <vt:lpwstr/>
      </vt:variant>
      <vt:variant>
        <vt:lpwstr>_Toc262121436</vt:lpwstr>
      </vt:variant>
      <vt:variant>
        <vt:i4>1179702</vt:i4>
      </vt:variant>
      <vt:variant>
        <vt:i4>95</vt:i4>
      </vt:variant>
      <vt:variant>
        <vt:i4>0</vt:i4>
      </vt:variant>
      <vt:variant>
        <vt:i4>5</vt:i4>
      </vt:variant>
      <vt:variant>
        <vt:lpwstr/>
      </vt:variant>
      <vt:variant>
        <vt:lpwstr>_Toc262121430</vt:lpwstr>
      </vt:variant>
      <vt:variant>
        <vt:i4>1245238</vt:i4>
      </vt:variant>
      <vt:variant>
        <vt:i4>89</vt:i4>
      </vt:variant>
      <vt:variant>
        <vt:i4>0</vt:i4>
      </vt:variant>
      <vt:variant>
        <vt:i4>5</vt:i4>
      </vt:variant>
      <vt:variant>
        <vt:lpwstr/>
      </vt:variant>
      <vt:variant>
        <vt:lpwstr>_Toc262121429</vt:lpwstr>
      </vt:variant>
      <vt:variant>
        <vt:i4>1245238</vt:i4>
      </vt:variant>
      <vt:variant>
        <vt:i4>83</vt:i4>
      </vt:variant>
      <vt:variant>
        <vt:i4>0</vt:i4>
      </vt:variant>
      <vt:variant>
        <vt:i4>5</vt:i4>
      </vt:variant>
      <vt:variant>
        <vt:lpwstr/>
      </vt:variant>
      <vt:variant>
        <vt:lpwstr>_Toc262121428</vt:lpwstr>
      </vt:variant>
      <vt:variant>
        <vt:i4>1245238</vt:i4>
      </vt:variant>
      <vt:variant>
        <vt:i4>77</vt:i4>
      </vt:variant>
      <vt:variant>
        <vt:i4>0</vt:i4>
      </vt:variant>
      <vt:variant>
        <vt:i4>5</vt:i4>
      </vt:variant>
      <vt:variant>
        <vt:lpwstr/>
      </vt:variant>
      <vt:variant>
        <vt:lpwstr>_Toc262121427</vt:lpwstr>
      </vt:variant>
      <vt:variant>
        <vt:i4>1245238</vt:i4>
      </vt:variant>
      <vt:variant>
        <vt:i4>71</vt:i4>
      </vt:variant>
      <vt:variant>
        <vt:i4>0</vt:i4>
      </vt:variant>
      <vt:variant>
        <vt:i4>5</vt:i4>
      </vt:variant>
      <vt:variant>
        <vt:lpwstr/>
      </vt:variant>
      <vt:variant>
        <vt:lpwstr>_Toc262121426</vt:lpwstr>
      </vt:variant>
      <vt:variant>
        <vt:i4>1245238</vt:i4>
      </vt:variant>
      <vt:variant>
        <vt:i4>65</vt:i4>
      </vt:variant>
      <vt:variant>
        <vt:i4>0</vt:i4>
      </vt:variant>
      <vt:variant>
        <vt:i4>5</vt:i4>
      </vt:variant>
      <vt:variant>
        <vt:lpwstr/>
      </vt:variant>
      <vt:variant>
        <vt:lpwstr>_Toc262121425</vt:lpwstr>
      </vt:variant>
      <vt:variant>
        <vt:i4>1245238</vt:i4>
      </vt:variant>
      <vt:variant>
        <vt:i4>59</vt:i4>
      </vt:variant>
      <vt:variant>
        <vt:i4>0</vt:i4>
      </vt:variant>
      <vt:variant>
        <vt:i4>5</vt:i4>
      </vt:variant>
      <vt:variant>
        <vt:lpwstr/>
      </vt:variant>
      <vt:variant>
        <vt:lpwstr>_Toc262121424</vt:lpwstr>
      </vt:variant>
      <vt:variant>
        <vt:i4>1245238</vt:i4>
      </vt:variant>
      <vt:variant>
        <vt:i4>53</vt:i4>
      </vt:variant>
      <vt:variant>
        <vt:i4>0</vt:i4>
      </vt:variant>
      <vt:variant>
        <vt:i4>5</vt:i4>
      </vt:variant>
      <vt:variant>
        <vt:lpwstr/>
      </vt:variant>
      <vt:variant>
        <vt:lpwstr>_Toc262121423</vt:lpwstr>
      </vt:variant>
      <vt:variant>
        <vt:i4>1245238</vt:i4>
      </vt:variant>
      <vt:variant>
        <vt:i4>47</vt:i4>
      </vt:variant>
      <vt:variant>
        <vt:i4>0</vt:i4>
      </vt:variant>
      <vt:variant>
        <vt:i4>5</vt:i4>
      </vt:variant>
      <vt:variant>
        <vt:lpwstr/>
      </vt:variant>
      <vt:variant>
        <vt:lpwstr>_Toc262121422</vt:lpwstr>
      </vt:variant>
      <vt:variant>
        <vt:i4>1245238</vt:i4>
      </vt:variant>
      <vt:variant>
        <vt:i4>41</vt:i4>
      </vt:variant>
      <vt:variant>
        <vt:i4>0</vt:i4>
      </vt:variant>
      <vt:variant>
        <vt:i4>5</vt:i4>
      </vt:variant>
      <vt:variant>
        <vt:lpwstr/>
      </vt:variant>
      <vt:variant>
        <vt:lpwstr>_Toc262121421</vt:lpwstr>
      </vt:variant>
      <vt:variant>
        <vt:i4>1245238</vt:i4>
      </vt:variant>
      <vt:variant>
        <vt:i4>35</vt:i4>
      </vt:variant>
      <vt:variant>
        <vt:i4>0</vt:i4>
      </vt:variant>
      <vt:variant>
        <vt:i4>5</vt:i4>
      </vt:variant>
      <vt:variant>
        <vt:lpwstr/>
      </vt:variant>
      <vt:variant>
        <vt:lpwstr>_Toc262121420</vt:lpwstr>
      </vt:variant>
      <vt:variant>
        <vt:i4>1048630</vt:i4>
      </vt:variant>
      <vt:variant>
        <vt:i4>29</vt:i4>
      </vt:variant>
      <vt:variant>
        <vt:i4>0</vt:i4>
      </vt:variant>
      <vt:variant>
        <vt:i4>5</vt:i4>
      </vt:variant>
      <vt:variant>
        <vt:lpwstr/>
      </vt:variant>
      <vt:variant>
        <vt:lpwstr>_Toc262121419</vt:lpwstr>
      </vt:variant>
      <vt:variant>
        <vt:i4>1048630</vt:i4>
      </vt:variant>
      <vt:variant>
        <vt:i4>23</vt:i4>
      </vt:variant>
      <vt:variant>
        <vt:i4>0</vt:i4>
      </vt:variant>
      <vt:variant>
        <vt:i4>5</vt:i4>
      </vt:variant>
      <vt:variant>
        <vt:lpwstr/>
      </vt:variant>
      <vt:variant>
        <vt:lpwstr>_Toc262121418</vt:lpwstr>
      </vt:variant>
      <vt:variant>
        <vt:i4>1048630</vt:i4>
      </vt:variant>
      <vt:variant>
        <vt:i4>17</vt:i4>
      </vt:variant>
      <vt:variant>
        <vt:i4>0</vt:i4>
      </vt:variant>
      <vt:variant>
        <vt:i4>5</vt:i4>
      </vt:variant>
      <vt:variant>
        <vt:lpwstr/>
      </vt:variant>
      <vt:variant>
        <vt:lpwstr>_Toc262121417</vt:lpwstr>
      </vt:variant>
      <vt:variant>
        <vt:i4>1048630</vt:i4>
      </vt:variant>
      <vt:variant>
        <vt:i4>11</vt:i4>
      </vt:variant>
      <vt:variant>
        <vt:i4>0</vt:i4>
      </vt:variant>
      <vt:variant>
        <vt:i4>5</vt:i4>
      </vt:variant>
      <vt:variant>
        <vt:lpwstr/>
      </vt:variant>
      <vt:variant>
        <vt:lpwstr>_Toc262121416</vt:lpwstr>
      </vt:variant>
      <vt:variant>
        <vt:i4>7667752</vt:i4>
      </vt:variant>
      <vt:variant>
        <vt:i4>6</vt:i4>
      </vt:variant>
      <vt:variant>
        <vt:i4>0</vt:i4>
      </vt:variant>
      <vt:variant>
        <vt:i4>5</vt:i4>
      </vt:variant>
      <vt:variant>
        <vt:lpwstr>http://www.sbr.gov.au/</vt:lpwstr>
      </vt:variant>
      <vt:variant>
        <vt:lpwstr/>
      </vt:variant>
      <vt:variant>
        <vt:i4>2752597</vt:i4>
      </vt:variant>
      <vt:variant>
        <vt:i4>3</vt:i4>
      </vt:variant>
      <vt:variant>
        <vt:i4>0</vt:i4>
      </vt:variant>
      <vt:variant>
        <vt:i4>5</vt:i4>
      </vt:variant>
      <vt:variant>
        <vt:lpwstr>mailto:SBRServiceDesk@ato.gov.au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2025-08-27T01:42:00Z</dcterms:created>
  <dcterms:modified xsi:type="dcterms:W3CDTF">2025-08-27T01:42:00Z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6d34dd2c,2b235d59,10156f58,2d744d34,6ca6f51,541d75c,383e96ec,201658fb,138e342f,574af083,5427ff92,4c90631d</vt:lpwstr>
  </property>
  <property fmtid="{D5CDD505-2E9C-101B-9397-08002B2CF9AE}" pid="3" name="ClassificationContentMarkingHeaderFontProps">
    <vt:lpwstr>#b40029,10,Verdana</vt:lpwstr>
  </property>
  <property fmtid="{D5CDD505-2E9C-101B-9397-08002B2CF9AE}" pid="4" name="ClassificationContentMarkingHeaderText">
    <vt:lpwstr>OFFICIAL</vt:lpwstr>
  </property>
  <property fmtid="{D5CDD505-2E9C-101B-9397-08002B2CF9AE}" pid="5" name="ClassificationContentMarkingFooterShapeIds">
    <vt:lpwstr>45031845,5c50959f,7e6de299,4a075d75,3dbe85de,4a0524e1,62aa085b,1b67b147,280dfcaa,5591250d,5dd4346c,5f42905d</vt:lpwstr>
  </property>
  <property fmtid="{D5CDD505-2E9C-101B-9397-08002B2CF9AE}" pid="6" name="ClassificationContentMarkingFooterFontProps">
    <vt:lpwstr>#b40029,10,Verdana</vt:lpwstr>
  </property>
  <property fmtid="{D5CDD505-2E9C-101B-9397-08002B2CF9AE}" pid="7" name="ClassificationContentMarkingFooterText">
    <vt:lpwstr>OFFICIAL</vt:lpwstr>
  </property>
  <property fmtid="{D5CDD505-2E9C-101B-9397-08002B2CF9AE}" pid="8" name="MSIP_Label_c111c204-3025-4293-a668-517002c3f023_Enabled">
    <vt:lpwstr>true</vt:lpwstr>
  </property>
  <property fmtid="{D5CDD505-2E9C-101B-9397-08002B2CF9AE}" pid="9" name="MSIP_Label_c111c204-3025-4293-a668-517002c3f023_SetDate">
    <vt:lpwstr>2025-08-27T01:42:54Z</vt:lpwstr>
  </property>
  <property fmtid="{D5CDD505-2E9C-101B-9397-08002B2CF9AE}" pid="10" name="MSIP_Label_c111c204-3025-4293-a668-517002c3f023_Method">
    <vt:lpwstr>Privileged</vt:lpwstr>
  </property>
  <property fmtid="{D5CDD505-2E9C-101B-9397-08002B2CF9AE}" pid="11" name="MSIP_Label_c111c204-3025-4293-a668-517002c3f023_Name">
    <vt:lpwstr>OFFICIAL</vt:lpwstr>
  </property>
  <property fmtid="{D5CDD505-2E9C-101B-9397-08002B2CF9AE}" pid="12" name="MSIP_Label_c111c204-3025-4293-a668-517002c3f023_SiteId">
    <vt:lpwstr>8e823e99-cbcb-430f-a0f6-af1365c21e22</vt:lpwstr>
  </property>
  <property fmtid="{D5CDD505-2E9C-101B-9397-08002B2CF9AE}" pid="13" name="MSIP_Label_c111c204-3025-4293-a668-517002c3f023_ActionId">
    <vt:lpwstr>c4ef8373-8584-4c25-84dc-61f8c33d0e6f</vt:lpwstr>
  </property>
  <property fmtid="{D5CDD505-2E9C-101B-9397-08002B2CF9AE}" pid="14" name="MSIP_Label_c111c204-3025-4293-a668-517002c3f023_ContentBits">
    <vt:lpwstr>3</vt:lpwstr>
  </property>
</Properties>
</file>