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BC2757"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1;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4021D9D1" w:rsidR="00DC4A1D" w:rsidRPr="005A5464" w:rsidRDefault="00B26203" w:rsidP="005A5464">
            <w:pPr>
              <w:pStyle w:val="ReportTitle"/>
              <w:spacing w:after="0"/>
              <w:ind w:left="442"/>
              <w:rPr>
                <w:rFonts w:cs="Arial"/>
                <w:i/>
                <w:sz w:val="50"/>
                <w:szCs w:val="50"/>
              </w:rPr>
            </w:pPr>
            <w:r>
              <w:rPr>
                <w:sz w:val="50"/>
              </w:rPr>
              <w:t>MAT</w:t>
            </w:r>
            <w:r w:rsidR="00C53B57">
              <w:rPr>
                <w:sz w:val="50"/>
              </w:rPr>
              <w:t>.0001</w:t>
            </w:r>
            <w:r w:rsidR="005002A9">
              <w:rPr>
                <w:sz w:val="50"/>
              </w:rPr>
              <w:t xml:space="preserve"> 201</w:t>
            </w:r>
            <w:r>
              <w:rPr>
                <w:sz w:val="50"/>
              </w:rPr>
              <w:t>5</w:t>
            </w:r>
            <w:r w:rsidR="0061051D">
              <w:rPr>
                <w:sz w:val="50"/>
              </w:rPr>
              <w:t xml:space="preserve"> </w:t>
            </w:r>
            <w:r w:rsidR="003F74E6">
              <w:rPr>
                <w:sz w:val="50"/>
              </w:rPr>
              <w:t>Package v</w:t>
            </w:r>
            <w:r w:rsidR="005F7938">
              <w:rPr>
                <w:sz w:val="50"/>
              </w:rPr>
              <w:t>1.0</w:t>
            </w:r>
            <w:r w:rsidR="00A179ED">
              <w:rPr>
                <w:sz w:val="50"/>
              </w:rPr>
              <w:t xml:space="preserve"> </w:t>
            </w:r>
            <w:bookmarkStart w:id="1" w:name="_GoBack"/>
            <w:bookmarkEnd w:id="1"/>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1DC9FBB3"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5F7938">
              <w:rPr>
                <w:rFonts w:ascii="Arial" w:hAnsi="Arial" w:cs="Arial"/>
                <w:sz w:val="28"/>
                <w:szCs w:val="28"/>
              </w:rPr>
              <w:t>19</w:t>
            </w:r>
            <w:r w:rsidR="005F7938" w:rsidRPr="005F7938">
              <w:rPr>
                <w:rFonts w:ascii="Arial" w:hAnsi="Arial" w:cs="Arial"/>
                <w:sz w:val="28"/>
                <w:szCs w:val="28"/>
                <w:vertAlign w:val="superscript"/>
              </w:rPr>
              <w:t>th</w:t>
            </w:r>
            <w:r w:rsidR="005F7938">
              <w:rPr>
                <w:rFonts w:ascii="Arial" w:hAnsi="Arial" w:cs="Arial"/>
                <w:sz w:val="28"/>
                <w:szCs w:val="28"/>
              </w:rPr>
              <w:t xml:space="preserve"> April 2018</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BC2757" w:rsidP="000E5315">
            <w:pPr>
              <w:spacing w:before="60" w:after="60"/>
              <w:rPr>
                <w:rFonts w:cs="Arial"/>
                <w:b/>
              </w:rPr>
            </w:pPr>
            <w:r>
              <w:rPr>
                <w:rFonts w:cs="Arial"/>
              </w:rPr>
              <w:pict w14:anchorId="538FA16F">
                <v:shape id="_x0000_i1025" type="#_x0000_t75" style="width:13.5pt;height:13.5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BC2757" w:rsidP="00671422">
            <w:pPr>
              <w:spacing w:before="60" w:after="60"/>
            </w:pPr>
            <w:r>
              <w:pict w14:anchorId="48311423">
                <v:shape id="_x0000_i1026" type="#_x0000_t75" style="width:13.5pt;height:13.5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9B06E0"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9B06E0" w:rsidRDefault="00994810" w:rsidP="005709D0">
            <w:pPr>
              <w:pStyle w:val="VersionHead"/>
              <w:spacing w:before="120" w:after="120"/>
            </w:pPr>
            <w:bookmarkStart w:id="2" w:name="_Hlk230516160"/>
            <w:r w:rsidRPr="009B06E0">
              <w:t>Version</w:t>
            </w:r>
          </w:p>
        </w:tc>
        <w:tc>
          <w:tcPr>
            <w:tcW w:w="1590" w:type="dxa"/>
            <w:tcBorders>
              <w:top w:val="single" w:sz="4" w:space="0" w:color="auto"/>
              <w:bottom w:val="single" w:sz="6" w:space="0" w:color="auto"/>
            </w:tcBorders>
            <w:shd w:val="clear" w:color="auto" w:fill="C6D9F1"/>
          </w:tcPr>
          <w:p w14:paraId="5AD7C401" w14:textId="77777777" w:rsidR="00994810" w:rsidRPr="009B06E0" w:rsidRDefault="00994810" w:rsidP="005709D0">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228739C0" w14:textId="77777777" w:rsidR="00994810" w:rsidRPr="009B06E0" w:rsidRDefault="00994810" w:rsidP="005709D0">
            <w:pPr>
              <w:pStyle w:val="VersionHead"/>
              <w:spacing w:before="120" w:after="120"/>
            </w:pPr>
            <w:r w:rsidRPr="009B06E0">
              <w:t>Description of changes</w:t>
            </w:r>
          </w:p>
        </w:tc>
      </w:tr>
      <w:tr w:rsidR="00AE6F2F" w:rsidRPr="009B06E0" w14:paraId="678754B4" w14:textId="77777777" w:rsidTr="00D723BB">
        <w:tc>
          <w:tcPr>
            <w:tcW w:w="1163" w:type="dxa"/>
            <w:tcBorders>
              <w:top w:val="single" w:sz="6" w:space="0" w:color="auto"/>
              <w:bottom w:val="single" w:sz="6" w:space="0" w:color="auto"/>
            </w:tcBorders>
          </w:tcPr>
          <w:p w14:paraId="0E37B65C" w14:textId="737D719B" w:rsidR="00AE6F2F" w:rsidRDefault="00AE6F2F" w:rsidP="0004097D">
            <w:pPr>
              <w:pStyle w:val="Version2"/>
              <w:spacing w:before="120" w:after="120"/>
            </w:pPr>
            <w:r>
              <w:t>1.0</w:t>
            </w:r>
          </w:p>
        </w:tc>
        <w:tc>
          <w:tcPr>
            <w:tcW w:w="1590" w:type="dxa"/>
            <w:tcBorders>
              <w:top w:val="single" w:sz="6" w:space="0" w:color="auto"/>
              <w:bottom w:val="single" w:sz="6" w:space="0" w:color="auto"/>
            </w:tcBorders>
          </w:tcPr>
          <w:p w14:paraId="0A5B8F4A" w14:textId="2E7C3D3F" w:rsidR="00AE6F2F" w:rsidRDefault="00AE6F2F" w:rsidP="0061051D">
            <w:pPr>
              <w:pStyle w:val="Version2"/>
              <w:spacing w:before="120" w:after="120"/>
            </w:pPr>
            <w:r>
              <w:t>19/04/2018</w:t>
            </w:r>
          </w:p>
        </w:tc>
        <w:tc>
          <w:tcPr>
            <w:tcW w:w="6490" w:type="dxa"/>
            <w:tcBorders>
              <w:top w:val="single" w:sz="6" w:space="0" w:color="auto"/>
              <w:bottom w:val="single" w:sz="6" w:space="0" w:color="auto"/>
            </w:tcBorders>
          </w:tcPr>
          <w:p w14:paraId="7594C646" w14:textId="340FF17E" w:rsidR="00AE6F2F" w:rsidRDefault="00AE6F2F" w:rsidP="003F74E6">
            <w:pPr>
              <w:pStyle w:val="Version2"/>
              <w:spacing w:before="120" w:after="120"/>
            </w:pPr>
            <w:r>
              <w:t>All artefacts versioned to Final. No functional changes.</w:t>
            </w:r>
          </w:p>
        </w:tc>
      </w:tr>
      <w:tr w:rsidR="003F74E6" w:rsidRPr="009B06E0" w14:paraId="03CBEC93" w14:textId="77777777" w:rsidTr="00D723BB">
        <w:tc>
          <w:tcPr>
            <w:tcW w:w="1163" w:type="dxa"/>
            <w:tcBorders>
              <w:top w:val="single" w:sz="6" w:space="0" w:color="auto"/>
              <w:bottom w:val="single" w:sz="6" w:space="0" w:color="auto"/>
            </w:tcBorders>
          </w:tcPr>
          <w:p w14:paraId="5A9CF858" w14:textId="413F86C3" w:rsidR="003F74E6" w:rsidRDefault="003F74E6" w:rsidP="0004097D">
            <w:pPr>
              <w:pStyle w:val="Version2"/>
              <w:spacing w:before="120" w:after="120"/>
            </w:pPr>
            <w:r>
              <w:t>0.4</w:t>
            </w:r>
          </w:p>
        </w:tc>
        <w:tc>
          <w:tcPr>
            <w:tcW w:w="1590" w:type="dxa"/>
            <w:tcBorders>
              <w:top w:val="single" w:sz="6" w:space="0" w:color="auto"/>
              <w:bottom w:val="single" w:sz="6" w:space="0" w:color="auto"/>
            </w:tcBorders>
          </w:tcPr>
          <w:p w14:paraId="52F01FA2" w14:textId="3D21CBFE" w:rsidR="003F74E6" w:rsidRDefault="003F74E6" w:rsidP="0061051D">
            <w:pPr>
              <w:pStyle w:val="Version2"/>
              <w:spacing w:before="120" w:after="120"/>
            </w:pPr>
            <w:r>
              <w:t>16/07/2015</w:t>
            </w:r>
          </w:p>
        </w:tc>
        <w:tc>
          <w:tcPr>
            <w:tcW w:w="6490" w:type="dxa"/>
            <w:tcBorders>
              <w:top w:val="single" w:sz="6" w:space="0" w:color="auto"/>
              <w:bottom w:val="single" w:sz="6" w:space="0" w:color="auto"/>
            </w:tcBorders>
          </w:tcPr>
          <w:p w14:paraId="19055C00" w14:textId="77777777" w:rsidR="003F74E6" w:rsidRDefault="003F74E6" w:rsidP="003F74E6">
            <w:pPr>
              <w:pStyle w:val="Version2"/>
              <w:spacing w:before="120" w:after="120"/>
              <w:rPr>
                <w:b/>
              </w:rPr>
            </w:pPr>
            <w:r>
              <w:t xml:space="preserve">This document has been updated for the July 2015 EVTE Release.  </w:t>
            </w:r>
          </w:p>
          <w:p w14:paraId="7DA73D85" w14:textId="77777777" w:rsidR="003F74E6" w:rsidRDefault="003F74E6" w:rsidP="003F74E6">
            <w:pPr>
              <w:pStyle w:val="Version2"/>
              <w:spacing w:before="120" w:after="120"/>
              <w:rPr>
                <w:b/>
              </w:rPr>
            </w:pPr>
            <w:r w:rsidRPr="00A176C6">
              <w:rPr>
                <w:b/>
              </w:rPr>
              <w:t>Updates:</w:t>
            </w:r>
          </w:p>
          <w:p w14:paraId="2CCD24F0" w14:textId="77777777" w:rsidR="003F74E6" w:rsidRPr="001B756B" w:rsidRDefault="003F74E6" w:rsidP="003F74E6">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542BC5B2" w14:textId="535570B1" w:rsidR="00770E62" w:rsidRPr="00770E62" w:rsidRDefault="00770E62" w:rsidP="00770E62">
            <w:pPr>
              <w:pStyle w:val="Version2"/>
              <w:numPr>
                <w:ilvl w:val="0"/>
                <w:numId w:val="28"/>
              </w:numPr>
              <w:rPr>
                <w:b/>
                <w:color w:val="365F91"/>
                <w:sz w:val="20"/>
                <w:szCs w:val="20"/>
              </w:rPr>
            </w:pPr>
            <w:r w:rsidRPr="00770E62">
              <w:rPr>
                <w:b/>
                <w:color w:val="365F91"/>
                <w:sz w:val="20"/>
                <w:szCs w:val="20"/>
              </w:rPr>
              <w:t>ATO MAT.0001 2015 Message Repository.xml</w:t>
            </w:r>
            <w:r w:rsidR="00DA6438">
              <w:rPr>
                <w:b/>
                <w:color w:val="365F91"/>
                <w:sz w:val="20"/>
                <w:szCs w:val="20"/>
              </w:rPr>
              <w:t>-</w:t>
            </w:r>
            <w:r w:rsidR="00DA6438">
              <w:rPr>
                <w:rFonts w:ascii="Calibri" w:hAnsi="Calibri" w:cs="Calibri"/>
                <w:color w:val="000000"/>
              </w:rPr>
              <w:t xml:space="preserve"> </w:t>
            </w:r>
            <w:r w:rsidR="00BA5514">
              <w:rPr>
                <w:rFonts w:ascii="Calibri" w:hAnsi="Calibri" w:cs="Calibri"/>
                <w:color w:val="000000"/>
              </w:rPr>
              <w:t>U</w:t>
            </w:r>
            <w:r w:rsidR="00DA6438">
              <w:rPr>
                <w:rFonts w:ascii="Calibri" w:hAnsi="Calibri" w:cs="Calibri"/>
                <w:color w:val="000000"/>
              </w:rPr>
              <w:t xml:space="preserve">pdated response messages to include </w:t>
            </w:r>
            <w:r w:rsidR="00DA6438" w:rsidRPr="004B3408">
              <w:rPr>
                <w:rFonts w:ascii="Calibri" w:hAnsi="Calibri" w:cs="Calibri"/>
                <w:color w:val="000000"/>
              </w:rPr>
              <w:t xml:space="preserve">Interactive Error Handler </w:t>
            </w:r>
            <w:r w:rsidR="00DA6438">
              <w:rPr>
                <w:rFonts w:ascii="Calibri" w:hAnsi="Calibri" w:cs="Calibri"/>
                <w:color w:val="000000"/>
              </w:rPr>
              <w:t>messages.</w:t>
            </w:r>
          </w:p>
          <w:p w14:paraId="79693742" w14:textId="1A804F17" w:rsidR="00770E62" w:rsidRPr="00BA5514" w:rsidRDefault="00770E62" w:rsidP="00770E62">
            <w:pPr>
              <w:pStyle w:val="Version2"/>
              <w:numPr>
                <w:ilvl w:val="0"/>
                <w:numId w:val="28"/>
              </w:numPr>
              <w:rPr>
                <w:color w:val="365F91"/>
                <w:sz w:val="20"/>
                <w:szCs w:val="20"/>
              </w:rPr>
            </w:pPr>
            <w:r w:rsidRPr="00770E62">
              <w:rPr>
                <w:b/>
                <w:color w:val="365F91"/>
                <w:sz w:val="20"/>
                <w:szCs w:val="20"/>
              </w:rPr>
              <w:t>ATO MAT.0001 2015 Schematron.zip</w:t>
            </w:r>
            <w:r w:rsidR="00DA6438" w:rsidRPr="00BA5514">
              <w:rPr>
                <w:color w:val="365F91"/>
                <w:sz w:val="20"/>
                <w:szCs w:val="20"/>
              </w:rPr>
              <w:t>-</w:t>
            </w:r>
            <w:r w:rsidR="00BA5514">
              <w:rPr>
                <w:b/>
                <w:color w:val="1F497D"/>
                <w:sz w:val="20"/>
                <w:szCs w:val="20"/>
              </w:rPr>
              <w:t xml:space="preserve"> </w:t>
            </w:r>
            <w:r w:rsidR="00BA5514">
              <w:rPr>
                <w:rFonts w:ascii="Calibri" w:hAnsi="Calibri" w:cs="Calibri"/>
                <w:color w:val="000000"/>
              </w:rPr>
              <w:t>refer below.</w:t>
            </w:r>
          </w:p>
          <w:p w14:paraId="60FA779F" w14:textId="060C6487" w:rsidR="003F74E6" w:rsidRDefault="003F74E6" w:rsidP="003F74E6">
            <w:pPr>
              <w:pStyle w:val="Version2"/>
              <w:spacing w:before="120" w:after="120"/>
            </w:pPr>
            <w:r>
              <w:t>Refer to section 2 of this document for a description of the change relevant to an artefact.</w:t>
            </w:r>
          </w:p>
        </w:tc>
      </w:tr>
      <w:tr w:rsidR="00A036FA" w:rsidRPr="009B06E0" w14:paraId="7D99EAA7" w14:textId="77777777" w:rsidTr="00D723BB">
        <w:tc>
          <w:tcPr>
            <w:tcW w:w="1163" w:type="dxa"/>
            <w:tcBorders>
              <w:top w:val="single" w:sz="6" w:space="0" w:color="auto"/>
              <w:bottom w:val="single" w:sz="6" w:space="0" w:color="auto"/>
            </w:tcBorders>
          </w:tcPr>
          <w:p w14:paraId="217EF45D" w14:textId="14CBFBFC" w:rsidR="00A036FA" w:rsidRDefault="00A036FA" w:rsidP="0004097D">
            <w:pPr>
              <w:pStyle w:val="Version2"/>
              <w:spacing w:before="120" w:after="120"/>
            </w:pPr>
            <w:r>
              <w:t>0.3</w:t>
            </w:r>
          </w:p>
        </w:tc>
        <w:tc>
          <w:tcPr>
            <w:tcW w:w="1590" w:type="dxa"/>
            <w:tcBorders>
              <w:top w:val="single" w:sz="6" w:space="0" w:color="auto"/>
              <w:bottom w:val="single" w:sz="6" w:space="0" w:color="auto"/>
            </w:tcBorders>
          </w:tcPr>
          <w:p w14:paraId="1E714EAE" w14:textId="1FE5271F" w:rsidR="00A036FA" w:rsidRDefault="00A036FA" w:rsidP="0061051D">
            <w:pPr>
              <w:pStyle w:val="Version2"/>
              <w:spacing w:before="120" w:after="120"/>
            </w:pPr>
            <w:r>
              <w:t>21/05/2015</w:t>
            </w:r>
          </w:p>
        </w:tc>
        <w:tc>
          <w:tcPr>
            <w:tcW w:w="6490" w:type="dxa"/>
            <w:tcBorders>
              <w:top w:val="single" w:sz="6" w:space="0" w:color="auto"/>
              <w:bottom w:val="single" w:sz="6" w:space="0" w:color="auto"/>
            </w:tcBorders>
          </w:tcPr>
          <w:p w14:paraId="408FB13D" w14:textId="33AB02B1" w:rsidR="00C53B57" w:rsidRDefault="00C53B57" w:rsidP="00C53B57">
            <w:pPr>
              <w:pStyle w:val="Version2"/>
              <w:spacing w:before="120" w:after="120"/>
              <w:rPr>
                <w:b/>
              </w:rPr>
            </w:pPr>
            <w:r>
              <w:t xml:space="preserve">This document has been updated for the May 2015 EVTE Release.  </w:t>
            </w:r>
          </w:p>
          <w:p w14:paraId="638F5809" w14:textId="77777777" w:rsidR="00C53B57" w:rsidRPr="00C53B57" w:rsidRDefault="00C53B57" w:rsidP="00C53B57">
            <w:pPr>
              <w:pStyle w:val="Version2"/>
              <w:spacing w:before="120" w:after="120"/>
            </w:pPr>
            <w:r w:rsidRPr="00A176C6">
              <w:rPr>
                <w:b/>
              </w:rPr>
              <w:t>Updates:</w:t>
            </w:r>
          </w:p>
          <w:p w14:paraId="0D313A2C" w14:textId="701C1906" w:rsidR="00C53B57" w:rsidRDefault="00C53B57" w:rsidP="00C53B57">
            <w:pPr>
              <w:pStyle w:val="Version2"/>
              <w:spacing w:before="120" w:after="120"/>
              <w:ind w:left="0"/>
            </w:pPr>
            <w:r>
              <w:t>The following artefact has</w:t>
            </w:r>
            <w:r w:rsidRPr="001660DF">
              <w:t xml:space="preserve"> been</w:t>
            </w:r>
            <w:r>
              <w:t xml:space="preserve"> updated to include the </w:t>
            </w:r>
            <w:r w:rsidRPr="00C53B57">
              <w:t>Interactive Error Handler messages</w:t>
            </w:r>
            <w:r>
              <w:t>:</w:t>
            </w:r>
          </w:p>
          <w:p w14:paraId="09B990F9" w14:textId="31232E19" w:rsidR="00C53B57" w:rsidRDefault="00C53B57" w:rsidP="00C53B57">
            <w:pPr>
              <w:pStyle w:val="Version2"/>
              <w:numPr>
                <w:ilvl w:val="0"/>
                <w:numId w:val="27"/>
              </w:numPr>
              <w:spacing w:before="0" w:after="0"/>
              <w:ind w:left="748" w:hanging="357"/>
              <w:rPr>
                <w:b/>
                <w:color w:val="1F497D"/>
                <w:sz w:val="20"/>
                <w:szCs w:val="20"/>
              </w:rPr>
            </w:pPr>
            <w:r w:rsidRPr="00C53B57">
              <w:rPr>
                <w:b/>
                <w:color w:val="1F497D"/>
                <w:sz w:val="20"/>
                <w:szCs w:val="20"/>
              </w:rPr>
              <w:t>ATO MAT</w:t>
            </w:r>
            <w:r w:rsidR="00B65C44">
              <w:rPr>
                <w:b/>
                <w:color w:val="1F497D"/>
                <w:sz w:val="20"/>
                <w:szCs w:val="20"/>
              </w:rPr>
              <w:t>.0001</w:t>
            </w:r>
            <w:r w:rsidRPr="00C53B57">
              <w:rPr>
                <w:b/>
                <w:color w:val="1F497D"/>
                <w:sz w:val="20"/>
                <w:szCs w:val="20"/>
              </w:rPr>
              <w:t xml:space="preserve"> 2015 Message Repository.xml</w:t>
            </w:r>
          </w:p>
          <w:p w14:paraId="3CDAFE5E" w14:textId="77777777" w:rsidR="004026D4" w:rsidRDefault="004026D4" w:rsidP="004026D4">
            <w:pPr>
              <w:pStyle w:val="Version2"/>
              <w:spacing w:before="0" w:after="0"/>
              <w:ind w:left="748"/>
              <w:rPr>
                <w:b/>
                <w:color w:val="1F497D"/>
                <w:sz w:val="20"/>
                <w:szCs w:val="20"/>
              </w:rPr>
            </w:pPr>
          </w:p>
          <w:p w14:paraId="668514B4" w14:textId="02270B43" w:rsidR="004026D4" w:rsidRPr="001B756B" w:rsidRDefault="004026D4" w:rsidP="004026D4">
            <w:pPr>
              <w:pStyle w:val="Version2"/>
              <w:spacing w:before="0" w:after="0"/>
              <w:rPr>
                <w:b/>
                <w:color w:val="1F497D"/>
                <w:sz w:val="20"/>
                <w:szCs w:val="20"/>
              </w:rPr>
            </w:pPr>
            <w:r w:rsidRPr="001660DF">
              <w:t xml:space="preserve">The following artefacts have been updated </w:t>
            </w:r>
            <w:r>
              <w:t>with</w:t>
            </w:r>
            <w:r w:rsidRPr="001B756B">
              <w:rPr>
                <w:b/>
              </w:rPr>
              <w:t xml:space="preserve"> </w:t>
            </w:r>
            <w:r>
              <w:rPr>
                <w:b/>
              </w:rPr>
              <w:t>non-</w:t>
            </w:r>
            <w:r w:rsidRPr="001B756B">
              <w:rPr>
                <w:b/>
              </w:rPr>
              <w:t>functional changes:</w:t>
            </w:r>
          </w:p>
          <w:p w14:paraId="2B2962D9" w14:textId="306900F4" w:rsidR="004026D4" w:rsidRPr="004026D4" w:rsidRDefault="004026D4" w:rsidP="004026D4">
            <w:pPr>
              <w:pStyle w:val="Version2"/>
              <w:numPr>
                <w:ilvl w:val="0"/>
                <w:numId w:val="28"/>
              </w:numPr>
              <w:rPr>
                <w:b/>
                <w:color w:val="1F497D"/>
                <w:sz w:val="20"/>
                <w:szCs w:val="20"/>
              </w:rPr>
            </w:pPr>
            <w:r w:rsidRPr="004026D4">
              <w:rPr>
                <w:b/>
                <w:color w:val="1F497D"/>
                <w:sz w:val="20"/>
                <w:szCs w:val="20"/>
              </w:rPr>
              <w:t>ATO MAT.0001 2015 Message Implementation Guide.docx</w:t>
            </w:r>
          </w:p>
          <w:p w14:paraId="7BE43A35" w14:textId="5F979720" w:rsidR="00A036FA" w:rsidRDefault="00C53B57" w:rsidP="00C53B57">
            <w:pPr>
              <w:pStyle w:val="Version2"/>
              <w:spacing w:before="120" w:after="120"/>
            </w:pPr>
            <w:r>
              <w:t>Refer to section 2 of this document for a description of the change relevant to an artefact.</w:t>
            </w:r>
          </w:p>
        </w:tc>
      </w:tr>
      <w:tr w:rsidR="008C770E" w:rsidRPr="009B06E0" w14:paraId="3BC4D039" w14:textId="77777777" w:rsidTr="00D723BB">
        <w:tc>
          <w:tcPr>
            <w:tcW w:w="1163" w:type="dxa"/>
            <w:tcBorders>
              <w:top w:val="single" w:sz="6" w:space="0" w:color="auto"/>
              <w:bottom w:val="single" w:sz="6" w:space="0" w:color="auto"/>
            </w:tcBorders>
          </w:tcPr>
          <w:p w14:paraId="1AAD899D" w14:textId="50730104" w:rsidR="008C770E" w:rsidRPr="009B06E0" w:rsidRDefault="00D723BB" w:rsidP="0004097D">
            <w:pPr>
              <w:pStyle w:val="Version2"/>
              <w:spacing w:before="120" w:after="120"/>
            </w:pPr>
            <w:r>
              <w:t>0.2</w:t>
            </w:r>
          </w:p>
        </w:tc>
        <w:tc>
          <w:tcPr>
            <w:tcW w:w="1590" w:type="dxa"/>
            <w:tcBorders>
              <w:top w:val="single" w:sz="6" w:space="0" w:color="auto"/>
              <w:bottom w:val="single" w:sz="6" w:space="0" w:color="auto"/>
            </w:tcBorders>
          </w:tcPr>
          <w:p w14:paraId="0E850FA0" w14:textId="3F073F91" w:rsidR="008C770E" w:rsidRPr="009B06E0" w:rsidRDefault="00D723BB" w:rsidP="0061051D">
            <w:pPr>
              <w:pStyle w:val="Version2"/>
              <w:spacing w:before="120" w:after="120"/>
            </w:pPr>
            <w:r>
              <w:t>16/04/2015</w:t>
            </w:r>
          </w:p>
        </w:tc>
        <w:tc>
          <w:tcPr>
            <w:tcW w:w="6490" w:type="dxa"/>
            <w:tcBorders>
              <w:top w:val="single" w:sz="6" w:space="0" w:color="auto"/>
              <w:bottom w:val="single" w:sz="6" w:space="0" w:color="auto"/>
            </w:tcBorders>
          </w:tcPr>
          <w:p w14:paraId="1A282B79" w14:textId="77777777" w:rsidR="009E65EA" w:rsidRDefault="009E65EA" w:rsidP="009E65EA">
            <w:pPr>
              <w:pStyle w:val="Version2"/>
              <w:spacing w:before="120" w:after="120"/>
              <w:rPr>
                <w:b/>
              </w:rPr>
            </w:pPr>
            <w:r>
              <w:t xml:space="preserve">This document has been updated for the April 2015 EVTE Release.  </w:t>
            </w:r>
          </w:p>
          <w:p w14:paraId="12187F4D" w14:textId="77777777" w:rsidR="009E65EA" w:rsidRDefault="009E65EA" w:rsidP="009E65EA">
            <w:pPr>
              <w:pStyle w:val="Version2"/>
              <w:spacing w:before="120" w:after="120"/>
              <w:rPr>
                <w:b/>
              </w:rPr>
            </w:pPr>
            <w:r w:rsidRPr="00A176C6">
              <w:rPr>
                <w:b/>
              </w:rPr>
              <w:t>Updates:</w:t>
            </w:r>
          </w:p>
          <w:p w14:paraId="50D8653E" w14:textId="77777777" w:rsidR="009E65EA" w:rsidRDefault="009E65EA" w:rsidP="009E65EA">
            <w:pPr>
              <w:pStyle w:val="Version2"/>
              <w:spacing w:before="120" w:after="120"/>
              <w:ind w:left="0"/>
            </w:pPr>
            <w:r w:rsidRPr="001660DF">
              <w:t xml:space="preserve">The following artefacts have been </w:t>
            </w:r>
            <w:r>
              <w:t>published as ‘Final’ on the SBR Website:</w:t>
            </w:r>
          </w:p>
          <w:p w14:paraId="18B0E52D" w14:textId="77777777" w:rsidR="009E65EA" w:rsidRPr="0099748C" w:rsidRDefault="009E65EA" w:rsidP="009E65EA">
            <w:pPr>
              <w:pStyle w:val="Version2"/>
              <w:numPr>
                <w:ilvl w:val="0"/>
                <w:numId w:val="27"/>
              </w:numPr>
              <w:spacing w:before="0" w:after="0"/>
              <w:ind w:left="748" w:hanging="357"/>
              <w:rPr>
                <w:b/>
                <w:color w:val="1F497D"/>
                <w:sz w:val="20"/>
                <w:szCs w:val="20"/>
              </w:rPr>
            </w:pPr>
            <w:r w:rsidRPr="0099748C">
              <w:rPr>
                <w:b/>
                <w:color w:val="1F497D"/>
                <w:sz w:val="20"/>
                <w:szCs w:val="20"/>
              </w:rPr>
              <w:t>All Reporting and Definitional Taxonomies for MAT.0001 2015:</w:t>
            </w:r>
          </w:p>
          <w:p w14:paraId="5554A72B" w14:textId="77777777" w:rsidR="009E65EA" w:rsidRPr="0099748C" w:rsidRDefault="009E65EA" w:rsidP="009E65EA">
            <w:pPr>
              <w:pStyle w:val="Version2"/>
              <w:numPr>
                <w:ilvl w:val="1"/>
                <w:numId w:val="27"/>
              </w:numPr>
              <w:spacing w:before="120" w:after="120"/>
              <w:rPr>
                <w:b/>
              </w:rPr>
            </w:pPr>
            <w:r>
              <w:rPr>
                <w:b/>
                <w:color w:val="1F497D"/>
                <w:sz w:val="20"/>
                <w:szCs w:val="20"/>
              </w:rPr>
              <w:t>mat.0001 (request and response)</w:t>
            </w:r>
          </w:p>
          <w:p w14:paraId="2B9E02D3" w14:textId="77777777" w:rsidR="009E65EA" w:rsidRDefault="009E65EA" w:rsidP="009E65EA">
            <w:pPr>
              <w:pStyle w:val="Version2"/>
              <w:spacing w:before="120" w:after="120"/>
              <w:rPr>
                <w:b/>
              </w:rPr>
            </w:pPr>
            <w:r w:rsidRPr="001660DF">
              <w:t>The following artefac</w:t>
            </w:r>
            <w:r>
              <w:t xml:space="preserve">t has been updated to correct the id’s in the Alias column </w:t>
            </w:r>
            <w:r w:rsidRPr="001660DF">
              <w:t>with</w:t>
            </w:r>
            <w:r>
              <w:rPr>
                <w:b/>
              </w:rPr>
              <w:t xml:space="preserve"> no functional change and versioned to FINAL:</w:t>
            </w:r>
          </w:p>
          <w:p w14:paraId="67DF2933" w14:textId="77777777" w:rsidR="009E65EA" w:rsidRDefault="009E65EA" w:rsidP="009E65EA">
            <w:pPr>
              <w:pStyle w:val="Version2"/>
              <w:numPr>
                <w:ilvl w:val="0"/>
                <w:numId w:val="27"/>
              </w:numPr>
              <w:spacing w:before="0" w:after="0"/>
              <w:ind w:left="748" w:hanging="357"/>
              <w:rPr>
                <w:b/>
                <w:color w:val="1F497D"/>
                <w:sz w:val="20"/>
                <w:szCs w:val="20"/>
              </w:rPr>
            </w:pPr>
            <w:r w:rsidRPr="004812C4">
              <w:rPr>
                <w:b/>
                <w:color w:val="1F497D"/>
                <w:sz w:val="20"/>
                <w:szCs w:val="20"/>
              </w:rPr>
              <w:t>ATO MAT.0001 2015 Request Message Structure Table.xlsx</w:t>
            </w:r>
          </w:p>
          <w:p w14:paraId="773C6D7B" w14:textId="77777777" w:rsidR="009E65EA" w:rsidRDefault="009E65EA" w:rsidP="009E65EA">
            <w:pPr>
              <w:pStyle w:val="Version2"/>
              <w:spacing w:before="120" w:after="120"/>
              <w:rPr>
                <w:b/>
              </w:rPr>
            </w:pPr>
            <w:r w:rsidRPr="001660DF">
              <w:t>The following artefac</w:t>
            </w:r>
            <w:r>
              <w:t xml:space="preserve">t has been updated with </w:t>
            </w:r>
            <w:r>
              <w:rPr>
                <w:b/>
              </w:rPr>
              <w:t>functional change and versioned to FINAL:</w:t>
            </w:r>
          </w:p>
          <w:p w14:paraId="6440ED5C" w14:textId="77777777" w:rsidR="009E65EA" w:rsidRPr="00BE4463" w:rsidRDefault="009E65EA" w:rsidP="009E65EA">
            <w:pPr>
              <w:pStyle w:val="Version2"/>
              <w:numPr>
                <w:ilvl w:val="0"/>
                <w:numId w:val="27"/>
              </w:numPr>
              <w:spacing w:before="0" w:after="0"/>
              <w:ind w:left="748" w:hanging="357"/>
              <w:rPr>
                <w:rFonts w:ascii="Calibri" w:hAnsi="Calibri" w:cs="Calibri"/>
                <w:b/>
                <w:color w:val="000000"/>
              </w:rPr>
            </w:pPr>
            <w:r w:rsidRPr="00BE4463">
              <w:rPr>
                <w:b/>
                <w:color w:val="1F497D"/>
                <w:sz w:val="20"/>
                <w:szCs w:val="20"/>
              </w:rPr>
              <w:t>ATO MAT.0001 2015 Re</w:t>
            </w:r>
            <w:r>
              <w:rPr>
                <w:b/>
                <w:color w:val="1F497D"/>
                <w:sz w:val="20"/>
                <w:szCs w:val="20"/>
              </w:rPr>
              <w:t>sponse</w:t>
            </w:r>
            <w:r w:rsidRPr="00BE4463">
              <w:rPr>
                <w:b/>
                <w:color w:val="1F497D"/>
                <w:sz w:val="20"/>
                <w:szCs w:val="20"/>
              </w:rPr>
              <w:t xml:space="preserve"> Message Structure </w:t>
            </w:r>
            <w:r w:rsidRPr="00BE4463">
              <w:rPr>
                <w:b/>
                <w:color w:val="1F497D"/>
                <w:sz w:val="20"/>
                <w:szCs w:val="20"/>
              </w:rPr>
              <w:lastRenderedPageBreak/>
              <w:t xml:space="preserve">Table.xlsx - </w:t>
            </w:r>
          </w:p>
          <w:p w14:paraId="29DECEFF" w14:textId="77777777" w:rsidR="009E65EA" w:rsidRPr="00D723BB" w:rsidRDefault="009E65EA" w:rsidP="009E65EA">
            <w:pPr>
              <w:ind w:left="720"/>
              <w:rPr>
                <w:rFonts w:ascii="Calibri" w:hAnsi="Calibri" w:cs="Calibri"/>
                <w:color w:val="000000"/>
                <w:szCs w:val="22"/>
              </w:rPr>
            </w:pPr>
            <w:r w:rsidRPr="00D723BB">
              <w:rPr>
                <w:rFonts w:ascii="Calibri" w:hAnsi="Calibri" w:cs="Calibri"/>
                <w:color w:val="000000"/>
                <w:szCs w:val="22"/>
              </w:rPr>
              <w:t xml:space="preserve">Updates to the following </w:t>
            </w:r>
          </w:p>
          <w:p w14:paraId="63B7C7AE" w14:textId="77777777" w:rsidR="009E65EA" w:rsidRPr="00D723BB" w:rsidRDefault="009E65EA" w:rsidP="009E65EA">
            <w:pPr>
              <w:ind w:left="720"/>
              <w:rPr>
                <w:rFonts w:ascii="Calibri" w:hAnsi="Calibri" w:cs="Calibri"/>
                <w:color w:val="000000"/>
                <w:szCs w:val="22"/>
              </w:rPr>
            </w:pPr>
            <w:r w:rsidRPr="00D723BB">
              <w:rPr>
                <w:rFonts w:ascii="Calibri" w:hAnsi="Calibri" w:cs="Calibri"/>
                <w:color w:val="000000"/>
                <w:szCs w:val="22"/>
              </w:rPr>
              <w:t xml:space="preserve">MAT.00011 = Min occurs from 0 to 1 </w:t>
            </w:r>
          </w:p>
          <w:p w14:paraId="1C743D26" w14:textId="77777777" w:rsidR="009E65EA" w:rsidRPr="00D723BB" w:rsidRDefault="009E65EA" w:rsidP="009E65EA">
            <w:pPr>
              <w:ind w:left="720"/>
              <w:rPr>
                <w:rFonts w:ascii="Calibri" w:hAnsi="Calibri" w:cs="Calibri"/>
                <w:color w:val="000000"/>
                <w:szCs w:val="22"/>
              </w:rPr>
            </w:pPr>
            <w:r w:rsidRPr="00D723BB">
              <w:rPr>
                <w:rFonts w:ascii="Calibri" w:hAnsi="Calibri" w:cs="Calibri"/>
                <w:color w:val="000000"/>
                <w:szCs w:val="22"/>
              </w:rPr>
              <w:t>MAT.00012 = Min occurs from 0 to 1 and pyin.02.21 to pyin.02.22</w:t>
            </w:r>
          </w:p>
          <w:p w14:paraId="325A939A" w14:textId="77777777" w:rsidR="009E65EA" w:rsidRDefault="009E65EA" w:rsidP="009E65EA">
            <w:pPr>
              <w:ind w:left="720"/>
              <w:rPr>
                <w:rFonts w:ascii="Calibri" w:hAnsi="Calibri" w:cs="Calibri"/>
                <w:color w:val="000000"/>
                <w:szCs w:val="22"/>
              </w:rPr>
            </w:pPr>
            <w:r w:rsidRPr="00D723BB">
              <w:rPr>
                <w:rFonts w:ascii="Calibri" w:hAnsi="Calibri" w:cs="Calibri"/>
                <w:color w:val="000000"/>
                <w:szCs w:val="22"/>
              </w:rPr>
              <w:t>Removed ".0001" from Alias column.</w:t>
            </w:r>
          </w:p>
          <w:p w14:paraId="57DD48A5" w14:textId="77777777" w:rsidR="009E65EA" w:rsidRDefault="009E65EA" w:rsidP="009E65EA">
            <w:pPr>
              <w:pStyle w:val="Version2"/>
              <w:spacing w:before="0" w:after="0"/>
              <w:ind w:left="0"/>
              <w:rPr>
                <w:b/>
                <w:color w:val="1F497D"/>
                <w:sz w:val="20"/>
                <w:szCs w:val="20"/>
              </w:rPr>
            </w:pPr>
          </w:p>
          <w:p w14:paraId="5F38C9A4" w14:textId="77777777" w:rsidR="009E65EA" w:rsidRPr="001B756B" w:rsidRDefault="009E65EA" w:rsidP="009E65EA">
            <w:pPr>
              <w:pStyle w:val="Version2"/>
              <w:spacing w:before="0" w:after="0"/>
              <w:rPr>
                <w:b/>
                <w:color w:val="1F497D"/>
                <w:sz w:val="20"/>
                <w:szCs w:val="20"/>
              </w:rPr>
            </w:pPr>
            <w:r w:rsidRPr="001660DF">
              <w:t>The following artefac</w:t>
            </w:r>
            <w:r>
              <w:t xml:space="preserve">t has </w:t>
            </w:r>
            <w:r w:rsidRPr="001660DF">
              <w:t xml:space="preserve">been updated </w:t>
            </w:r>
            <w:r>
              <w:t>with</w:t>
            </w:r>
            <w:r w:rsidRPr="001B756B">
              <w:rPr>
                <w:b/>
              </w:rPr>
              <w:t xml:space="preserve"> </w:t>
            </w:r>
            <w:r>
              <w:rPr>
                <w:b/>
              </w:rPr>
              <w:t xml:space="preserve">no </w:t>
            </w:r>
            <w:r w:rsidRPr="001B756B">
              <w:rPr>
                <w:b/>
              </w:rPr>
              <w:t>functional changes</w:t>
            </w:r>
            <w:r>
              <w:rPr>
                <w:b/>
              </w:rPr>
              <w:t xml:space="preserve"> and versioned to FINAL</w:t>
            </w:r>
            <w:r w:rsidRPr="001B756B">
              <w:rPr>
                <w:b/>
              </w:rPr>
              <w:t>:</w:t>
            </w:r>
          </w:p>
          <w:p w14:paraId="209C8168" w14:textId="77777777" w:rsidR="009E65EA" w:rsidRPr="004812C4" w:rsidRDefault="009E65EA" w:rsidP="009E65EA">
            <w:pPr>
              <w:pStyle w:val="Version2"/>
              <w:numPr>
                <w:ilvl w:val="0"/>
                <w:numId w:val="28"/>
              </w:numPr>
              <w:spacing w:before="0" w:after="0"/>
              <w:ind w:left="748" w:hanging="357"/>
              <w:rPr>
                <w:b/>
                <w:color w:val="1F497D"/>
                <w:sz w:val="20"/>
                <w:szCs w:val="20"/>
              </w:rPr>
            </w:pPr>
            <w:r w:rsidRPr="004812C4">
              <w:rPr>
                <w:b/>
                <w:color w:val="1F497D"/>
                <w:sz w:val="20"/>
                <w:szCs w:val="20"/>
              </w:rPr>
              <w:t xml:space="preserve">ATO MAT.0001 2015 </w:t>
            </w:r>
            <w:r>
              <w:rPr>
                <w:b/>
                <w:color w:val="1F497D"/>
                <w:sz w:val="20"/>
                <w:szCs w:val="20"/>
              </w:rPr>
              <w:t>Message Implementation Guide.docx</w:t>
            </w:r>
          </w:p>
          <w:p w14:paraId="21B51A75" w14:textId="2F1D2AAE" w:rsidR="00131A8F" w:rsidRPr="00131A8F" w:rsidRDefault="009E65EA" w:rsidP="009E65EA">
            <w:pPr>
              <w:pStyle w:val="Version2"/>
              <w:spacing w:before="120" w:after="120"/>
            </w:pPr>
            <w:r>
              <w:t>Refer to section 2 of this document for a description of the change relevant to an artefact.</w:t>
            </w:r>
          </w:p>
        </w:tc>
      </w:tr>
      <w:tr w:rsidR="00D723BB" w:rsidRPr="009B06E0" w14:paraId="3D45493C" w14:textId="77777777" w:rsidTr="0083294D">
        <w:tc>
          <w:tcPr>
            <w:tcW w:w="1163" w:type="dxa"/>
            <w:tcBorders>
              <w:top w:val="single" w:sz="6" w:space="0" w:color="auto"/>
            </w:tcBorders>
          </w:tcPr>
          <w:p w14:paraId="04DEFAC9" w14:textId="2656EBA1" w:rsidR="00D723BB" w:rsidRDefault="00D723BB" w:rsidP="0004097D">
            <w:pPr>
              <w:pStyle w:val="Version2"/>
              <w:spacing w:before="120" w:after="120"/>
            </w:pPr>
            <w:r>
              <w:lastRenderedPageBreak/>
              <w:t>0.1</w:t>
            </w:r>
          </w:p>
        </w:tc>
        <w:tc>
          <w:tcPr>
            <w:tcW w:w="1590" w:type="dxa"/>
            <w:tcBorders>
              <w:top w:val="single" w:sz="6" w:space="0" w:color="auto"/>
            </w:tcBorders>
          </w:tcPr>
          <w:p w14:paraId="79479881" w14:textId="6C7D1DB3" w:rsidR="00D723BB" w:rsidRDefault="00D723BB" w:rsidP="0061051D">
            <w:pPr>
              <w:pStyle w:val="Version2"/>
              <w:spacing w:before="120" w:after="120"/>
            </w:pPr>
            <w:r>
              <w:t>22/01/2015</w:t>
            </w:r>
          </w:p>
        </w:tc>
        <w:tc>
          <w:tcPr>
            <w:tcW w:w="6490" w:type="dxa"/>
            <w:tcBorders>
              <w:top w:val="single" w:sz="6" w:space="0" w:color="auto"/>
            </w:tcBorders>
          </w:tcPr>
          <w:p w14:paraId="4AB28280" w14:textId="16E95E08" w:rsidR="00D723BB" w:rsidRPr="009B06E0" w:rsidRDefault="00D723BB" w:rsidP="008469A2">
            <w:pPr>
              <w:pStyle w:val="Version2"/>
              <w:spacing w:before="120" w:after="120"/>
            </w:pPr>
            <w:r w:rsidRPr="009B06E0">
              <w:t xml:space="preserve">Initial </w:t>
            </w:r>
            <w:r>
              <w:t>release.</w:t>
            </w:r>
          </w:p>
        </w:tc>
      </w:tr>
      <w:bookmarkEnd w:id="2"/>
    </w:tbl>
    <w:p w14:paraId="0874ECC2" w14:textId="77777777" w:rsidR="005B3AFD" w:rsidRDefault="005B3AFD" w:rsidP="005B3AFD">
      <w:pPr>
        <w:ind w:left="142"/>
        <w:rPr>
          <w:i/>
        </w:rPr>
      </w:pPr>
    </w:p>
    <w:p w14:paraId="08AB7DFC" w14:textId="77777777" w:rsidR="00AB4B6E" w:rsidRDefault="00AB4B6E">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77777777" w:rsidR="00855D60" w:rsidRPr="009B06E0" w:rsidRDefault="00855D60" w:rsidP="005709D0">
            <w:pPr>
              <w:pStyle w:val="VersionHeadA"/>
              <w:ind w:right="-844"/>
            </w:pPr>
            <w:r w:rsidRPr="009B06E0">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6A9C738D" w:rsidR="001461C8" w:rsidRPr="009B06E0" w:rsidRDefault="00372352" w:rsidP="00DE2617">
            <w:pPr>
              <w:pStyle w:val="Version2"/>
            </w:pPr>
            <w:r>
              <w:t>Michael Ferris</w:t>
            </w:r>
          </w:p>
        </w:tc>
        <w:tc>
          <w:tcPr>
            <w:tcW w:w="6525" w:type="dxa"/>
          </w:tcPr>
          <w:p w14:paraId="3535A976" w14:textId="0507AA3F" w:rsidR="001461C8" w:rsidRPr="00B60D6F" w:rsidRDefault="001461C8" w:rsidP="001461C8">
            <w:pPr>
              <w:pStyle w:val="Version2"/>
            </w:pPr>
            <w:r w:rsidRPr="00B60D6F">
              <w:t>Pro</w:t>
            </w:r>
            <w:r w:rsidR="00372352">
              <w:t>gram</w:t>
            </w:r>
            <w:r w:rsidRPr="00B60D6F">
              <w:t xml:space="preserve"> Manager</w:t>
            </w:r>
          </w:p>
          <w:p w14:paraId="66B2E0E4" w14:textId="2CDC1145" w:rsidR="001461C8" w:rsidRPr="00B60D6F" w:rsidRDefault="00372352" w:rsidP="001461C8">
            <w:pPr>
              <w:pStyle w:val="Version2"/>
            </w:pPr>
            <w:r>
              <w:t>eCommerce Service Delivery</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4154F666"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AE6F2F">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Pr="009B06E0" w:rsidRDefault="00BA43CC" w:rsidP="00767988">
      <w:pPr>
        <w:pStyle w:val="StyleMaintext"/>
        <w:sectPr w:rsidR="00BA43CC" w:rsidRPr="009B06E0" w:rsidSect="00300082">
          <w:headerReference w:type="even" r:id="rId19"/>
          <w:headerReference w:type="default" r:id="rId20"/>
          <w:footerReference w:type="default" r:id="rId21"/>
          <w:headerReference w:type="first" r:id="rId22"/>
          <w:pgSz w:w="11906" w:h="16838" w:code="9"/>
          <w:pgMar w:top="1418" w:right="1286" w:bottom="1202" w:left="1304" w:header="425" w:footer="680" w:gutter="0"/>
          <w:cols w:space="708"/>
          <w:formProt w:val="0"/>
          <w:docGrid w:linePitch="360"/>
        </w:sectPr>
      </w:pPr>
    </w:p>
    <w:p w14:paraId="3F41B524" w14:textId="77777777" w:rsidR="00BA43CC" w:rsidRPr="009B06E0" w:rsidRDefault="00BA43CC" w:rsidP="00BA43CC">
      <w:pPr>
        <w:spacing w:after="120"/>
        <w:rPr>
          <w:rFonts w:cs="Arial"/>
          <w:sz w:val="36"/>
          <w:szCs w:val="36"/>
        </w:rPr>
      </w:pPr>
      <w:r w:rsidRPr="009B06E0">
        <w:rPr>
          <w:rFonts w:cs="Arial"/>
          <w:sz w:val="36"/>
          <w:szCs w:val="36"/>
        </w:rPr>
        <w:lastRenderedPageBreak/>
        <w:t>Table of contents</w:t>
      </w:r>
    </w:p>
    <w:p w14:paraId="023BD79D" w14:textId="77777777" w:rsidR="005B6D67" w:rsidRPr="00BC2757" w:rsidRDefault="000C6567">
      <w:pPr>
        <w:pStyle w:val="TOC1"/>
        <w:tabs>
          <w:tab w:val="left" w:pos="440"/>
        </w:tabs>
        <w:rPr>
          <w:rFonts w:ascii="Calibri" w:hAnsi="Calibri" w:cs="Times New Roman"/>
          <w:noProof/>
        </w:rPr>
      </w:pPr>
      <w:r w:rsidRPr="009B06E0">
        <w:fldChar w:fldCharType="begin"/>
      </w:r>
      <w:r w:rsidR="00BA43CC" w:rsidRPr="009B06E0">
        <w:instrText xml:space="preserve"> TOC \o "1-4" \h \z \u </w:instrText>
      </w:r>
      <w:r w:rsidRPr="009B06E0">
        <w:fldChar w:fldCharType="separate"/>
      </w:r>
      <w:hyperlink w:anchor="_Toc423592029" w:history="1">
        <w:r w:rsidR="005B6D67" w:rsidRPr="00C331FC">
          <w:rPr>
            <w:rStyle w:val="Hyperlink"/>
          </w:rPr>
          <w:t>1</w:t>
        </w:r>
        <w:r w:rsidR="005B6D67" w:rsidRPr="00BC2757">
          <w:rPr>
            <w:rFonts w:ascii="Calibri" w:hAnsi="Calibri" w:cs="Times New Roman"/>
            <w:noProof/>
          </w:rPr>
          <w:tab/>
        </w:r>
        <w:r w:rsidR="005B6D67" w:rsidRPr="00C331FC">
          <w:rPr>
            <w:rStyle w:val="Hyperlink"/>
          </w:rPr>
          <w:t>Introduction</w:t>
        </w:r>
        <w:r w:rsidR="005B6D67">
          <w:rPr>
            <w:noProof/>
            <w:webHidden/>
          </w:rPr>
          <w:tab/>
        </w:r>
        <w:r w:rsidR="005B6D67">
          <w:rPr>
            <w:noProof/>
            <w:webHidden/>
          </w:rPr>
          <w:fldChar w:fldCharType="begin"/>
        </w:r>
        <w:r w:rsidR="005B6D67">
          <w:rPr>
            <w:noProof/>
            <w:webHidden/>
          </w:rPr>
          <w:instrText xml:space="preserve"> PAGEREF _Toc423592029 \h </w:instrText>
        </w:r>
        <w:r w:rsidR="005B6D67">
          <w:rPr>
            <w:noProof/>
            <w:webHidden/>
          </w:rPr>
        </w:r>
        <w:r w:rsidR="005B6D67">
          <w:rPr>
            <w:noProof/>
            <w:webHidden/>
          </w:rPr>
          <w:fldChar w:fldCharType="separate"/>
        </w:r>
        <w:r w:rsidR="005B6D67">
          <w:rPr>
            <w:noProof/>
            <w:webHidden/>
          </w:rPr>
          <w:t>6</w:t>
        </w:r>
        <w:r w:rsidR="005B6D67">
          <w:rPr>
            <w:noProof/>
            <w:webHidden/>
          </w:rPr>
          <w:fldChar w:fldCharType="end"/>
        </w:r>
      </w:hyperlink>
    </w:p>
    <w:p w14:paraId="4CCB4374" w14:textId="77777777" w:rsidR="005B6D67" w:rsidRPr="00BC2757" w:rsidRDefault="00BC2757">
      <w:pPr>
        <w:pStyle w:val="TOC2"/>
        <w:rPr>
          <w:rFonts w:ascii="Calibri" w:hAnsi="Calibri" w:cs="Times New Roman"/>
          <w:noProof/>
        </w:rPr>
      </w:pPr>
      <w:hyperlink w:anchor="_Toc423592030" w:history="1">
        <w:r w:rsidR="005B6D67" w:rsidRPr="00C331FC">
          <w:rPr>
            <w:rStyle w:val="Hyperlink"/>
          </w:rPr>
          <w:t>1.1</w:t>
        </w:r>
        <w:r w:rsidR="005B6D67" w:rsidRPr="00BC2757">
          <w:rPr>
            <w:rFonts w:ascii="Calibri" w:hAnsi="Calibri" w:cs="Times New Roman"/>
            <w:noProof/>
          </w:rPr>
          <w:tab/>
        </w:r>
        <w:r w:rsidR="005B6D67" w:rsidRPr="00C331FC">
          <w:rPr>
            <w:rStyle w:val="Hyperlink"/>
          </w:rPr>
          <w:t>Purpose</w:t>
        </w:r>
        <w:r w:rsidR="005B6D67">
          <w:rPr>
            <w:noProof/>
            <w:webHidden/>
          </w:rPr>
          <w:tab/>
        </w:r>
        <w:r w:rsidR="005B6D67">
          <w:rPr>
            <w:noProof/>
            <w:webHidden/>
          </w:rPr>
          <w:fldChar w:fldCharType="begin"/>
        </w:r>
        <w:r w:rsidR="005B6D67">
          <w:rPr>
            <w:noProof/>
            <w:webHidden/>
          </w:rPr>
          <w:instrText xml:space="preserve"> PAGEREF _Toc423592030 \h </w:instrText>
        </w:r>
        <w:r w:rsidR="005B6D67">
          <w:rPr>
            <w:noProof/>
            <w:webHidden/>
          </w:rPr>
        </w:r>
        <w:r w:rsidR="005B6D67">
          <w:rPr>
            <w:noProof/>
            <w:webHidden/>
          </w:rPr>
          <w:fldChar w:fldCharType="separate"/>
        </w:r>
        <w:r w:rsidR="005B6D67">
          <w:rPr>
            <w:noProof/>
            <w:webHidden/>
          </w:rPr>
          <w:t>6</w:t>
        </w:r>
        <w:r w:rsidR="005B6D67">
          <w:rPr>
            <w:noProof/>
            <w:webHidden/>
          </w:rPr>
          <w:fldChar w:fldCharType="end"/>
        </w:r>
      </w:hyperlink>
    </w:p>
    <w:p w14:paraId="2CE7936F" w14:textId="77777777" w:rsidR="005B6D67" w:rsidRPr="00BC2757" w:rsidRDefault="00BC2757">
      <w:pPr>
        <w:pStyle w:val="TOC2"/>
        <w:rPr>
          <w:rFonts w:ascii="Calibri" w:hAnsi="Calibri" w:cs="Times New Roman"/>
          <w:noProof/>
        </w:rPr>
      </w:pPr>
      <w:hyperlink w:anchor="_Toc423592031" w:history="1">
        <w:r w:rsidR="005B6D67" w:rsidRPr="00C331FC">
          <w:rPr>
            <w:rStyle w:val="Hyperlink"/>
          </w:rPr>
          <w:t>1.2</w:t>
        </w:r>
        <w:r w:rsidR="005B6D67" w:rsidRPr="00BC2757">
          <w:rPr>
            <w:rFonts w:ascii="Calibri" w:hAnsi="Calibri" w:cs="Times New Roman"/>
            <w:noProof/>
          </w:rPr>
          <w:tab/>
        </w:r>
        <w:r w:rsidR="005B6D67" w:rsidRPr="00C331FC">
          <w:rPr>
            <w:rStyle w:val="Hyperlink"/>
          </w:rPr>
          <w:t>Audience</w:t>
        </w:r>
        <w:r w:rsidR="005B6D67">
          <w:rPr>
            <w:noProof/>
            <w:webHidden/>
          </w:rPr>
          <w:tab/>
        </w:r>
        <w:r w:rsidR="005B6D67">
          <w:rPr>
            <w:noProof/>
            <w:webHidden/>
          </w:rPr>
          <w:fldChar w:fldCharType="begin"/>
        </w:r>
        <w:r w:rsidR="005B6D67">
          <w:rPr>
            <w:noProof/>
            <w:webHidden/>
          </w:rPr>
          <w:instrText xml:space="preserve"> PAGEREF _Toc423592031 \h </w:instrText>
        </w:r>
        <w:r w:rsidR="005B6D67">
          <w:rPr>
            <w:noProof/>
            <w:webHidden/>
          </w:rPr>
        </w:r>
        <w:r w:rsidR="005B6D67">
          <w:rPr>
            <w:noProof/>
            <w:webHidden/>
          </w:rPr>
          <w:fldChar w:fldCharType="separate"/>
        </w:r>
        <w:r w:rsidR="005B6D67">
          <w:rPr>
            <w:noProof/>
            <w:webHidden/>
          </w:rPr>
          <w:t>6</w:t>
        </w:r>
        <w:r w:rsidR="005B6D67">
          <w:rPr>
            <w:noProof/>
            <w:webHidden/>
          </w:rPr>
          <w:fldChar w:fldCharType="end"/>
        </w:r>
      </w:hyperlink>
    </w:p>
    <w:p w14:paraId="4B0FCF15" w14:textId="77777777" w:rsidR="005B6D67" w:rsidRPr="00BC2757" w:rsidRDefault="00BC2757">
      <w:pPr>
        <w:pStyle w:val="TOC2"/>
        <w:rPr>
          <w:rFonts w:ascii="Calibri" w:hAnsi="Calibri" w:cs="Times New Roman"/>
          <w:noProof/>
        </w:rPr>
      </w:pPr>
      <w:hyperlink w:anchor="_Toc423592032" w:history="1">
        <w:r w:rsidR="005B6D67" w:rsidRPr="00C331FC">
          <w:rPr>
            <w:rStyle w:val="Hyperlink"/>
          </w:rPr>
          <w:t>1.3</w:t>
        </w:r>
        <w:r w:rsidR="005B6D67" w:rsidRPr="00BC2757">
          <w:rPr>
            <w:rFonts w:ascii="Calibri" w:hAnsi="Calibri" w:cs="Times New Roman"/>
            <w:noProof/>
          </w:rPr>
          <w:tab/>
        </w:r>
        <w:r w:rsidR="005B6D67" w:rsidRPr="00C331FC">
          <w:rPr>
            <w:rStyle w:val="Hyperlink"/>
          </w:rPr>
          <w:t>Purpose of this package</w:t>
        </w:r>
        <w:r w:rsidR="005B6D67">
          <w:rPr>
            <w:noProof/>
            <w:webHidden/>
          </w:rPr>
          <w:tab/>
        </w:r>
        <w:r w:rsidR="005B6D67">
          <w:rPr>
            <w:noProof/>
            <w:webHidden/>
          </w:rPr>
          <w:fldChar w:fldCharType="begin"/>
        </w:r>
        <w:r w:rsidR="005B6D67">
          <w:rPr>
            <w:noProof/>
            <w:webHidden/>
          </w:rPr>
          <w:instrText xml:space="preserve"> PAGEREF _Toc423592032 \h </w:instrText>
        </w:r>
        <w:r w:rsidR="005B6D67">
          <w:rPr>
            <w:noProof/>
            <w:webHidden/>
          </w:rPr>
        </w:r>
        <w:r w:rsidR="005B6D67">
          <w:rPr>
            <w:noProof/>
            <w:webHidden/>
          </w:rPr>
          <w:fldChar w:fldCharType="separate"/>
        </w:r>
        <w:r w:rsidR="005B6D67">
          <w:rPr>
            <w:noProof/>
            <w:webHidden/>
          </w:rPr>
          <w:t>6</w:t>
        </w:r>
        <w:r w:rsidR="005B6D67">
          <w:rPr>
            <w:noProof/>
            <w:webHidden/>
          </w:rPr>
          <w:fldChar w:fldCharType="end"/>
        </w:r>
      </w:hyperlink>
    </w:p>
    <w:p w14:paraId="38883697" w14:textId="77777777" w:rsidR="005B6D67" w:rsidRPr="00BC2757" w:rsidRDefault="00BC2757">
      <w:pPr>
        <w:pStyle w:val="TOC2"/>
        <w:rPr>
          <w:rFonts w:ascii="Calibri" w:hAnsi="Calibri" w:cs="Times New Roman"/>
          <w:noProof/>
        </w:rPr>
      </w:pPr>
      <w:hyperlink w:anchor="_Toc423592033" w:history="1">
        <w:r w:rsidR="005B6D67" w:rsidRPr="00C331FC">
          <w:rPr>
            <w:rStyle w:val="Hyperlink"/>
          </w:rPr>
          <w:t>1.4</w:t>
        </w:r>
        <w:r w:rsidR="005B6D67" w:rsidRPr="00BC2757">
          <w:rPr>
            <w:rFonts w:ascii="Calibri" w:hAnsi="Calibri" w:cs="Times New Roman"/>
            <w:noProof/>
          </w:rPr>
          <w:tab/>
        </w:r>
        <w:r w:rsidR="005B6D67" w:rsidRPr="00C331FC">
          <w:rPr>
            <w:rStyle w:val="Hyperlink"/>
          </w:rPr>
          <w:t>Summary of impacts on software developers</w:t>
        </w:r>
        <w:r w:rsidR="005B6D67">
          <w:rPr>
            <w:noProof/>
            <w:webHidden/>
          </w:rPr>
          <w:tab/>
        </w:r>
        <w:r w:rsidR="005B6D67">
          <w:rPr>
            <w:noProof/>
            <w:webHidden/>
          </w:rPr>
          <w:fldChar w:fldCharType="begin"/>
        </w:r>
        <w:r w:rsidR="005B6D67">
          <w:rPr>
            <w:noProof/>
            <w:webHidden/>
          </w:rPr>
          <w:instrText xml:space="preserve"> PAGEREF _Toc423592033 \h </w:instrText>
        </w:r>
        <w:r w:rsidR="005B6D67">
          <w:rPr>
            <w:noProof/>
            <w:webHidden/>
          </w:rPr>
        </w:r>
        <w:r w:rsidR="005B6D67">
          <w:rPr>
            <w:noProof/>
            <w:webHidden/>
          </w:rPr>
          <w:fldChar w:fldCharType="separate"/>
        </w:r>
        <w:r w:rsidR="005B6D67">
          <w:rPr>
            <w:noProof/>
            <w:webHidden/>
          </w:rPr>
          <w:t>6</w:t>
        </w:r>
        <w:r w:rsidR="005B6D67">
          <w:rPr>
            <w:noProof/>
            <w:webHidden/>
          </w:rPr>
          <w:fldChar w:fldCharType="end"/>
        </w:r>
      </w:hyperlink>
    </w:p>
    <w:p w14:paraId="5CA31027" w14:textId="77777777" w:rsidR="005B6D67" w:rsidRPr="00BC2757" w:rsidRDefault="00BC2757">
      <w:pPr>
        <w:pStyle w:val="TOC2"/>
        <w:rPr>
          <w:rFonts w:ascii="Calibri" w:hAnsi="Calibri" w:cs="Times New Roman"/>
          <w:noProof/>
        </w:rPr>
      </w:pPr>
      <w:hyperlink w:anchor="_Toc423592034" w:history="1">
        <w:r w:rsidR="005B6D67" w:rsidRPr="00C331FC">
          <w:rPr>
            <w:rStyle w:val="Hyperlink"/>
          </w:rPr>
          <w:t>1.4.1</w:t>
        </w:r>
        <w:r w:rsidR="005B6D67" w:rsidRPr="00BC2757">
          <w:rPr>
            <w:rFonts w:ascii="Calibri" w:hAnsi="Calibri" w:cs="Times New Roman"/>
            <w:noProof/>
          </w:rPr>
          <w:tab/>
        </w:r>
        <w:r w:rsidR="005B6D67" w:rsidRPr="00C331FC">
          <w:rPr>
            <w:rStyle w:val="Hyperlink"/>
          </w:rPr>
          <w:t>In general</w:t>
        </w:r>
        <w:r w:rsidR="005B6D67">
          <w:rPr>
            <w:noProof/>
            <w:webHidden/>
          </w:rPr>
          <w:tab/>
        </w:r>
        <w:r w:rsidR="005B6D67">
          <w:rPr>
            <w:noProof/>
            <w:webHidden/>
          </w:rPr>
          <w:fldChar w:fldCharType="begin"/>
        </w:r>
        <w:r w:rsidR="005B6D67">
          <w:rPr>
            <w:noProof/>
            <w:webHidden/>
          </w:rPr>
          <w:instrText xml:space="preserve"> PAGEREF _Toc423592034 \h </w:instrText>
        </w:r>
        <w:r w:rsidR="005B6D67">
          <w:rPr>
            <w:noProof/>
            <w:webHidden/>
          </w:rPr>
        </w:r>
        <w:r w:rsidR="005B6D67">
          <w:rPr>
            <w:noProof/>
            <w:webHidden/>
          </w:rPr>
          <w:fldChar w:fldCharType="separate"/>
        </w:r>
        <w:r w:rsidR="005B6D67">
          <w:rPr>
            <w:noProof/>
            <w:webHidden/>
          </w:rPr>
          <w:t>6</w:t>
        </w:r>
        <w:r w:rsidR="005B6D67">
          <w:rPr>
            <w:noProof/>
            <w:webHidden/>
          </w:rPr>
          <w:fldChar w:fldCharType="end"/>
        </w:r>
      </w:hyperlink>
    </w:p>
    <w:p w14:paraId="76AF8513" w14:textId="77777777" w:rsidR="005B6D67" w:rsidRPr="00BC2757" w:rsidRDefault="00BC2757">
      <w:pPr>
        <w:pStyle w:val="TOC1"/>
        <w:tabs>
          <w:tab w:val="left" w:pos="440"/>
        </w:tabs>
        <w:rPr>
          <w:rFonts w:ascii="Calibri" w:hAnsi="Calibri" w:cs="Times New Roman"/>
          <w:noProof/>
        </w:rPr>
      </w:pPr>
      <w:hyperlink w:anchor="_Toc423592035" w:history="1">
        <w:r w:rsidR="005B6D67" w:rsidRPr="00C331FC">
          <w:rPr>
            <w:rStyle w:val="Hyperlink"/>
          </w:rPr>
          <w:t>2</w:t>
        </w:r>
        <w:r w:rsidR="005B6D67" w:rsidRPr="00BC2757">
          <w:rPr>
            <w:rFonts w:ascii="Calibri" w:hAnsi="Calibri" w:cs="Times New Roman"/>
            <w:noProof/>
          </w:rPr>
          <w:tab/>
        </w:r>
        <w:r w:rsidR="005B6D67" w:rsidRPr="00C331FC">
          <w:rPr>
            <w:rStyle w:val="Hyperlink"/>
          </w:rPr>
          <w:t>Package contents</w:t>
        </w:r>
        <w:r w:rsidR="005B6D67">
          <w:rPr>
            <w:noProof/>
            <w:webHidden/>
          </w:rPr>
          <w:tab/>
        </w:r>
        <w:r w:rsidR="005B6D67">
          <w:rPr>
            <w:noProof/>
            <w:webHidden/>
          </w:rPr>
          <w:fldChar w:fldCharType="begin"/>
        </w:r>
        <w:r w:rsidR="005B6D67">
          <w:rPr>
            <w:noProof/>
            <w:webHidden/>
          </w:rPr>
          <w:instrText xml:space="preserve"> PAGEREF _Toc423592035 \h </w:instrText>
        </w:r>
        <w:r w:rsidR="005B6D67">
          <w:rPr>
            <w:noProof/>
            <w:webHidden/>
          </w:rPr>
        </w:r>
        <w:r w:rsidR="005B6D67">
          <w:rPr>
            <w:noProof/>
            <w:webHidden/>
          </w:rPr>
          <w:fldChar w:fldCharType="separate"/>
        </w:r>
        <w:r w:rsidR="005B6D67">
          <w:rPr>
            <w:noProof/>
            <w:webHidden/>
          </w:rPr>
          <w:t>7</w:t>
        </w:r>
        <w:r w:rsidR="005B6D67">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9B06E0" w:rsidRDefault="00BA43CC" w:rsidP="00137CB0">
      <w:pPr>
        <w:pStyle w:val="Head1"/>
        <w:tabs>
          <w:tab w:val="clear" w:pos="2130"/>
        </w:tabs>
        <w:spacing w:after="120"/>
        <w:ind w:left="431" w:hanging="431"/>
        <w:jc w:val="both"/>
      </w:pPr>
      <w:bookmarkStart w:id="3" w:name="_Toc423592029"/>
      <w:r w:rsidRPr="009B06E0">
        <w:lastRenderedPageBreak/>
        <w:t>Introduction</w:t>
      </w:r>
      <w:bookmarkEnd w:id="3"/>
    </w:p>
    <w:p w14:paraId="017EE019" w14:textId="77777777" w:rsidR="00BA43CC" w:rsidRPr="009B06E0" w:rsidRDefault="00BA43CC" w:rsidP="00137CB0">
      <w:pPr>
        <w:pStyle w:val="Head2"/>
        <w:spacing w:before="120" w:after="120"/>
        <w:ind w:left="578" w:hanging="578"/>
        <w:jc w:val="both"/>
      </w:pPr>
      <w:bookmarkStart w:id="4" w:name="_Toc203783465"/>
      <w:bookmarkStart w:id="5" w:name="_Toc423592030"/>
      <w:r w:rsidRPr="009B06E0">
        <w:t>Purpose</w:t>
      </w:r>
      <w:bookmarkEnd w:id="4"/>
      <w:bookmarkEnd w:id="5"/>
    </w:p>
    <w:p w14:paraId="7B67D82D" w14:textId="23F540F2"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B26203">
        <w:t>Tax Practitioner Manage Tax Agent Trust (MAT)</w:t>
      </w:r>
      <w:r w:rsidR="00737440">
        <w:t xml:space="preserve"> 201</w:t>
      </w:r>
      <w:r w:rsidR="00B26203">
        <w:t>5 service</w:t>
      </w:r>
      <w:r w:rsidR="00137CB0">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137CB0">
      <w:pPr>
        <w:pStyle w:val="Head2"/>
        <w:spacing w:before="220" w:after="120"/>
        <w:ind w:left="578" w:hanging="578"/>
        <w:jc w:val="both"/>
      </w:pPr>
      <w:bookmarkStart w:id="6" w:name="_Toc311801588"/>
      <w:bookmarkStart w:id="7" w:name="_Toc231632936"/>
      <w:bookmarkStart w:id="8" w:name="_Toc231632938"/>
      <w:bookmarkStart w:id="9" w:name="_Toc423592031"/>
      <w:bookmarkStart w:id="10" w:name="_Toc226473065"/>
      <w:bookmarkEnd w:id="6"/>
      <w:bookmarkEnd w:id="7"/>
      <w:bookmarkEnd w:id="8"/>
      <w:r w:rsidRPr="009B06E0">
        <w:t>Audience</w:t>
      </w:r>
      <w:bookmarkEnd w:id="9"/>
    </w:p>
    <w:p w14:paraId="131E8391" w14:textId="756F561C" w:rsidR="00455FCF" w:rsidRPr="00455FCF" w:rsidRDefault="00455FCF" w:rsidP="002337FF">
      <w:pPr>
        <w:pStyle w:val="Maintext"/>
        <w:jc w:val="both"/>
      </w:pPr>
      <w:r>
        <w:t xml:space="preserve">The audience for this release note is </w:t>
      </w:r>
      <w:r w:rsidR="00737440">
        <w:t xml:space="preserve">software developers who </w:t>
      </w:r>
      <w:r w:rsidR="00F55D7B">
        <w:t xml:space="preserve">are interested in developing </w:t>
      </w:r>
      <w:r w:rsidR="00B26203">
        <w:t>MAT</w:t>
      </w:r>
      <w:r w:rsidR="00F55D7B">
        <w:t xml:space="preserve"> se</w:t>
      </w:r>
      <w:r w:rsidR="006214E7">
        <w:t xml:space="preserve">rvices on </w:t>
      </w:r>
      <w:r w:rsidR="00372352">
        <w:t>the</w:t>
      </w:r>
      <w:r w:rsidR="00F55D7B">
        <w:t xml:space="preserve"> SBR ebMS3 platform.</w:t>
      </w:r>
      <w:r w:rsidR="00737440">
        <w:t xml:space="preserve"> </w:t>
      </w:r>
    </w:p>
    <w:p w14:paraId="14AA1B8F" w14:textId="32DBB586" w:rsidR="00065FDE" w:rsidRDefault="00065FDE" w:rsidP="00137CB0">
      <w:pPr>
        <w:pStyle w:val="Head2"/>
        <w:spacing w:before="220" w:after="120"/>
        <w:ind w:left="578" w:hanging="578"/>
        <w:jc w:val="both"/>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2359203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FA8F973" w:rsidR="00403C30" w:rsidRDefault="00403C30" w:rsidP="00D349BA">
      <w:pPr>
        <w:pStyle w:val="Maintext"/>
        <w:jc w:val="both"/>
      </w:pPr>
      <w:r>
        <w:t xml:space="preserve">All relevant message artefacts that comprise the </w:t>
      </w:r>
      <w:r w:rsidR="00B26203">
        <w:t>MAT</w:t>
      </w:r>
      <w:r>
        <w:t xml:space="preserve"> suite are contained within one zip file.</w:t>
      </w:r>
      <w:r w:rsidR="008469A2">
        <w:t xml:space="preserve"> The package will be versioned up each time</w:t>
      </w:r>
      <w:r w:rsidR="00622F88">
        <w:t xml:space="preserve"> artefacts are added or updated</w:t>
      </w:r>
      <w:r>
        <w:t>.</w:t>
      </w:r>
    </w:p>
    <w:p w14:paraId="0570BFF2" w14:textId="77777777" w:rsidR="00065FDE" w:rsidRDefault="00065FDE" w:rsidP="00137CB0">
      <w:pPr>
        <w:pStyle w:val="Head2"/>
        <w:spacing w:before="220" w:after="120"/>
        <w:ind w:left="578" w:hanging="578"/>
        <w:jc w:val="both"/>
      </w:pPr>
      <w:bookmarkStart w:id="113" w:name="_Toc423592033"/>
      <w:r>
        <w:t>Summary of impact</w:t>
      </w:r>
      <w:r w:rsidR="000A1383">
        <w:t>s</w:t>
      </w:r>
      <w:r>
        <w:t xml:space="preserve"> on software developers</w:t>
      </w:r>
      <w:bookmarkEnd w:id="113"/>
    </w:p>
    <w:p w14:paraId="4CF9756C" w14:textId="56A95232" w:rsidR="006214E7" w:rsidRDefault="006214E7" w:rsidP="00D60CCE">
      <w:pPr>
        <w:pStyle w:val="Head3"/>
        <w:spacing w:before="120" w:after="0"/>
        <w:ind w:left="578" w:hanging="578"/>
        <w:jc w:val="both"/>
        <w:outlineLvl w:val="1"/>
      </w:pPr>
      <w:bookmarkStart w:id="114" w:name="_Toc423592034"/>
      <w:r>
        <w:t>In general</w:t>
      </w:r>
      <w:bookmarkEnd w:id="114"/>
    </w:p>
    <w:p w14:paraId="51806315" w14:textId="6412C4A4"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sidR="00372352">
        <w:rPr>
          <w:rFonts w:cs="Arial"/>
          <w:szCs w:val="22"/>
        </w:rPr>
        <w:t>/message</w:t>
      </w:r>
      <w:r>
        <w:rPr>
          <w:rFonts w:cs="Arial"/>
          <w:szCs w:val="22"/>
        </w:rPr>
        <w:t>, the following artefacts have been</w:t>
      </w:r>
      <w:r w:rsidR="00372352">
        <w:rPr>
          <w:rFonts w:cs="Arial"/>
          <w:szCs w:val="22"/>
        </w:rPr>
        <w:t xml:space="preserve"> </w:t>
      </w:r>
      <w:r>
        <w:rPr>
          <w:rFonts w:cs="Arial"/>
          <w:szCs w:val="22"/>
        </w:rPr>
        <w:t>released:</w:t>
      </w:r>
    </w:p>
    <w:p w14:paraId="72DB54B4" w14:textId="599F024A" w:rsidR="00403C30" w:rsidRDefault="008469A2" w:rsidP="006666BB">
      <w:pPr>
        <w:pStyle w:val="Maintext"/>
        <w:numPr>
          <w:ilvl w:val="0"/>
          <w:numId w:val="26"/>
        </w:numPr>
        <w:jc w:val="both"/>
        <w:rPr>
          <w:rFonts w:cs="Arial"/>
          <w:szCs w:val="22"/>
        </w:rPr>
      </w:pPr>
      <w:r>
        <w:rPr>
          <w:rFonts w:cs="Arial"/>
          <w:szCs w:val="22"/>
        </w:rPr>
        <w:t>Message Implementation Guide (</w:t>
      </w:r>
      <w:r w:rsidR="00403C30">
        <w:rPr>
          <w:rFonts w:cs="Arial"/>
          <w:szCs w:val="22"/>
        </w:rPr>
        <w:t>MIG)</w:t>
      </w:r>
      <w:r w:rsidR="006666BB">
        <w:rPr>
          <w:rFonts w:cs="Arial"/>
          <w:szCs w:val="22"/>
        </w:rPr>
        <w:t>,</w:t>
      </w:r>
    </w:p>
    <w:p w14:paraId="634D7713" w14:textId="67A8FB6C" w:rsidR="00403C30" w:rsidRDefault="00403C30" w:rsidP="006666BB">
      <w:pPr>
        <w:pStyle w:val="Maintext"/>
        <w:numPr>
          <w:ilvl w:val="0"/>
          <w:numId w:val="26"/>
        </w:numPr>
        <w:jc w:val="both"/>
        <w:rPr>
          <w:rFonts w:cs="Arial"/>
          <w:szCs w:val="22"/>
        </w:rPr>
      </w:pPr>
      <w:r>
        <w:rPr>
          <w:rFonts w:cs="Arial"/>
          <w:szCs w:val="22"/>
        </w:rPr>
        <w:t>Mess</w:t>
      </w:r>
      <w:r w:rsidR="002337FF">
        <w:rPr>
          <w:rFonts w:cs="Arial"/>
          <w:szCs w:val="22"/>
        </w:rPr>
        <w:t>a</w:t>
      </w:r>
      <w:r>
        <w:rPr>
          <w:rFonts w:cs="Arial"/>
          <w:szCs w:val="22"/>
        </w:rPr>
        <w:t>ge Structure Table (MST)</w:t>
      </w:r>
      <w:r w:rsidR="006666BB">
        <w:rPr>
          <w:rFonts w:cs="Arial"/>
          <w:szCs w:val="22"/>
        </w:rPr>
        <w:t>,</w:t>
      </w:r>
    </w:p>
    <w:p w14:paraId="45E30836" w14:textId="3F0EC1A3" w:rsidR="00372352" w:rsidRDefault="00372352" w:rsidP="006666BB">
      <w:pPr>
        <w:pStyle w:val="Maintext"/>
        <w:numPr>
          <w:ilvl w:val="0"/>
          <w:numId w:val="26"/>
        </w:numPr>
        <w:jc w:val="both"/>
        <w:rPr>
          <w:rFonts w:cs="Arial"/>
          <w:szCs w:val="22"/>
        </w:rPr>
      </w:pPr>
      <w:r>
        <w:rPr>
          <w:rFonts w:cs="Arial"/>
          <w:szCs w:val="22"/>
        </w:rPr>
        <w:t>Message Repository (MR),</w:t>
      </w:r>
    </w:p>
    <w:p w14:paraId="0D5ABC37" w14:textId="0797C073" w:rsidR="00844032" w:rsidRDefault="00844032" w:rsidP="006666BB">
      <w:pPr>
        <w:pStyle w:val="Maintext"/>
        <w:numPr>
          <w:ilvl w:val="0"/>
          <w:numId w:val="26"/>
        </w:numPr>
        <w:jc w:val="both"/>
        <w:rPr>
          <w:rFonts w:cs="Arial"/>
          <w:szCs w:val="22"/>
        </w:rPr>
      </w:pPr>
      <w:r>
        <w:rPr>
          <w:rFonts w:cs="Arial"/>
          <w:szCs w:val="22"/>
        </w:rPr>
        <w:t>Reporting Taxonomy where still in draft (RT),</w:t>
      </w:r>
    </w:p>
    <w:p w14:paraId="7F62AD1A" w14:textId="63BEB4F2" w:rsidR="00844032" w:rsidRDefault="00844032" w:rsidP="006666BB">
      <w:pPr>
        <w:pStyle w:val="Maintext"/>
        <w:numPr>
          <w:ilvl w:val="0"/>
          <w:numId w:val="26"/>
        </w:numPr>
        <w:jc w:val="both"/>
        <w:rPr>
          <w:rFonts w:cs="Arial"/>
          <w:szCs w:val="22"/>
        </w:rPr>
      </w:pPr>
      <w:r>
        <w:rPr>
          <w:rFonts w:cs="Arial"/>
          <w:szCs w:val="22"/>
        </w:rPr>
        <w:t>Schematron zip file,</w:t>
      </w:r>
    </w:p>
    <w:p w14:paraId="2DDDED25" w14:textId="77777777" w:rsidR="00403C30" w:rsidRDefault="00403C30" w:rsidP="006666BB">
      <w:pPr>
        <w:pStyle w:val="Maintext"/>
        <w:numPr>
          <w:ilvl w:val="0"/>
          <w:numId w:val="26"/>
        </w:numPr>
        <w:jc w:val="both"/>
        <w:rPr>
          <w:rFonts w:cs="Arial"/>
          <w:szCs w:val="22"/>
        </w:rPr>
      </w:pPr>
      <w:r>
        <w:rPr>
          <w:rFonts w:cs="Arial"/>
          <w:szCs w:val="22"/>
        </w:rPr>
        <w:t>Validation Rules (VR)</w:t>
      </w:r>
      <w:r w:rsidR="006666BB">
        <w:rPr>
          <w:rFonts w:cs="Arial"/>
          <w:szCs w:val="22"/>
        </w:rPr>
        <w:t xml:space="preserve"> and</w:t>
      </w:r>
    </w:p>
    <w:p w14:paraId="35DF64BB" w14:textId="77777777" w:rsidR="006666BB" w:rsidRDefault="006666BB" w:rsidP="006666BB">
      <w:pPr>
        <w:pStyle w:val="Maintext"/>
        <w:numPr>
          <w:ilvl w:val="0"/>
          <w:numId w:val="26"/>
        </w:numPr>
        <w:jc w:val="both"/>
        <w:rPr>
          <w:rFonts w:cs="Arial"/>
          <w:szCs w:val="22"/>
        </w:rPr>
      </w:pPr>
      <w:r>
        <w:rPr>
          <w:rFonts w:cs="Arial"/>
          <w:szCs w:val="22"/>
        </w:rPr>
        <w:t>Release Note (RN) when a change has occurred.</w:t>
      </w:r>
    </w:p>
    <w:p w14:paraId="56282DED" w14:textId="77777777" w:rsidR="006666BB" w:rsidRDefault="006666BB" w:rsidP="00F3136F">
      <w:pPr>
        <w:pStyle w:val="Maintext"/>
        <w:ind w:left="360"/>
        <w:jc w:val="both"/>
        <w:rPr>
          <w:rFonts w:cs="Arial"/>
          <w:szCs w:val="22"/>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223" w:type="dxa"/>
        <w:tblInd w:w="93" w:type="dxa"/>
        <w:tblLayout w:type="fixed"/>
        <w:tblLook w:val="04A0" w:firstRow="1" w:lastRow="0" w:firstColumn="1" w:lastColumn="0" w:noHBand="0" w:noVBand="1"/>
      </w:tblPr>
      <w:tblGrid>
        <w:gridCol w:w="1324"/>
        <w:gridCol w:w="7899"/>
      </w:tblGrid>
      <w:tr w:rsidR="00250516" w:rsidRPr="00E75FE8" w14:paraId="098BA344" w14:textId="77777777" w:rsidTr="00143518">
        <w:trPr>
          <w:trHeight w:val="291"/>
          <w:tblHeader/>
        </w:trPr>
        <w:tc>
          <w:tcPr>
            <w:tcW w:w="1324" w:type="dxa"/>
            <w:tcBorders>
              <w:top w:val="single" w:sz="4" w:space="0" w:color="95B3D7"/>
              <w:left w:val="nil"/>
              <w:bottom w:val="single" w:sz="4" w:space="0" w:color="95B3D7"/>
              <w:right w:val="nil"/>
            </w:tcBorders>
            <w:shd w:val="clear" w:color="4F81BD" w:fill="4F81BD"/>
          </w:tcPr>
          <w:p w14:paraId="1501788A" w14:textId="77777777" w:rsidR="00250516" w:rsidRDefault="00250516" w:rsidP="00B65C44">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747A0E83" w14:textId="77777777" w:rsidR="00250516" w:rsidRPr="00E75FE8" w:rsidRDefault="00250516" w:rsidP="00B65C44">
            <w:pPr>
              <w:rPr>
                <w:rFonts w:ascii="Calibri" w:hAnsi="Calibri" w:cs="Calibri"/>
                <w:b/>
                <w:bCs/>
                <w:color w:val="FFFFFF"/>
                <w:szCs w:val="22"/>
              </w:rPr>
            </w:pPr>
            <w:r>
              <w:rPr>
                <w:rFonts w:ascii="Calibri" w:hAnsi="Calibri" w:cs="Calibri"/>
                <w:b/>
                <w:bCs/>
                <w:color w:val="FFFFFF"/>
                <w:szCs w:val="22"/>
              </w:rPr>
              <w:t>Business Description</w:t>
            </w:r>
          </w:p>
        </w:tc>
      </w:tr>
      <w:tr w:rsidR="00250516" w:rsidRPr="00813A8D" w14:paraId="1467FCE7"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4D031BED" w14:textId="6AE90098" w:rsidR="00250516" w:rsidRPr="00153C5E" w:rsidRDefault="00DA7B16" w:rsidP="00B65C44">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0B534418" w14:textId="77777777" w:rsidR="00250516" w:rsidRPr="00153C5E" w:rsidRDefault="00250516" w:rsidP="00A31267">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745DD586" w14:textId="77777777" w:rsidR="00250516" w:rsidRPr="00153C5E" w:rsidRDefault="00250516" w:rsidP="00B65C44">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4ED56AF1" w14:textId="6538F7CD" w:rsidR="00250516" w:rsidRPr="00153C5E" w:rsidRDefault="00250516" w:rsidP="00AC2C3E">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w:t>
            </w:r>
            <w:r w:rsidR="00AC2C3E">
              <w:rPr>
                <w:rFonts w:ascii="Calibri" w:hAnsi="Calibri" w:cs="Calibri"/>
                <w:color w:val="000000"/>
                <w:szCs w:val="22"/>
              </w:rPr>
              <w:t>Pending</w:t>
            </w:r>
            <w:r>
              <w:rPr>
                <w:rFonts w:ascii="Calibri" w:hAnsi="Calibri" w:cs="Calibri"/>
                <w:color w:val="000000"/>
                <w:szCs w:val="22"/>
              </w:rPr>
              <w:t xml:space="preserve"> (under development) or a new Government/ATO </w:t>
            </w:r>
            <w:r w:rsidR="00A843DB">
              <w:rPr>
                <w:rFonts w:ascii="Calibri" w:hAnsi="Calibri" w:cs="Calibri"/>
                <w:color w:val="000000"/>
                <w:szCs w:val="22"/>
              </w:rPr>
              <w:t>initiative</w:t>
            </w:r>
            <w:r>
              <w:rPr>
                <w:rFonts w:ascii="Calibri" w:hAnsi="Calibri" w:cs="Calibri"/>
                <w:color w:val="000000"/>
                <w:szCs w:val="22"/>
              </w:rPr>
              <w:t xml:space="preserve"> sees the development of new services/messages to be deployed. </w:t>
            </w:r>
          </w:p>
        </w:tc>
      </w:tr>
      <w:tr w:rsidR="00250516" w:rsidRPr="00813A8D" w14:paraId="77D8F688" w14:textId="77777777" w:rsidTr="00143518">
        <w:trPr>
          <w:trHeight w:val="291"/>
        </w:trPr>
        <w:tc>
          <w:tcPr>
            <w:tcW w:w="1324" w:type="dxa"/>
            <w:tcBorders>
              <w:top w:val="single" w:sz="4" w:space="0" w:color="95B3D7"/>
              <w:left w:val="nil"/>
              <w:bottom w:val="single" w:sz="4" w:space="0" w:color="95B3D7"/>
              <w:right w:val="nil"/>
            </w:tcBorders>
            <w:shd w:val="clear" w:color="DCE6F1" w:fill="DCE6F1"/>
          </w:tcPr>
          <w:p w14:paraId="4CEE7127" w14:textId="77777777" w:rsidR="00250516" w:rsidRPr="00153C5E" w:rsidRDefault="00250516" w:rsidP="00B65C44">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7277C54C" w14:textId="558DA97C" w:rsidR="00250516" w:rsidRPr="00153C5E" w:rsidRDefault="00250516" w:rsidP="00143518">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w:t>
            </w:r>
            <w:r w:rsidR="001842CC">
              <w:rPr>
                <w:rFonts w:ascii="Calibri" w:hAnsi="Calibri" w:cs="Calibri"/>
                <w:color w:val="000000"/>
                <w:szCs w:val="22"/>
              </w:rPr>
              <w:t>/forward</w:t>
            </w:r>
            <w:r>
              <w:rPr>
                <w:rFonts w:ascii="Calibri" w:hAnsi="Calibri" w:cs="Calibri"/>
                <w:color w:val="000000"/>
                <w:szCs w:val="22"/>
              </w:rPr>
              <w:t xml:space="preserve"> year where artefacts cross multiple years.</w:t>
            </w:r>
          </w:p>
        </w:tc>
      </w:tr>
      <w:tr w:rsidR="00250516" w:rsidRPr="00813A8D" w14:paraId="5C876BF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5976BE69" w14:textId="77777777" w:rsidR="00250516" w:rsidRPr="00153C5E" w:rsidRDefault="00250516" w:rsidP="00B65C44">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3B73977D" w14:textId="26DAD4CE" w:rsidR="00250516" w:rsidRPr="00153C5E" w:rsidRDefault="00250516" w:rsidP="001842CC">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250516" w:rsidRPr="00813A8D" w14:paraId="3D46914B"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5246404B" w14:textId="77777777" w:rsidR="00250516" w:rsidRPr="00153C5E" w:rsidRDefault="00250516" w:rsidP="00B65C44">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6C1D5B5B" w14:textId="63E97B4D" w:rsidR="00250516" w:rsidRPr="00153C5E" w:rsidRDefault="00250516" w:rsidP="00720295">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w:t>
            </w:r>
            <w:r w:rsidR="00C761C9">
              <w:rPr>
                <w:rFonts w:ascii="Calibri" w:hAnsi="Calibri" w:cs="Calibri"/>
                <w:color w:val="000000"/>
                <w:szCs w:val="22"/>
              </w:rPr>
              <w:t>could occur</w:t>
            </w:r>
            <w:r>
              <w:rPr>
                <w:rFonts w:ascii="Calibri" w:hAnsi="Calibri" w:cs="Calibri"/>
                <w:color w:val="000000"/>
                <w:szCs w:val="22"/>
              </w:rPr>
              <w:t xml:space="preserve"> as a result of refining service/messages due to feedback or defects. </w:t>
            </w:r>
          </w:p>
        </w:tc>
      </w:tr>
    </w:tbl>
    <w:p w14:paraId="76C7E531" w14:textId="77777777" w:rsidR="00372352" w:rsidRDefault="00372352" w:rsidP="006214E7">
      <w:pPr>
        <w:pStyle w:val="Maintext"/>
      </w:pPr>
    </w:p>
    <w:p w14:paraId="6DB06DA7" w14:textId="77777777" w:rsidR="00372352" w:rsidRPr="006214E7" w:rsidRDefault="00372352" w:rsidP="006214E7">
      <w:pPr>
        <w:pStyle w:val="Maintext"/>
        <w:sectPr w:rsidR="00372352" w:rsidRPr="006214E7" w:rsidSect="006214E7">
          <w:headerReference w:type="default" r:id="rId23"/>
          <w:footerReference w:type="default" r:id="rId24"/>
          <w:pgSz w:w="11906" w:h="16838" w:code="9"/>
          <w:pgMar w:top="1418" w:right="1274" w:bottom="1202" w:left="1304" w:header="425" w:footer="680" w:gutter="0"/>
          <w:cols w:space="708"/>
          <w:formProt w:val="0"/>
          <w:docGrid w:linePitch="360"/>
        </w:sectPr>
      </w:pPr>
    </w:p>
    <w:p w14:paraId="0AB99E91" w14:textId="07C25026" w:rsidR="00350A2B" w:rsidRDefault="00B81E93" w:rsidP="00D349BA">
      <w:pPr>
        <w:pStyle w:val="Head1"/>
        <w:tabs>
          <w:tab w:val="clear" w:pos="2130"/>
        </w:tabs>
        <w:ind w:left="431" w:hanging="431"/>
        <w:jc w:val="both"/>
      </w:pPr>
      <w:bookmarkStart w:id="115" w:name="_Toc423592035"/>
      <w:r>
        <w:lastRenderedPageBreak/>
        <w:t>P</w:t>
      </w:r>
      <w:r w:rsidR="00622B06">
        <w:t>ackage</w:t>
      </w:r>
      <w:r w:rsidR="00884899">
        <w:t xml:space="preserve"> </w:t>
      </w:r>
      <w:r>
        <w:t>c</w:t>
      </w:r>
      <w:r w:rsidR="00884899">
        <w:t>ontents</w:t>
      </w:r>
      <w:bookmarkEnd w:id="115"/>
    </w:p>
    <w:p w14:paraId="0D6FD6A6" w14:textId="2EB3FEDF" w:rsidR="006666BB" w:rsidRDefault="002E11A1" w:rsidP="00737440">
      <w:pPr>
        <w:pStyle w:val="Maintext"/>
        <w:jc w:val="both"/>
      </w:pPr>
      <w:r>
        <w:t>The table below outlines the package contents.</w:t>
      </w:r>
    </w:p>
    <w:p w14:paraId="7AAB67F9" w14:textId="77777777" w:rsidR="00D637ED" w:rsidRDefault="00D637ED" w:rsidP="00737440">
      <w:pPr>
        <w:pStyle w:val="Maintext"/>
        <w:jc w:val="both"/>
      </w:pPr>
    </w:p>
    <w:tbl>
      <w:tblPr>
        <w:tblW w:w="14333"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111"/>
        <w:gridCol w:w="1354"/>
        <w:gridCol w:w="1197"/>
        <w:gridCol w:w="992"/>
        <w:gridCol w:w="2836"/>
        <w:gridCol w:w="1843"/>
      </w:tblGrid>
      <w:tr w:rsidR="00BC2757" w:rsidRPr="00D637ED" w14:paraId="20A9DD8A" w14:textId="77777777" w:rsidTr="00BC2757">
        <w:trPr>
          <w:trHeight w:val="288"/>
        </w:trPr>
        <w:tc>
          <w:tcPr>
            <w:tcW w:w="6111" w:type="dxa"/>
            <w:shd w:val="clear" w:color="auto" w:fill="4F81BD"/>
            <w:noWrap/>
            <w:hideMark/>
          </w:tcPr>
          <w:p w14:paraId="238A1631" w14:textId="77777777" w:rsidR="00A41928" w:rsidRPr="00BC2757" w:rsidRDefault="00A41928" w:rsidP="00E75FE8">
            <w:pPr>
              <w:rPr>
                <w:rFonts w:ascii="Calibri" w:hAnsi="Calibri" w:cs="Calibri"/>
                <w:b/>
                <w:bCs/>
                <w:color w:val="FFFFFF"/>
                <w:szCs w:val="22"/>
              </w:rPr>
            </w:pPr>
            <w:r w:rsidRPr="00BC2757">
              <w:rPr>
                <w:rFonts w:ascii="Calibri" w:hAnsi="Calibri" w:cs="Calibri"/>
                <w:b/>
                <w:bCs/>
                <w:color w:val="FFFFFF"/>
                <w:szCs w:val="22"/>
              </w:rPr>
              <w:t>Name</w:t>
            </w:r>
          </w:p>
        </w:tc>
        <w:tc>
          <w:tcPr>
            <w:tcW w:w="1354" w:type="dxa"/>
            <w:shd w:val="clear" w:color="auto" w:fill="4F81BD"/>
          </w:tcPr>
          <w:p w14:paraId="03821E43" w14:textId="77777777" w:rsidR="00A41928" w:rsidRPr="00BC2757" w:rsidRDefault="00A41928" w:rsidP="00906178">
            <w:pPr>
              <w:rPr>
                <w:rFonts w:ascii="Calibri" w:hAnsi="Calibri" w:cs="Calibri"/>
                <w:b/>
                <w:bCs/>
                <w:color w:val="FFFFFF"/>
                <w:szCs w:val="22"/>
              </w:rPr>
            </w:pPr>
            <w:r w:rsidRPr="00BC2757">
              <w:rPr>
                <w:rFonts w:ascii="Calibri" w:hAnsi="Calibri" w:cs="Calibri"/>
                <w:b/>
                <w:bCs/>
                <w:color w:val="FFFFFF"/>
                <w:szCs w:val="22"/>
              </w:rPr>
              <w:t>Document Date</w:t>
            </w:r>
          </w:p>
        </w:tc>
        <w:tc>
          <w:tcPr>
            <w:tcW w:w="1197" w:type="dxa"/>
            <w:shd w:val="clear" w:color="auto" w:fill="4F81BD"/>
          </w:tcPr>
          <w:p w14:paraId="31CF9641" w14:textId="77777777" w:rsidR="00A41928" w:rsidRPr="00BC2757" w:rsidRDefault="00A41928" w:rsidP="00E75FE8">
            <w:pPr>
              <w:rPr>
                <w:rFonts w:ascii="Calibri" w:hAnsi="Calibri" w:cs="Calibri"/>
                <w:b/>
                <w:bCs/>
                <w:color w:val="FFFFFF"/>
                <w:szCs w:val="22"/>
              </w:rPr>
            </w:pPr>
            <w:r w:rsidRPr="00BC2757">
              <w:rPr>
                <w:rFonts w:ascii="Calibri" w:hAnsi="Calibri" w:cs="Calibri"/>
                <w:b/>
                <w:bCs/>
                <w:color w:val="FFFFFF"/>
                <w:szCs w:val="22"/>
              </w:rPr>
              <w:t>Document Status</w:t>
            </w:r>
          </w:p>
        </w:tc>
        <w:tc>
          <w:tcPr>
            <w:tcW w:w="992" w:type="dxa"/>
            <w:shd w:val="clear" w:color="auto" w:fill="4F81BD"/>
          </w:tcPr>
          <w:p w14:paraId="03C41202" w14:textId="77777777" w:rsidR="00A41928" w:rsidRPr="00BC2757" w:rsidRDefault="00A41928" w:rsidP="00E75FE8">
            <w:pPr>
              <w:rPr>
                <w:rFonts w:ascii="Calibri" w:hAnsi="Calibri" w:cs="Calibri"/>
                <w:b/>
                <w:bCs/>
                <w:color w:val="FFFFFF"/>
                <w:szCs w:val="22"/>
              </w:rPr>
            </w:pPr>
            <w:r w:rsidRPr="00BC2757">
              <w:rPr>
                <w:rFonts w:ascii="Calibri" w:hAnsi="Calibri" w:cs="Calibri"/>
                <w:b/>
                <w:bCs/>
                <w:color w:val="FFFFFF"/>
                <w:szCs w:val="22"/>
              </w:rPr>
              <w:t>Version</w:t>
            </w:r>
          </w:p>
        </w:tc>
        <w:tc>
          <w:tcPr>
            <w:tcW w:w="2836" w:type="dxa"/>
            <w:shd w:val="clear" w:color="auto" w:fill="4F81BD"/>
            <w:noWrap/>
            <w:hideMark/>
          </w:tcPr>
          <w:p w14:paraId="13F39AC4" w14:textId="77777777" w:rsidR="00A41928" w:rsidRPr="00BC2757" w:rsidRDefault="00A41928" w:rsidP="00E75FE8">
            <w:pPr>
              <w:rPr>
                <w:rFonts w:ascii="Calibri" w:hAnsi="Calibri" w:cs="Calibri"/>
                <w:b/>
                <w:bCs/>
                <w:color w:val="FFFFFF"/>
                <w:szCs w:val="22"/>
              </w:rPr>
            </w:pPr>
            <w:r w:rsidRPr="00BC2757">
              <w:rPr>
                <w:rFonts w:ascii="Calibri" w:hAnsi="Calibri" w:cs="Calibri"/>
                <w:b/>
                <w:bCs/>
                <w:color w:val="FFFFFF"/>
                <w:szCs w:val="22"/>
              </w:rPr>
              <w:t>Comments</w:t>
            </w:r>
          </w:p>
        </w:tc>
        <w:tc>
          <w:tcPr>
            <w:tcW w:w="1843" w:type="dxa"/>
            <w:shd w:val="clear" w:color="auto" w:fill="4F81BD"/>
          </w:tcPr>
          <w:p w14:paraId="038501FC" w14:textId="77777777" w:rsidR="00A41928" w:rsidRPr="00BC2757" w:rsidRDefault="00A41928" w:rsidP="00E75FE8">
            <w:pPr>
              <w:rPr>
                <w:rFonts w:ascii="Calibri" w:hAnsi="Calibri" w:cs="Calibri"/>
                <w:b/>
                <w:bCs/>
                <w:color w:val="FFFFFF"/>
                <w:szCs w:val="22"/>
              </w:rPr>
            </w:pPr>
            <w:r w:rsidRPr="00BC2757">
              <w:rPr>
                <w:rFonts w:ascii="Calibri" w:hAnsi="Calibri" w:cs="Calibri"/>
                <w:b/>
                <w:bCs/>
                <w:color w:val="FFFFFF"/>
                <w:szCs w:val="22"/>
              </w:rPr>
              <w:t>Package Status</w:t>
            </w:r>
          </w:p>
        </w:tc>
      </w:tr>
      <w:tr w:rsidR="00BC2757" w:rsidRPr="00E75FE8" w14:paraId="1795663A" w14:textId="77777777" w:rsidTr="00BC2757">
        <w:trPr>
          <w:trHeight w:val="288"/>
        </w:trPr>
        <w:tc>
          <w:tcPr>
            <w:tcW w:w="6111" w:type="dxa"/>
            <w:shd w:val="clear" w:color="auto" w:fill="auto"/>
            <w:noWrap/>
            <w:hideMark/>
          </w:tcPr>
          <w:p w14:paraId="11410C41" w14:textId="110DC221" w:rsidR="008E6E7D" w:rsidRPr="00BC2757" w:rsidRDefault="008E6E7D" w:rsidP="009B4CBB">
            <w:pPr>
              <w:rPr>
                <w:rFonts w:ascii="Calibri" w:hAnsi="Calibri" w:cs="Calibri"/>
                <w:b/>
                <w:bCs/>
                <w:color w:val="000000"/>
                <w:szCs w:val="22"/>
              </w:rPr>
            </w:pPr>
            <w:r w:rsidRPr="00BC2757">
              <w:rPr>
                <w:rFonts w:ascii="Calibri" w:hAnsi="Calibri" w:cs="Calibri"/>
                <w:bCs/>
                <w:color w:val="000000"/>
                <w:szCs w:val="22"/>
              </w:rPr>
              <w:t>ATO MAT.0001  2015 Message Repository.xml</w:t>
            </w:r>
          </w:p>
        </w:tc>
        <w:tc>
          <w:tcPr>
            <w:tcW w:w="1354" w:type="dxa"/>
            <w:shd w:val="clear" w:color="auto" w:fill="auto"/>
          </w:tcPr>
          <w:p w14:paraId="077FC467" w14:textId="6E3B0D1F" w:rsidR="008E6E7D" w:rsidRPr="00BC2757" w:rsidRDefault="0045766A" w:rsidP="00B65C44">
            <w:pPr>
              <w:rPr>
                <w:rFonts w:ascii="Calibri" w:hAnsi="Calibri" w:cs="Calibri"/>
                <w:color w:val="000000"/>
                <w:szCs w:val="22"/>
              </w:rPr>
            </w:pPr>
            <w:r w:rsidRPr="00BC2757">
              <w:rPr>
                <w:rFonts w:ascii="Calibri" w:hAnsi="Calibri" w:cs="Calibri"/>
                <w:color w:val="000000"/>
                <w:szCs w:val="22"/>
              </w:rPr>
              <w:t>19.04.2018</w:t>
            </w:r>
          </w:p>
        </w:tc>
        <w:tc>
          <w:tcPr>
            <w:tcW w:w="1197" w:type="dxa"/>
            <w:shd w:val="clear" w:color="auto" w:fill="auto"/>
          </w:tcPr>
          <w:p w14:paraId="4B9E4C07" w14:textId="64EDC491" w:rsidR="008E6E7D" w:rsidRPr="00BC2757" w:rsidRDefault="0045766A" w:rsidP="00B65C44">
            <w:pPr>
              <w:rPr>
                <w:rFonts w:ascii="Calibri" w:hAnsi="Calibri" w:cs="Calibri"/>
                <w:color w:val="000000"/>
                <w:szCs w:val="22"/>
              </w:rPr>
            </w:pPr>
            <w:r w:rsidRPr="00BC2757">
              <w:rPr>
                <w:rFonts w:ascii="Calibri" w:hAnsi="Calibri" w:cs="Calibri"/>
                <w:color w:val="000000"/>
                <w:szCs w:val="22"/>
              </w:rPr>
              <w:t>Final</w:t>
            </w:r>
          </w:p>
        </w:tc>
        <w:tc>
          <w:tcPr>
            <w:tcW w:w="992" w:type="dxa"/>
            <w:shd w:val="clear" w:color="auto" w:fill="auto"/>
          </w:tcPr>
          <w:p w14:paraId="12D7939E" w14:textId="20C2B6D2" w:rsidR="008E6E7D" w:rsidRPr="00BC2757" w:rsidRDefault="0045766A" w:rsidP="00B65C44">
            <w:pPr>
              <w:rPr>
                <w:rFonts w:ascii="Calibri" w:hAnsi="Calibri" w:cs="Calibri"/>
                <w:color w:val="000000"/>
                <w:szCs w:val="22"/>
              </w:rPr>
            </w:pPr>
            <w:r w:rsidRPr="00BC2757">
              <w:rPr>
                <w:rFonts w:ascii="Calibri" w:hAnsi="Calibri" w:cs="Calibri"/>
                <w:color w:val="000000"/>
                <w:szCs w:val="22"/>
              </w:rPr>
              <w:t>1.0</w:t>
            </w:r>
          </w:p>
        </w:tc>
        <w:tc>
          <w:tcPr>
            <w:tcW w:w="2836" w:type="dxa"/>
            <w:shd w:val="clear" w:color="auto" w:fill="auto"/>
          </w:tcPr>
          <w:p w14:paraId="7346DD87" w14:textId="17415335" w:rsidR="008E6E7D" w:rsidRPr="00BC2757" w:rsidRDefault="00A179ED" w:rsidP="00BC2757">
            <w:pPr>
              <w:shd w:val="clear" w:color="auto" w:fill="FFFFFF"/>
              <w:rPr>
                <w:rFonts w:ascii="MS Shell Dlg 2" w:hAnsi="MS Shell Dlg 2" w:cs="MS Shell Dlg 2"/>
                <w:color w:val="000000"/>
                <w:sz w:val="20"/>
                <w:szCs w:val="20"/>
              </w:rPr>
            </w:pPr>
            <w:r w:rsidRPr="00BC2757">
              <w:rPr>
                <w:rFonts w:ascii="Calibri" w:hAnsi="Calibri" w:cs="Calibri"/>
                <w:color w:val="000000"/>
                <w:szCs w:val="22"/>
              </w:rPr>
              <w:t>Versioned to Final – no functional change.</w:t>
            </w:r>
          </w:p>
        </w:tc>
        <w:tc>
          <w:tcPr>
            <w:tcW w:w="1843" w:type="dxa"/>
            <w:shd w:val="clear" w:color="auto" w:fill="auto"/>
          </w:tcPr>
          <w:p w14:paraId="00AD68AD" w14:textId="21B115E7" w:rsidR="008E6E7D" w:rsidRPr="00BC2757" w:rsidRDefault="008E6E7D" w:rsidP="00B65C44">
            <w:pPr>
              <w:rPr>
                <w:rFonts w:ascii="Calibri" w:hAnsi="Calibri" w:cs="Calibri"/>
                <w:color w:val="000000"/>
                <w:szCs w:val="22"/>
              </w:rPr>
            </w:pPr>
            <w:r w:rsidRPr="00BC2757">
              <w:rPr>
                <w:rFonts w:ascii="Calibri" w:hAnsi="Calibri" w:cs="Calibri"/>
                <w:color w:val="000000"/>
                <w:szCs w:val="22"/>
              </w:rPr>
              <w:t>Updated</w:t>
            </w:r>
          </w:p>
        </w:tc>
      </w:tr>
      <w:tr w:rsidR="00BC2757" w:rsidRPr="00E75FE8" w14:paraId="0FCDF945" w14:textId="77777777" w:rsidTr="00BC2757">
        <w:trPr>
          <w:trHeight w:val="288"/>
        </w:trPr>
        <w:tc>
          <w:tcPr>
            <w:tcW w:w="6111" w:type="dxa"/>
            <w:shd w:val="clear" w:color="auto" w:fill="DBE5F1"/>
            <w:noWrap/>
            <w:hideMark/>
          </w:tcPr>
          <w:p w14:paraId="597F8D72" w14:textId="49383F63" w:rsidR="008E6E7D" w:rsidRPr="00BC2757" w:rsidRDefault="008E6E7D" w:rsidP="00B65C44">
            <w:pPr>
              <w:rPr>
                <w:rFonts w:ascii="Calibri" w:hAnsi="Calibri" w:cs="Calibri"/>
                <w:b/>
                <w:bCs/>
                <w:color w:val="000000"/>
                <w:szCs w:val="22"/>
              </w:rPr>
            </w:pPr>
            <w:r w:rsidRPr="00BC2757">
              <w:rPr>
                <w:rFonts w:ascii="Calibri" w:hAnsi="Calibri" w:cs="Calibri"/>
                <w:bCs/>
                <w:color w:val="000000"/>
                <w:szCs w:val="22"/>
              </w:rPr>
              <w:t>ATO MAT.0001 2015 Request Message Structure Table.xlsx</w:t>
            </w:r>
          </w:p>
        </w:tc>
        <w:tc>
          <w:tcPr>
            <w:tcW w:w="1354" w:type="dxa"/>
            <w:shd w:val="clear" w:color="auto" w:fill="DBE5F1"/>
          </w:tcPr>
          <w:p w14:paraId="0D62339C" w14:textId="21ED1F58" w:rsidR="008E6E7D" w:rsidRPr="00BC2757" w:rsidRDefault="008E6E7D" w:rsidP="00B65C44">
            <w:pPr>
              <w:rPr>
                <w:rFonts w:ascii="Calibri" w:hAnsi="Calibri" w:cs="Calibri"/>
                <w:color w:val="000000"/>
                <w:szCs w:val="22"/>
              </w:rPr>
            </w:pPr>
            <w:r w:rsidRPr="00BC2757">
              <w:rPr>
                <w:rFonts w:ascii="Calibri" w:hAnsi="Calibri" w:cs="Calibri"/>
                <w:color w:val="000000"/>
                <w:szCs w:val="22"/>
              </w:rPr>
              <w:t>07.04.2015</w:t>
            </w:r>
          </w:p>
        </w:tc>
        <w:tc>
          <w:tcPr>
            <w:tcW w:w="1197" w:type="dxa"/>
            <w:shd w:val="clear" w:color="auto" w:fill="DBE5F1"/>
          </w:tcPr>
          <w:p w14:paraId="0B6293BC" w14:textId="36357D20" w:rsidR="008E6E7D" w:rsidRPr="00BC2757" w:rsidRDefault="008E6E7D" w:rsidP="00B65C44">
            <w:pPr>
              <w:rPr>
                <w:rFonts w:ascii="Calibri" w:hAnsi="Calibri" w:cs="Calibri"/>
                <w:color w:val="000000"/>
                <w:szCs w:val="22"/>
              </w:rPr>
            </w:pPr>
            <w:r w:rsidRPr="00BC2757">
              <w:rPr>
                <w:rFonts w:ascii="Calibri" w:hAnsi="Calibri" w:cs="Calibri"/>
                <w:color w:val="000000"/>
                <w:szCs w:val="22"/>
              </w:rPr>
              <w:t>Final</w:t>
            </w:r>
          </w:p>
        </w:tc>
        <w:tc>
          <w:tcPr>
            <w:tcW w:w="992" w:type="dxa"/>
            <w:shd w:val="clear" w:color="auto" w:fill="DBE5F1"/>
          </w:tcPr>
          <w:p w14:paraId="5FCA3F47" w14:textId="5E6D9DFE" w:rsidR="008E6E7D" w:rsidRPr="00BC2757" w:rsidRDefault="008E6E7D" w:rsidP="00450C75">
            <w:pPr>
              <w:rPr>
                <w:rFonts w:ascii="Calibri" w:hAnsi="Calibri" w:cs="Calibri"/>
                <w:color w:val="000000"/>
                <w:szCs w:val="22"/>
              </w:rPr>
            </w:pPr>
            <w:r w:rsidRPr="00BC2757">
              <w:rPr>
                <w:rFonts w:ascii="Calibri" w:hAnsi="Calibri" w:cs="Calibri"/>
                <w:color w:val="000000"/>
                <w:szCs w:val="22"/>
              </w:rPr>
              <w:t>1.0</w:t>
            </w:r>
          </w:p>
        </w:tc>
        <w:tc>
          <w:tcPr>
            <w:tcW w:w="2836" w:type="dxa"/>
            <w:shd w:val="clear" w:color="auto" w:fill="DBE5F1"/>
          </w:tcPr>
          <w:p w14:paraId="6CEA7888" w14:textId="708FB655" w:rsidR="008E6E7D" w:rsidRPr="00BC2757" w:rsidRDefault="008E6E7D" w:rsidP="00D723BB">
            <w:pPr>
              <w:rPr>
                <w:rFonts w:ascii="Calibri" w:hAnsi="Calibri" w:cs="Calibri"/>
                <w:b/>
                <w:color w:val="000000"/>
                <w:szCs w:val="22"/>
              </w:rPr>
            </w:pPr>
            <w:r w:rsidRPr="00BC2757">
              <w:rPr>
                <w:rFonts w:ascii="Calibri" w:hAnsi="Calibri" w:cs="Calibri"/>
                <w:color w:val="000000"/>
                <w:szCs w:val="22"/>
              </w:rPr>
              <w:t>No change from prior publication.</w:t>
            </w:r>
          </w:p>
        </w:tc>
        <w:tc>
          <w:tcPr>
            <w:tcW w:w="1843" w:type="dxa"/>
            <w:shd w:val="clear" w:color="auto" w:fill="DBE5F1"/>
          </w:tcPr>
          <w:p w14:paraId="7A1EEF44" w14:textId="2A0D6184" w:rsidR="008E6E7D" w:rsidRPr="00BC2757" w:rsidRDefault="008E6E7D" w:rsidP="00B65C44">
            <w:pPr>
              <w:rPr>
                <w:rFonts w:ascii="Calibri" w:hAnsi="Calibri" w:cs="Calibri"/>
                <w:color w:val="000000"/>
                <w:szCs w:val="22"/>
              </w:rPr>
            </w:pPr>
            <w:r w:rsidRPr="00BC2757">
              <w:rPr>
                <w:rFonts w:ascii="Calibri" w:hAnsi="Calibri" w:cs="Calibri"/>
                <w:color w:val="000000"/>
                <w:szCs w:val="22"/>
              </w:rPr>
              <w:t>Present</w:t>
            </w:r>
          </w:p>
        </w:tc>
      </w:tr>
      <w:tr w:rsidR="00BC2757" w:rsidRPr="00E75FE8" w14:paraId="011CCEDA" w14:textId="77777777" w:rsidTr="00BC2757">
        <w:trPr>
          <w:trHeight w:val="288"/>
        </w:trPr>
        <w:tc>
          <w:tcPr>
            <w:tcW w:w="6111" w:type="dxa"/>
            <w:shd w:val="clear" w:color="auto" w:fill="auto"/>
            <w:noWrap/>
            <w:hideMark/>
          </w:tcPr>
          <w:p w14:paraId="10B9FDC7" w14:textId="341589A1" w:rsidR="008E6E7D" w:rsidRPr="00BC2757" w:rsidRDefault="008E6E7D" w:rsidP="00B65C44">
            <w:pPr>
              <w:rPr>
                <w:rFonts w:ascii="Calibri" w:hAnsi="Calibri" w:cs="Calibri"/>
                <w:b/>
                <w:bCs/>
                <w:color w:val="000000"/>
                <w:szCs w:val="22"/>
              </w:rPr>
            </w:pPr>
            <w:r w:rsidRPr="00BC2757">
              <w:rPr>
                <w:rFonts w:ascii="Calibri" w:hAnsi="Calibri" w:cs="Calibri"/>
                <w:bCs/>
                <w:color w:val="000000"/>
                <w:szCs w:val="22"/>
              </w:rPr>
              <w:t>ATO MAT.0001 2015 Response Message Structure Table.xlsx</w:t>
            </w:r>
          </w:p>
        </w:tc>
        <w:tc>
          <w:tcPr>
            <w:tcW w:w="1354" w:type="dxa"/>
            <w:shd w:val="clear" w:color="auto" w:fill="auto"/>
          </w:tcPr>
          <w:p w14:paraId="4A497357" w14:textId="6AFC74E1" w:rsidR="008E6E7D" w:rsidRPr="00BC2757" w:rsidRDefault="008E6E7D" w:rsidP="00B65C44">
            <w:pPr>
              <w:rPr>
                <w:rFonts w:ascii="Calibri" w:hAnsi="Calibri" w:cs="Calibri"/>
                <w:color w:val="000000"/>
                <w:szCs w:val="22"/>
              </w:rPr>
            </w:pPr>
            <w:r w:rsidRPr="00BC2757">
              <w:rPr>
                <w:rFonts w:ascii="Calibri" w:hAnsi="Calibri" w:cs="Calibri"/>
                <w:color w:val="000000"/>
                <w:szCs w:val="22"/>
              </w:rPr>
              <w:t>10.03.2015</w:t>
            </w:r>
          </w:p>
        </w:tc>
        <w:tc>
          <w:tcPr>
            <w:tcW w:w="1197" w:type="dxa"/>
            <w:shd w:val="clear" w:color="auto" w:fill="auto"/>
          </w:tcPr>
          <w:p w14:paraId="7EDABC59" w14:textId="2C7DC5B1" w:rsidR="008E6E7D" w:rsidRPr="00BC2757" w:rsidRDefault="008E6E7D" w:rsidP="00B65C44">
            <w:pPr>
              <w:rPr>
                <w:rFonts w:ascii="Calibri" w:hAnsi="Calibri" w:cs="Calibri"/>
                <w:color w:val="000000"/>
                <w:szCs w:val="22"/>
              </w:rPr>
            </w:pPr>
            <w:r w:rsidRPr="00BC2757">
              <w:rPr>
                <w:rFonts w:ascii="Calibri" w:hAnsi="Calibri" w:cs="Calibri"/>
                <w:color w:val="000000"/>
                <w:szCs w:val="22"/>
              </w:rPr>
              <w:t>Final</w:t>
            </w:r>
          </w:p>
        </w:tc>
        <w:tc>
          <w:tcPr>
            <w:tcW w:w="992" w:type="dxa"/>
            <w:shd w:val="clear" w:color="auto" w:fill="auto"/>
          </w:tcPr>
          <w:p w14:paraId="2878AA2E" w14:textId="107B35AC" w:rsidR="008E6E7D" w:rsidRPr="00BC2757" w:rsidRDefault="008E6E7D" w:rsidP="00450C75">
            <w:pPr>
              <w:rPr>
                <w:rFonts w:ascii="Calibri" w:hAnsi="Calibri" w:cs="Calibri"/>
                <w:color w:val="000000"/>
                <w:szCs w:val="22"/>
              </w:rPr>
            </w:pPr>
            <w:r w:rsidRPr="00BC2757">
              <w:rPr>
                <w:rFonts w:ascii="Calibri" w:hAnsi="Calibri" w:cs="Calibri"/>
                <w:color w:val="000000"/>
                <w:szCs w:val="22"/>
              </w:rPr>
              <w:t>1.0</w:t>
            </w:r>
          </w:p>
        </w:tc>
        <w:tc>
          <w:tcPr>
            <w:tcW w:w="2836" w:type="dxa"/>
            <w:shd w:val="clear" w:color="auto" w:fill="auto"/>
          </w:tcPr>
          <w:p w14:paraId="38256653" w14:textId="5420A55C" w:rsidR="008E6E7D" w:rsidRPr="00BC2757" w:rsidRDefault="008E6E7D" w:rsidP="00D723BB">
            <w:pPr>
              <w:rPr>
                <w:rFonts w:ascii="Calibri" w:hAnsi="Calibri" w:cs="Calibri"/>
                <w:b/>
                <w:color w:val="000000"/>
                <w:szCs w:val="22"/>
              </w:rPr>
            </w:pPr>
            <w:r w:rsidRPr="00BC2757">
              <w:rPr>
                <w:rFonts w:ascii="Calibri" w:hAnsi="Calibri" w:cs="Calibri"/>
                <w:color w:val="000000"/>
                <w:szCs w:val="22"/>
              </w:rPr>
              <w:t>No change from prior publication.</w:t>
            </w:r>
          </w:p>
        </w:tc>
        <w:tc>
          <w:tcPr>
            <w:tcW w:w="1843" w:type="dxa"/>
            <w:shd w:val="clear" w:color="auto" w:fill="auto"/>
          </w:tcPr>
          <w:p w14:paraId="0DD36029" w14:textId="47536C22" w:rsidR="008E6E7D" w:rsidRPr="00BC2757" w:rsidRDefault="008E6E7D" w:rsidP="00B65C44">
            <w:pPr>
              <w:rPr>
                <w:rFonts w:ascii="Calibri" w:hAnsi="Calibri" w:cs="Calibri"/>
                <w:color w:val="000000"/>
                <w:szCs w:val="22"/>
              </w:rPr>
            </w:pPr>
            <w:r w:rsidRPr="00BC2757">
              <w:rPr>
                <w:rFonts w:ascii="Calibri" w:hAnsi="Calibri" w:cs="Calibri"/>
                <w:color w:val="000000"/>
                <w:szCs w:val="22"/>
              </w:rPr>
              <w:t>Present</w:t>
            </w:r>
          </w:p>
        </w:tc>
      </w:tr>
      <w:tr w:rsidR="00BC2757" w:rsidRPr="00E75FE8" w14:paraId="687AE654" w14:textId="77777777" w:rsidTr="00BC2757">
        <w:trPr>
          <w:trHeight w:val="288"/>
        </w:trPr>
        <w:tc>
          <w:tcPr>
            <w:tcW w:w="6111" w:type="dxa"/>
            <w:shd w:val="clear" w:color="auto" w:fill="DBE5F1"/>
            <w:noWrap/>
            <w:hideMark/>
          </w:tcPr>
          <w:p w14:paraId="5B5D98DA" w14:textId="5B854D73" w:rsidR="008E6E7D" w:rsidRPr="00BC2757" w:rsidRDefault="008E6E7D" w:rsidP="00374587">
            <w:pPr>
              <w:rPr>
                <w:rFonts w:ascii="Calibri" w:hAnsi="Calibri" w:cs="Calibri"/>
                <w:b/>
                <w:bCs/>
                <w:color w:val="000000"/>
                <w:szCs w:val="22"/>
              </w:rPr>
            </w:pPr>
            <w:r w:rsidRPr="00BC2757">
              <w:rPr>
                <w:rFonts w:ascii="Calibri" w:hAnsi="Calibri" w:cs="Calibri"/>
                <w:bCs/>
                <w:color w:val="000000"/>
                <w:szCs w:val="22"/>
              </w:rPr>
              <w:t>ATO MAT.0001 2015 Schematron.zip</w:t>
            </w:r>
          </w:p>
        </w:tc>
        <w:tc>
          <w:tcPr>
            <w:tcW w:w="1354" w:type="dxa"/>
            <w:shd w:val="clear" w:color="auto" w:fill="DBE5F1"/>
          </w:tcPr>
          <w:p w14:paraId="30BDC773" w14:textId="0D8A12B7" w:rsidR="008E6E7D" w:rsidRPr="00BC2757" w:rsidRDefault="0045766A" w:rsidP="006F3D06">
            <w:pPr>
              <w:rPr>
                <w:rFonts w:ascii="Calibri" w:hAnsi="Calibri" w:cs="Calibri"/>
                <w:color w:val="000000"/>
                <w:szCs w:val="22"/>
              </w:rPr>
            </w:pPr>
            <w:r w:rsidRPr="00BC2757">
              <w:rPr>
                <w:rFonts w:ascii="Calibri" w:hAnsi="Calibri" w:cs="Calibri"/>
                <w:color w:val="000000"/>
                <w:szCs w:val="22"/>
              </w:rPr>
              <w:t>19.04.2018</w:t>
            </w:r>
          </w:p>
        </w:tc>
        <w:tc>
          <w:tcPr>
            <w:tcW w:w="1197" w:type="dxa"/>
            <w:shd w:val="clear" w:color="auto" w:fill="DBE5F1"/>
          </w:tcPr>
          <w:p w14:paraId="7B9961F6" w14:textId="3AA78E92" w:rsidR="008E6E7D" w:rsidRPr="00BC2757" w:rsidRDefault="006A2866" w:rsidP="006F3D06">
            <w:pPr>
              <w:rPr>
                <w:rFonts w:ascii="Calibri" w:hAnsi="Calibri" w:cs="Calibri"/>
                <w:color w:val="000000"/>
                <w:szCs w:val="22"/>
              </w:rPr>
            </w:pPr>
            <w:r w:rsidRPr="00BC2757">
              <w:rPr>
                <w:rFonts w:ascii="Calibri" w:hAnsi="Calibri" w:cs="Calibri"/>
                <w:color w:val="000000"/>
                <w:szCs w:val="22"/>
              </w:rPr>
              <w:t>Final</w:t>
            </w:r>
          </w:p>
        </w:tc>
        <w:tc>
          <w:tcPr>
            <w:tcW w:w="992" w:type="dxa"/>
            <w:shd w:val="clear" w:color="auto" w:fill="DBE5F1"/>
          </w:tcPr>
          <w:p w14:paraId="46501CBE" w14:textId="0DDD6402" w:rsidR="008E6E7D" w:rsidRPr="00BC2757" w:rsidRDefault="006A2866" w:rsidP="00450C75">
            <w:pPr>
              <w:rPr>
                <w:rFonts w:ascii="Calibri" w:hAnsi="Calibri" w:cs="Calibri"/>
                <w:color w:val="000000"/>
                <w:szCs w:val="22"/>
              </w:rPr>
            </w:pPr>
            <w:r w:rsidRPr="00BC2757">
              <w:rPr>
                <w:rFonts w:ascii="Calibri" w:hAnsi="Calibri" w:cs="Calibri"/>
                <w:color w:val="000000"/>
                <w:szCs w:val="22"/>
              </w:rPr>
              <w:t>1.0</w:t>
            </w:r>
          </w:p>
        </w:tc>
        <w:tc>
          <w:tcPr>
            <w:tcW w:w="2836" w:type="dxa"/>
            <w:shd w:val="clear" w:color="auto" w:fill="DBE5F1"/>
          </w:tcPr>
          <w:p w14:paraId="0A6B80F7" w14:textId="601569C2" w:rsidR="008E6E7D" w:rsidRPr="00BC2757" w:rsidRDefault="006A2866" w:rsidP="006F3D06">
            <w:pPr>
              <w:rPr>
                <w:rFonts w:ascii="Calibri" w:hAnsi="Calibri" w:cs="Calibri"/>
                <w:color w:val="000000"/>
                <w:szCs w:val="22"/>
              </w:rPr>
            </w:pPr>
            <w:r w:rsidRPr="00BC2757">
              <w:rPr>
                <w:rFonts w:ascii="Calibri" w:hAnsi="Calibri" w:cs="Calibri"/>
                <w:color w:val="000000"/>
                <w:szCs w:val="22"/>
              </w:rPr>
              <w:t>Versioned to Final – no functional change.</w:t>
            </w:r>
          </w:p>
        </w:tc>
        <w:tc>
          <w:tcPr>
            <w:tcW w:w="1843" w:type="dxa"/>
            <w:shd w:val="clear" w:color="auto" w:fill="DBE5F1"/>
          </w:tcPr>
          <w:p w14:paraId="593F3256" w14:textId="799E3F29" w:rsidR="008E6E7D" w:rsidRPr="00BC2757" w:rsidRDefault="00776BDC" w:rsidP="006F3D06">
            <w:pPr>
              <w:rPr>
                <w:rFonts w:ascii="Calibri" w:hAnsi="Calibri" w:cs="Calibri"/>
                <w:color w:val="000000"/>
                <w:szCs w:val="22"/>
              </w:rPr>
            </w:pPr>
            <w:r w:rsidRPr="00BC2757">
              <w:rPr>
                <w:rFonts w:ascii="Calibri" w:hAnsi="Calibri" w:cs="Calibri"/>
                <w:color w:val="000000"/>
                <w:szCs w:val="22"/>
              </w:rPr>
              <w:t>Updated</w:t>
            </w:r>
          </w:p>
        </w:tc>
      </w:tr>
      <w:tr w:rsidR="00BC2757" w:rsidRPr="00E75FE8" w14:paraId="5237F2E6" w14:textId="77777777" w:rsidTr="00BC2757">
        <w:trPr>
          <w:trHeight w:val="288"/>
        </w:trPr>
        <w:tc>
          <w:tcPr>
            <w:tcW w:w="6111" w:type="dxa"/>
            <w:shd w:val="clear" w:color="auto" w:fill="auto"/>
            <w:noWrap/>
            <w:hideMark/>
          </w:tcPr>
          <w:p w14:paraId="4DE32398" w14:textId="753D9F59" w:rsidR="008E6E7D" w:rsidRPr="00BC2757" w:rsidRDefault="008E6E7D" w:rsidP="006F3D06">
            <w:pPr>
              <w:rPr>
                <w:rFonts w:ascii="Calibri" w:hAnsi="Calibri" w:cs="Calibri"/>
                <w:b/>
                <w:bCs/>
                <w:color w:val="000000"/>
                <w:szCs w:val="22"/>
              </w:rPr>
            </w:pPr>
            <w:r w:rsidRPr="00BC2757">
              <w:rPr>
                <w:rFonts w:ascii="Calibri" w:hAnsi="Calibri" w:cs="Calibri"/>
                <w:bCs/>
                <w:color w:val="000000"/>
                <w:szCs w:val="22"/>
              </w:rPr>
              <w:t>ATO MAT.0001 2015 Validation Rules.xlsx</w:t>
            </w:r>
          </w:p>
        </w:tc>
        <w:tc>
          <w:tcPr>
            <w:tcW w:w="1354" w:type="dxa"/>
            <w:shd w:val="clear" w:color="auto" w:fill="auto"/>
          </w:tcPr>
          <w:p w14:paraId="1DD95A75" w14:textId="566144D5" w:rsidR="008E6E7D" w:rsidRPr="00BC2757" w:rsidRDefault="0045766A" w:rsidP="006F3D06">
            <w:pPr>
              <w:rPr>
                <w:rFonts w:ascii="Calibri" w:hAnsi="Calibri" w:cs="Calibri"/>
                <w:color w:val="000000"/>
                <w:szCs w:val="22"/>
              </w:rPr>
            </w:pPr>
            <w:r w:rsidRPr="00BC2757">
              <w:rPr>
                <w:rFonts w:ascii="Calibri" w:hAnsi="Calibri" w:cs="Calibri"/>
                <w:color w:val="000000"/>
                <w:szCs w:val="22"/>
              </w:rPr>
              <w:t>19.04.2018</w:t>
            </w:r>
          </w:p>
        </w:tc>
        <w:tc>
          <w:tcPr>
            <w:tcW w:w="1197" w:type="dxa"/>
            <w:shd w:val="clear" w:color="auto" w:fill="auto"/>
          </w:tcPr>
          <w:p w14:paraId="367004FC" w14:textId="1FF55931" w:rsidR="008E6E7D" w:rsidRPr="00BC2757" w:rsidRDefault="006A2866" w:rsidP="006F3D06">
            <w:pPr>
              <w:rPr>
                <w:rFonts w:ascii="Calibri" w:hAnsi="Calibri" w:cs="Calibri"/>
                <w:color w:val="000000"/>
                <w:szCs w:val="22"/>
              </w:rPr>
            </w:pPr>
            <w:r w:rsidRPr="00BC2757">
              <w:rPr>
                <w:rFonts w:ascii="Calibri" w:hAnsi="Calibri" w:cs="Calibri"/>
                <w:color w:val="000000"/>
                <w:szCs w:val="22"/>
              </w:rPr>
              <w:t>Final</w:t>
            </w:r>
          </w:p>
        </w:tc>
        <w:tc>
          <w:tcPr>
            <w:tcW w:w="992" w:type="dxa"/>
            <w:shd w:val="clear" w:color="auto" w:fill="auto"/>
          </w:tcPr>
          <w:p w14:paraId="027C0028" w14:textId="5140E05C" w:rsidR="008E6E7D" w:rsidRPr="00BC2757" w:rsidRDefault="006A2866" w:rsidP="00450C75">
            <w:pPr>
              <w:rPr>
                <w:rFonts w:ascii="Calibri" w:hAnsi="Calibri" w:cs="Calibri"/>
                <w:color w:val="000000"/>
                <w:szCs w:val="22"/>
              </w:rPr>
            </w:pPr>
            <w:r w:rsidRPr="00BC2757">
              <w:rPr>
                <w:rFonts w:ascii="Calibri" w:hAnsi="Calibri" w:cs="Calibri"/>
                <w:color w:val="000000"/>
                <w:szCs w:val="22"/>
              </w:rPr>
              <w:t>1.0</w:t>
            </w:r>
          </w:p>
        </w:tc>
        <w:tc>
          <w:tcPr>
            <w:tcW w:w="2836" w:type="dxa"/>
            <w:shd w:val="clear" w:color="auto" w:fill="auto"/>
          </w:tcPr>
          <w:p w14:paraId="6A1EB261" w14:textId="5BDA161B" w:rsidR="008E6E7D" w:rsidRPr="00BC2757" w:rsidRDefault="006A2866" w:rsidP="006F3D06">
            <w:pPr>
              <w:rPr>
                <w:rFonts w:ascii="Calibri" w:hAnsi="Calibri" w:cs="Calibri"/>
                <w:color w:val="000000"/>
                <w:szCs w:val="22"/>
              </w:rPr>
            </w:pPr>
            <w:r w:rsidRPr="00BC2757">
              <w:rPr>
                <w:rFonts w:ascii="Calibri" w:hAnsi="Calibri" w:cs="Calibri"/>
                <w:color w:val="000000"/>
                <w:szCs w:val="22"/>
              </w:rPr>
              <w:t>Versioned to Final – no functional change.</w:t>
            </w:r>
          </w:p>
        </w:tc>
        <w:tc>
          <w:tcPr>
            <w:tcW w:w="1843" w:type="dxa"/>
            <w:shd w:val="clear" w:color="auto" w:fill="auto"/>
          </w:tcPr>
          <w:p w14:paraId="36AE27C1" w14:textId="56C091C0" w:rsidR="008E6E7D" w:rsidRPr="00BC2757" w:rsidRDefault="006A2866" w:rsidP="006F3D06">
            <w:pPr>
              <w:rPr>
                <w:rFonts w:ascii="Calibri" w:hAnsi="Calibri" w:cs="Calibri"/>
                <w:color w:val="000000"/>
                <w:szCs w:val="22"/>
              </w:rPr>
            </w:pPr>
            <w:r w:rsidRPr="00BC2757">
              <w:rPr>
                <w:rFonts w:ascii="Calibri" w:hAnsi="Calibri" w:cs="Calibri"/>
                <w:color w:val="000000"/>
                <w:szCs w:val="22"/>
              </w:rPr>
              <w:t>Updated</w:t>
            </w:r>
          </w:p>
        </w:tc>
      </w:tr>
    </w:tbl>
    <w:bookmarkEnd w:id="0"/>
    <w:p w14:paraId="57AC6142" w14:textId="256945AB" w:rsidR="00290C03" w:rsidRDefault="00290C03" w:rsidP="008409A7">
      <w:pPr>
        <w:pStyle w:val="Maintext"/>
        <w:shd w:val="clear" w:color="auto" w:fill="FFFFFF"/>
        <w:spacing w:before="120"/>
        <w:jc w:val="both"/>
      </w:pPr>
      <w:r>
        <w:t>Total artefact</w:t>
      </w:r>
      <w:r w:rsidR="00BA495E">
        <w:t xml:space="preserve">s in package: </w:t>
      </w:r>
      <w:r w:rsidR="00B1552A">
        <w:t>5</w:t>
      </w:r>
    </w:p>
    <w:sectPr w:rsidR="00290C03" w:rsidSect="006666BB">
      <w:headerReference w:type="default" r:id="rId25"/>
      <w:footerReference w:type="default" r:id="rId26"/>
      <w:pgSz w:w="16838" w:h="11906" w:orient="landscape" w:code="9"/>
      <w:pgMar w:top="1304" w:right="1418" w:bottom="1466" w:left="1202"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79FC7" w14:textId="77777777" w:rsidR="00BC2757" w:rsidRDefault="00BC2757">
      <w:r>
        <w:separator/>
      </w:r>
    </w:p>
  </w:endnote>
  <w:endnote w:type="continuationSeparator" w:id="0">
    <w:p w14:paraId="76BA4655" w14:textId="77777777" w:rsidR="00BC2757" w:rsidRDefault="00B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B65C44" w14:paraId="28EEDCD8" w14:textId="77777777">
      <w:trPr>
        <w:trHeight w:hRule="exact" w:val="567"/>
      </w:trPr>
      <w:tc>
        <w:tcPr>
          <w:tcW w:w="3629" w:type="dxa"/>
          <w:vAlign w:val="bottom"/>
        </w:tcPr>
        <w:p w14:paraId="60C370C8" w14:textId="77777777" w:rsidR="00B65C44" w:rsidRPr="00961BA8" w:rsidRDefault="00B65C44">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B65C44" w:rsidRDefault="00B65C44">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B65C44" w:rsidRDefault="00B65C44"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BC2757">
            <w:fldChar w:fldCharType="begin"/>
          </w:r>
          <w:r w:rsidR="00BC2757">
            <w:instrText xml:space="preserve"> NUMPAGES   \* MERGEFORMAT </w:instrText>
          </w:r>
          <w:r w:rsidR="00BC2757">
            <w:fldChar w:fldCharType="separate"/>
          </w:r>
          <w:r>
            <w:rPr>
              <w:noProof/>
            </w:rPr>
            <w:t>6</w:t>
          </w:r>
          <w:r w:rsidR="00BC2757">
            <w:rPr>
              <w:noProof/>
            </w:rPr>
            <w:fldChar w:fldCharType="end"/>
          </w:r>
        </w:p>
      </w:tc>
    </w:tr>
  </w:tbl>
  <w:p w14:paraId="6E9B104D" w14:textId="77777777" w:rsidR="00B65C44" w:rsidRPr="004E35EF" w:rsidRDefault="00B65C44"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4B8C0BD0" w:rsidR="00B65C44" w:rsidRPr="00830054" w:rsidRDefault="00B65C44" w:rsidP="00A12ED0">
    <w:pPr>
      <w:pStyle w:val="FooterPortrait"/>
      <w:pBdr>
        <w:top w:val="single" w:sz="4" w:space="2" w:color="auto"/>
      </w:pBdr>
      <w:tabs>
        <w:tab w:val="clear" w:pos="1021"/>
        <w:tab w:val="center" w:pos="4730"/>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A179ED">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A179ED">
      <w:rPr>
        <w:noProof/>
        <w:color w:val="003366"/>
      </w:rPr>
      <w:t>7</w:t>
    </w:r>
    <w:r w:rsidRPr="00830054">
      <w:rPr>
        <w:color w:val="003366"/>
      </w:rPr>
      <w:fldChar w:fldCharType="end"/>
    </w:r>
  </w:p>
  <w:p w14:paraId="26EA3631" w14:textId="77777777" w:rsidR="00B65C44" w:rsidRPr="00607411" w:rsidRDefault="00B65C44"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509DA9E8" w:rsidR="00B65C44" w:rsidRPr="009A241C" w:rsidRDefault="00B65C44" w:rsidP="006666BB">
    <w:pPr>
      <w:pStyle w:val="FooterPortrait"/>
      <w:pBdr>
        <w:top w:val="single" w:sz="4" w:space="1" w:color="auto"/>
      </w:pBdr>
      <w:tabs>
        <w:tab w:val="clear" w:pos="1021"/>
        <w:tab w:val="center" w:pos="4730"/>
        <w:tab w:val="left" w:pos="7938"/>
        <w:tab w:val="right" w:pos="11340"/>
      </w:tabs>
      <w:ind w:right="135"/>
      <w:rPr>
        <w:color w:val="335876"/>
      </w:rPr>
    </w:pPr>
    <w:r>
      <w:rPr>
        <w:color w:val="335876"/>
      </w:rPr>
      <w:tab/>
    </w: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A179ED">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A179ED">
      <w:rPr>
        <w:noProof/>
        <w:color w:val="335876"/>
      </w:rPr>
      <w:t>7</w:t>
    </w:r>
    <w:r w:rsidRPr="00D23519">
      <w:rPr>
        <w:color w:val="335876"/>
      </w:rPr>
      <w:fldChar w:fldCharType="end"/>
    </w:r>
  </w:p>
  <w:p w14:paraId="52B6C8BE" w14:textId="77777777" w:rsidR="00B65C44" w:rsidRPr="00607411" w:rsidRDefault="00B65C44"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6DD99E60" w:rsidR="00B65C44" w:rsidRPr="009A241C" w:rsidRDefault="00B65C44" w:rsidP="00F97725">
    <w:pPr>
      <w:pStyle w:val="FooterPortrait"/>
      <w:pBdr>
        <w:top w:val="single" w:sz="4" w:space="1" w:color="auto"/>
      </w:pBdr>
      <w:tabs>
        <w:tab w:val="clear" w:pos="1021"/>
        <w:tab w:val="center" w:pos="7088"/>
        <w:tab w:val="left" w:pos="12758"/>
        <w:tab w:val="right" w:pos="14175"/>
      </w:tabs>
      <w:ind w:right="135"/>
      <w:rPr>
        <w:color w:val="335876"/>
      </w:rPr>
    </w:pPr>
    <w:r>
      <w:rPr>
        <w:color w:val="335876"/>
      </w:rPr>
      <w:tab/>
    </w: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A179ED">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A179ED">
      <w:rPr>
        <w:noProof/>
        <w:color w:val="335876"/>
      </w:rPr>
      <w:t>7</w:t>
    </w:r>
    <w:r w:rsidRPr="00D23519">
      <w:rPr>
        <w:color w:val="335876"/>
      </w:rPr>
      <w:fldChar w:fldCharType="end"/>
    </w:r>
  </w:p>
  <w:p w14:paraId="282A5690" w14:textId="77777777" w:rsidR="00B65C44" w:rsidRPr="00607411" w:rsidRDefault="00B65C44"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86DAA" w14:textId="77777777" w:rsidR="00BC2757" w:rsidRDefault="00BC2757">
      <w:r>
        <w:separator/>
      </w:r>
    </w:p>
  </w:footnote>
  <w:footnote w:type="continuationSeparator" w:id="0">
    <w:p w14:paraId="105DC085" w14:textId="77777777" w:rsidR="00BC2757" w:rsidRDefault="00BC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B65C44" w:rsidRPr="00BE2B9A" w14:paraId="5B0A19F6" w14:textId="77777777">
      <w:trPr>
        <w:trHeight w:hRule="exact" w:val="567"/>
      </w:trPr>
      <w:tc>
        <w:tcPr>
          <w:tcW w:w="3629" w:type="dxa"/>
          <w:shd w:val="clear" w:color="auto" w:fill="auto"/>
        </w:tcPr>
        <w:p w14:paraId="408C3B7C" w14:textId="77777777" w:rsidR="00B65C44" w:rsidRPr="00BE2B9A" w:rsidRDefault="00B65C44"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B65C44" w:rsidRPr="00BE2B9A" w:rsidRDefault="00BC2757" w:rsidP="000E5315">
          <w:pPr>
            <w:pStyle w:val="Header"/>
            <w:spacing w:before="160" w:after="100"/>
            <w:jc w:val="right"/>
            <w:rPr>
              <w:sz w:val="15"/>
            </w:rPr>
          </w:pPr>
          <w:r>
            <w:fldChar w:fldCharType="begin"/>
          </w:r>
          <w:r>
            <w:instrText xml:space="preserve"> TITLE  \* Upper  \* MERGEFORMAT </w:instrText>
          </w:r>
          <w:r>
            <w:fldChar w:fldCharType="separate"/>
          </w:r>
          <w:r w:rsidR="00B65C44">
            <w:rPr>
              <w:caps w:val="0"/>
            </w:rPr>
            <w:t>ATO MAT.0001 2015 PACKAGE V0.2 CONTENTS</w:t>
          </w:r>
          <w:r>
            <w:rPr>
              <w:caps w:val="0"/>
            </w:rPr>
            <w:fldChar w:fldCharType="end"/>
          </w:r>
        </w:p>
      </w:tc>
    </w:tr>
  </w:tbl>
  <w:p w14:paraId="2D92E6BB" w14:textId="77777777" w:rsidR="00B65C44" w:rsidRPr="004E35EF" w:rsidRDefault="00B65C44"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B65C44" w:rsidRDefault="00B65C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678A9856" w:rsidR="00B65C44" w:rsidRPr="009A241C" w:rsidRDefault="00B65C44"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MAT.0001 2015 Package v</w:t>
    </w:r>
    <w:r w:rsidR="00A179ED">
      <w:rPr>
        <w:color w:val="335876"/>
        <w:sz w:val="16"/>
        <w:szCs w:val="16"/>
      </w:rPr>
      <w:t>1.0</w:t>
    </w:r>
    <w:r>
      <w:rPr>
        <w:color w:val="335876"/>
        <w:sz w:val="16"/>
        <w:szCs w:val="16"/>
      </w:rPr>
      <w:t xml:space="preserve"> ContENts</w:t>
    </w:r>
  </w:p>
  <w:p w14:paraId="6EFD1E52" w14:textId="77777777" w:rsidR="00B65C44" w:rsidRPr="00607411" w:rsidRDefault="00B65C44"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B65C44" w:rsidRDefault="00B65C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6C19DE87" w:rsidR="00B65C44" w:rsidRPr="009A241C" w:rsidRDefault="00B65C44"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w:t>
    </w:r>
    <w:r w:rsidR="003F74E6">
      <w:rPr>
        <w:color w:val="335876"/>
        <w:sz w:val="16"/>
        <w:szCs w:val="16"/>
      </w:rPr>
      <w:t xml:space="preserve">  ATO MAT.0001 2015 Package </w:t>
    </w:r>
    <w:r w:rsidR="00A179ED">
      <w:rPr>
        <w:color w:val="335876"/>
        <w:sz w:val="16"/>
        <w:szCs w:val="16"/>
      </w:rPr>
      <w:t>v1.0</w:t>
    </w:r>
    <w:r>
      <w:rPr>
        <w:color w:val="335876"/>
        <w:sz w:val="16"/>
        <w:szCs w:val="16"/>
      </w:rPr>
      <w:t xml:space="preserve"> ContENts </w:t>
    </w:r>
  </w:p>
  <w:p w14:paraId="56FCE472" w14:textId="77777777" w:rsidR="00B65C44" w:rsidRPr="00607411" w:rsidRDefault="00B65C44"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53A14B7B" w:rsidR="00B65C44" w:rsidRPr="009A241C" w:rsidRDefault="00B65C44"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w:t>
    </w:r>
    <w:r w:rsidR="00A179ED">
      <w:rPr>
        <w:color w:val="335876"/>
        <w:sz w:val="16"/>
        <w:szCs w:val="16"/>
      </w:rPr>
      <w:t xml:space="preserve">  ATO MAT.0001 2015 Package v1.0</w:t>
    </w:r>
    <w:r>
      <w:rPr>
        <w:color w:val="335876"/>
        <w:sz w:val="16"/>
        <w:szCs w:val="16"/>
      </w:rPr>
      <w:t xml:space="preserve"> ContENts</w:t>
    </w:r>
  </w:p>
  <w:p w14:paraId="659D7C7D" w14:textId="77777777" w:rsidR="00B65C44" w:rsidRPr="00607411" w:rsidRDefault="00B65C44"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8">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3">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9">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5">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6">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7"/>
  </w:num>
  <w:num w:numId="2">
    <w:abstractNumId w:val="63"/>
  </w:num>
  <w:num w:numId="3">
    <w:abstractNumId w:val="91"/>
  </w:num>
  <w:num w:numId="4">
    <w:abstractNumId w:val="45"/>
  </w:num>
  <w:num w:numId="5">
    <w:abstractNumId w:val="82"/>
  </w:num>
  <w:num w:numId="6">
    <w:abstractNumId w:val="36"/>
  </w:num>
  <w:num w:numId="7">
    <w:abstractNumId w:val="74"/>
  </w:num>
  <w:num w:numId="8">
    <w:abstractNumId w:val="59"/>
  </w:num>
  <w:num w:numId="9">
    <w:abstractNumId w:val="1"/>
  </w:num>
  <w:num w:numId="10">
    <w:abstractNumId w:val="49"/>
  </w:num>
  <w:num w:numId="11">
    <w:abstractNumId w:val="84"/>
  </w:num>
  <w:num w:numId="12">
    <w:abstractNumId w:val="34"/>
  </w:num>
  <w:num w:numId="13">
    <w:abstractNumId w:val="52"/>
  </w:num>
  <w:num w:numId="14">
    <w:abstractNumId w:val="0"/>
  </w:num>
  <w:num w:numId="15">
    <w:abstractNumId w:val="67"/>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num>
  <w:num w:numId="19">
    <w:abstractNumId w:val="72"/>
  </w:num>
  <w:num w:numId="20">
    <w:abstractNumId w:val="85"/>
  </w:num>
  <w:num w:numId="21">
    <w:abstractNumId w:val="3"/>
  </w:num>
  <w:num w:numId="22">
    <w:abstractNumId w:val="56"/>
  </w:num>
  <w:num w:numId="23">
    <w:abstractNumId w:val="21"/>
  </w:num>
  <w:num w:numId="24">
    <w:abstractNumId w:val="71"/>
  </w:num>
  <w:num w:numId="25">
    <w:abstractNumId w:val="51"/>
  </w:num>
  <w:num w:numId="26">
    <w:abstractNumId w:val="73"/>
  </w:num>
  <w:num w:numId="27">
    <w:abstractNumId w:val="10"/>
  </w:num>
  <w:num w:numId="28">
    <w:abstractNumId w:val="7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0220"/>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12E0"/>
    <w:rsid w:val="00112A1A"/>
    <w:rsid w:val="00113270"/>
    <w:rsid w:val="001137DE"/>
    <w:rsid w:val="0011440D"/>
    <w:rsid w:val="00114834"/>
    <w:rsid w:val="0011542B"/>
    <w:rsid w:val="00115CD2"/>
    <w:rsid w:val="00116A9D"/>
    <w:rsid w:val="00116E43"/>
    <w:rsid w:val="00117317"/>
    <w:rsid w:val="00117D20"/>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B0"/>
    <w:rsid w:val="00137CDF"/>
    <w:rsid w:val="001416AA"/>
    <w:rsid w:val="00143518"/>
    <w:rsid w:val="00144B8E"/>
    <w:rsid w:val="00145121"/>
    <w:rsid w:val="001461C8"/>
    <w:rsid w:val="00146341"/>
    <w:rsid w:val="001469A6"/>
    <w:rsid w:val="001477A0"/>
    <w:rsid w:val="00150122"/>
    <w:rsid w:val="00150148"/>
    <w:rsid w:val="00153C5E"/>
    <w:rsid w:val="0015487A"/>
    <w:rsid w:val="00155889"/>
    <w:rsid w:val="0015679C"/>
    <w:rsid w:val="0015783B"/>
    <w:rsid w:val="00157EB7"/>
    <w:rsid w:val="00162B8E"/>
    <w:rsid w:val="001637C7"/>
    <w:rsid w:val="00163DBF"/>
    <w:rsid w:val="00164B86"/>
    <w:rsid w:val="001650D0"/>
    <w:rsid w:val="001657FC"/>
    <w:rsid w:val="00165835"/>
    <w:rsid w:val="00165B17"/>
    <w:rsid w:val="001661F8"/>
    <w:rsid w:val="00166A83"/>
    <w:rsid w:val="00166BC6"/>
    <w:rsid w:val="00170D1D"/>
    <w:rsid w:val="00171335"/>
    <w:rsid w:val="00172FFC"/>
    <w:rsid w:val="00174661"/>
    <w:rsid w:val="00174AEA"/>
    <w:rsid w:val="001768D0"/>
    <w:rsid w:val="00176952"/>
    <w:rsid w:val="0018052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0E17"/>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C03"/>
    <w:rsid w:val="00290C23"/>
    <w:rsid w:val="00292AC0"/>
    <w:rsid w:val="0029403C"/>
    <w:rsid w:val="00294AAE"/>
    <w:rsid w:val="00295101"/>
    <w:rsid w:val="00295BF1"/>
    <w:rsid w:val="00296E96"/>
    <w:rsid w:val="00297FDD"/>
    <w:rsid w:val="002A00AF"/>
    <w:rsid w:val="002A0382"/>
    <w:rsid w:val="002A1CA1"/>
    <w:rsid w:val="002A1E30"/>
    <w:rsid w:val="002A2B8E"/>
    <w:rsid w:val="002A5F3D"/>
    <w:rsid w:val="002B01D3"/>
    <w:rsid w:val="002B124D"/>
    <w:rsid w:val="002B18BE"/>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4C75"/>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2352"/>
    <w:rsid w:val="00373B6A"/>
    <w:rsid w:val="00374587"/>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8BE"/>
    <w:rsid w:val="003E34C8"/>
    <w:rsid w:val="003E3610"/>
    <w:rsid w:val="003E3E2D"/>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4E6"/>
    <w:rsid w:val="00400855"/>
    <w:rsid w:val="0040101B"/>
    <w:rsid w:val="004015DB"/>
    <w:rsid w:val="004026D4"/>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0C75"/>
    <w:rsid w:val="0045112A"/>
    <w:rsid w:val="004514D9"/>
    <w:rsid w:val="00451C2C"/>
    <w:rsid w:val="00451C40"/>
    <w:rsid w:val="004525C8"/>
    <w:rsid w:val="00455FCF"/>
    <w:rsid w:val="00456A61"/>
    <w:rsid w:val="00456DF8"/>
    <w:rsid w:val="0045766A"/>
    <w:rsid w:val="00457C5E"/>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A2"/>
    <w:rsid w:val="0048122F"/>
    <w:rsid w:val="004812C4"/>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3408"/>
    <w:rsid w:val="004B6049"/>
    <w:rsid w:val="004B695D"/>
    <w:rsid w:val="004B6F52"/>
    <w:rsid w:val="004B718F"/>
    <w:rsid w:val="004C29AA"/>
    <w:rsid w:val="004C2A83"/>
    <w:rsid w:val="004C583A"/>
    <w:rsid w:val="004C65D6"/>
    <w:rsid w:val="004C725B"/>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68F0"/>
    <w:rsid w:val="004E7359"/>
    <w:rsid w:val="004E7844"/>
    <w:rsid w:val="004F024C"/>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72C2"/>
    <w:rsid w:val="00537834"/>
    <w:rsid w:val="0054056D"/>
    <w:rsid w:val="005411F6"/>
    <w:rsid w:val="00542039"/>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80C1A"/>
    <w:rsid w:val="00581427"/>
    <w:rsid w:val="0058193F"/>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6D67"/>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BBB"/>
    <w:rsid w:val="005F51C6"/>
    <w:rsid w:val="005F533D"/>
    <w:rsid w:val="005F5547"/>
    <w:rsid w:val="005F7938"/>
    <w:rsid w:val="0060046C"/>
    <w:rsid w:val="006013ED"/>
    <w:rsid w:val="00601EFC"/>
    <w:rsid w:val="00603326"/>
    <w:rsid w:val="006036D6"/>
    <w:rsid w:val="00604BF8"/>
    <w:rsid w:val="00604EF0"/>
    <w:rsid w:val="0060502B"/>
    <w:rsid w:val="00607280"/>
    <w:rsid w:val="0060789F"/>
    <w:rsid w:val="0061051D"/>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1CAA"/>
    <w:rsid w:val="006A2866"/>
    <w:rsid w:val="006A2A89"/>
    <w:rsid w:val="006A3234"/>
    <w:rsid w:val="006A3721"/>
    <w:rsid w:val="006A3DD7"/>
    <w:rsid w:val="006A3E94"/>
    <w:rsid w:val="006A4622"/>
    <w:rsid w:val="006A48F0"/>
    <w:rsid w:val="006A4DA7"/>
    <w:rsid w:val="006A5030"/>
    <w:rsid w:val="006A6094"/>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3D06"/>
    <w:rsid w:val="006F5145"/>
    <w:rsid w:val="006F6BE8"/>
    <w:rsid w:val="006F6F33"/>
    <w:rsid w:val="006F70AB"/>
    <w:rsid w:val="007012DB"/>
    <w:rsid w:val="00701E97"/>
    <w:rsid w:val="0070259F"/>
    <w:rsid w:val="0070354B"/>
    <w:rsid w:val="00703965"/>
    <w:rsid w:val="00704060"/>
    <w:rsid w:val="00704610"/>
    <w:rsid w:val="00704842"/>
    <w:rsid w:val="00706A83"/>
    <w:rsid w:val="00707830"/>
    <w:rsid w:val="00707927"/>
    <w:rsid w:val="00710A98"/>
    <w:rsid w:val="0071377E"/>
    <w:rsid w:val="00714C12"/>
    <w:rsid w:val="00714DC2"/>
    <w:rsid w:val="0071608F"/>
    <w:rsid w:val="00717003"/>
    <w:rsid w:val="00717008"/>
    <w:rsid w:val="00720295"/>
    <w:rsid w:val="00722BAB"/>
    <w:rsid w:val="007232AB"/>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1BDB"/>
    <w:rsid w:val="00763A56"/>
    <w:rsid w:val="0076404A"/>
    <w:rsid w:val="007648D3"/>
    <w:rsid w:val="007651B0"/>
    <w:rsid w:val="00765A66"/>
    <w:rsid w:val="00766667"/>
    <w:rsid w:val="0076695D"/>
    <w:rsid w:val="00766DE1"/>
    <w:rsid w:val="00767988"/>
    <w:rsid w:val="00770319"/>
    <w:rsid w:val="00770E62"/>
    <w:rsid w:val="00774F0E"/>
    <w:rsid w:val="00776050"/>
    <w:rsid w:val="00776A3C"/>
    <w:rsid w:val="00776BDC"/>
    <w:rsid w:val="0078061F"/>
    <w:rsid w:val="007813CA"/>
    <w:rsid w:val="0078152C"/>
    <w:rsid w:val="00781DAA"/>
    <w:rsid w:val="007832B6"/>
    <w:rsid w:val="0078332A"/>
    <w:rsid w:val="007839A3"/>
    <w:rsid w:val="00787C24"/>
    <w:rsid w:val="00787F0D"/>
    <w:rsid w:val="00790AB8"/>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09A7"/>
    <w:rsid w:val="008415BD"/>
    <w:rsid w:val="008416E5"/>
    <w:rsid w:val="008421EE"/>
    <w:rsid w:val="00844032"/>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E6E7D"/>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719"/>
    <w:rsid w:val="00923E29"/>
    <w:rsid w:val="009245A2"/>
    <w:rsid w:val="00925DA0"/>
    <w:rsid w:val="00927438"/>
    <w:rsid w:val="0093135D"/>
    <w:rsid w:val="00931F84"/>
    <w:rsid w:val="00935CA1"/>
    <w:rsid w:val="00935DCA"/>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48C"/>
    <w:rsid w:val="009A01C6"/>
    <w:rsid w:val="009A14B3"/>
    <w:rsid w:val="009A1BF6"/>
    <w:rsid w:val="009A5BBE"/>
    <w:rsid w:val="009A7D20"/>
    <w:rsid w:val="009B03B8"/>
    <w:rsid w:val="009B05E2"/>
    <w:rsid w:val="009B06E0"/>
    <w:rsid w:val="009B1C76"/>
    <w:rsid w:val="009B2171"/>
    <w:rsid w:val="009B3777"/>
    <w:rsid w:val="009B4CBB"/>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5EA"/>
    <w:rsid w:val="009E67EF"/>
    <w:rsid w:val="009E6A7C"/>
    <w:rsid w:val="009E77CF"/>
    <w:rsid w:val="009E79B8"/>
    <w:rsid w:val="009E7E0C"/>
    <w:rsid w:val="009F108F"/>
    <w:rsid w:val="009F17E2"/>
    <w:rsid w:val="009F22F4"/>
    <w:rsid w:val="009F291C"/>
    <w:rsid w:val="009F437F"/>
    <w:rsid w:val="009F636F"/>
    <w:rsid w:val="009F6943"/>
    <w:rsid w:val="009F7408"/>
    <w:rsid w:val="009F7F09"/>
    <w:rsid w:val="00A00D04"/>
    <w:rsid w:val="00A0243D"/>
    <w:rsid w:val="00A02524"/>
    <w:rsid w:val="00A02948"/>
    <w:rsid w:val="00A036FA"/>
    <w:rsid w:val="00A0636E"/>
    <w:rsid w:val="00A0716F"/>
    <w:rsid w:val="00A071E7"/>
    <w:rsid w:val="00A0729A"/>
    <w:rsid w:val="00A104FE"/>
    <w:rsid w:val="00A1186A"/>
    <w:rsid w:val="00A11BBC"/>
    <w:rsid w:val="00A11E14"/>
    <w:rsid w:val="00A12694"/>
    <w:rsid w:val="00A12ED0"/>
    <w:rsid w:val="00A15118"/>
    <w:rsid w:val="00A162F8"/>
    <w:rsid w:val="00A179ED"/>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928"/>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880"/>
    <w:rsid w:val="00A779FA"/>
    <w:rsid w:val="00A77FF1"/>
    <w:rsid w:val="00A80539"/>
    <w:rsid w:val="00A808C6"/>
    <w:rsid w:val="00A80F0C"/>
    <w:rsid w:val="00A81693"/>
    <w:rsid w:val="00A81A20"/>
    <w:rsid w:val="00A81A30"/>
    <w:rsid w:val="00A81C53"/>
    <w:rsid w:val="00A8209F"/>
    <w:rsid w:val="00A82751"/>
    <w:rsid w:val="00A82B4E"/>
    <w:rsid w:val="00A84113"/>
    <w:rsid w:val="00A843DB"/>
    <w:rsid w:val="00A84BF5"/>
    <w:rsid w:val="00A85E0C"/>
    <w:rsid w:val="00A86D8E"/>
    <w:rsid w:val="00A87CC5"/>
    <w:rsid w:val="00A914DE"/>
    <w:rsid w:val="00A9154C"/>
    <w:rsid w:val="00A91FDC"/>
    <w:rsid w:val="00A92AEE"/>
    <w:rsid w:val="00A92F39"/>
    <w:rsid w:val="00A9322B"/>
    <w:rsid w:val="00A93955"/>
    <w:rsid w:val="00A94D35"/>
    <w:rsid w:val="00A952A8"/>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3E"/>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B1D"/>
    <w:rsid w:val="00AE5CFB"/>
    <w:rsid w:val="00AE6F2F"/>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2A"/>
    <w:rsid w:val="00B1646A"/>
    <w:rsid w:val="00B16CDC"/>
    <w:rsid w:val="00B21572"/>
    <w:rsid w:val="00B21DE9"/>
    <w:rsid w:val="00B22DCC"/>
    <w:rsid w:val="00B2305B"/>
    <w:rsid w:val="00B23FB4"/>
    <w:rsid w:val="00B24B29"/>
    <w:rsid w:val="00B261B6"/>
    <w:rsid w:val="00B26203"/>
    <w:rsid w:val="00B26516"/>
    <w:rsid w:val="00B26F46"/>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5544"/>
    <w:rsid w:val="00B6568D"/>
    <w:rsid w:val="00B65C44"/>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1E93"/>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20CD"/>
    <w:rsid w:val="00BA34FB"/>
    <w:rsid w:val="00BA3C03"/>
    <w:rsid w:val="00BA43CC"/>
    <w:rsid w:val="00BA495E"/>
    <w:rsid w:val="00BA5514"/>
    <w:rsid w:val="00BB1D98"/>
    <w:rsid w:val="00BB232F"/>
    <w:rsid w:val="00BB38C3"/>
    <w:rsid w:val="00BB3D15"/>
    <w:rsid w:val="00BB3D7D"/>
    <w:rsid w:val="00BB428F"/>
    <w:rsid w:val="00BB57E5"/>
    <w:rsid w:val="00BB5954"/>
    <w:rsid w:val="00BB6217"/>
    <w:rsid w:val="00BB64BE"/>
    <w:rsid w:val="00BB6A2F"/>
    <w:rsid w:val="00BC043C"/>
    <w:rsid w:val="00BC0D9C"/>
    <w:rsid w:val="00BC2757"/>
    <w:rsid w:val="00BC4FB8"/>
    <w:rsid w:val="00BC577B"/>
    <w:rsid w:val="00BC7248"/>
    <w:rsid w:val="00BC724C"/>
    <w:rsid w:val="00BD045B"/>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B57"/>
    <w:rsid w:val="00C53F82"/>
    <w:rsid w:val="00C55C1D"/>
    <w:rsid w:val="00C55DB7"/>
    <w:rsid w:val="00C6379E"/>
    <w:rsid w:val="00C63C96"/>
    <w:rsid w:val="00C643FD"/>
    <w:rsid w:val="00C654D6"/>
    <w:rsid w:val="00C658B5"/>
    <w:rsid w:val="00C65B24"/>
    <w:rsid w:val="00C660B4"/>
    <w:rsid w:val="00C66F73"/>
    <w:rsid w:val="00C70666"/>
    <w:rsid w:val="00C70BE6"/>
    <w:rsid w:val="00C71BC6"/>
    <w:rsid w:val="00C72132"/>
    <w:rsid w:val="00C732EB"/>
    <w:rsid w:val="00C75750"/>
    <w:rsid w:val="00C759ED"/>
    <w:rsid w:val="00C761C9"/>
    <w:rsid w:val="00C7630D"/>
    <w:rsid w:val="00C76A49"/>
    <w:rsid w:val="00C7792C"/>
    <w:rsid w:val="00C77B5E"/>
    <w:rsid w:val="00C80581"/>
    <w:rsid w:val="00C8126C"/>
    <w:rsid w:val="00C8342B"/>
    <w:rsid w:val="00C84C21"/>
    <w:rsid w:val="00C85851"/>
    <w:rsid w:val="00C85B2D"/>
    <w:rsid w:val="00C86EF0"/>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ED9"/>
    <w:rsid w:val="00CE1FA2"/>
    <w:rsid w:val="00CE2D8B"/>
    <w:rsid w:val="00CE46CD"/>
    <w:rsid w:val="00CE4931"/>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7FD"/>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529A5"/>
    <w:rsid w:val="00D53E79"/>
    <w:rsid w:val="00D54399"/>
    <w:rsid w:val="00D55904"/>
    <w:rsid w:val="00D57B5B"/>
    <w:rsid w:val="00D60CCE"/>
    <w:rsid w:val="00D60D62"/>
    <w:rsid w:val="00D617C0"/>
    <w:rsid w:val="00D619F7"/>
    <w:rsid w:val="00D637EB"/>
    <w:rsid w:val="00D637ED"/>
    <w:rsid w:val="00D70522"/>
    <w:rsid w:val="00D7130A"/>
    <w:rsid w:val="00D7188D"/>
    <w:rsid w:val="00D723BB"/>
    <w:rsid w:val="00D72DBB"/>
    <w:rsid w:val="00D746D8"/>
    <w:rsid w:val="00D74C6A"/>
    <w:rsid w:val="00D75A3F"/>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438"/>
    <w:rsid w:val="00DA652A"/>
    <w:rsid w:val="00DA687F"/>
    <w:rsid w:val="00DA6FEB"/>
    <w:rsid w:val="00DA7304"/>
    <w:rsid w:val="00DA7B16"/>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95D"/>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107"/>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uiPriority w:val="99"/>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LightList-Accent1">
    <w:name w:val="Light List Accent 1"/>
    <w:basedOn w:val="TableNormal"/>
    <w:uiPriority w:val="61"/>
    <w:rsid w:val="00D637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D637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D637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locked/>
    <w:rsid w:val="004026D4"/>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7383012">
      <w:bodyDiv w:val="1"/>
      <w:marLeft w:val="30"/>
      <w:marRight w:val="30"/>
      <w:marTop w:val="0"/>
      <w:marBottom w:val="0"/>
      <w:divBdr>
        <w:top w:val="none" w:sz="0" w:space="0" w:color="auto"/>
        <w:left w:val="none" w:sz="0" w:space="0" w:color="auto"/>
        <w:bottom w:val="none" w:sz="0" w:space="0" w:color="auto"/>
        <w:right w:val="none" w:sz="0" w:space="0" w:color="auto"/>
      </w:divBdr>
      <w:divsChild>
        <w:div w:id="1447385385">
          <w:marLeft w:val="0"/>
          <w:marRight w:val="0"/>
          <w:marTop w:val="0"/>
          <w:marBottom w:val="0"/>
          <w:divBdr>
            <w:top w:val="none" w:sz="0" w:space="0" w:color="auto"/>
            <w:left w:val="none" w:sz="0" w:space="0" w:color="auto"/>
            <w:bottom w:val="none" w:sz="0" w:space="0" w:color="auto"/>
            <w:right w:val="none" w:sz="0" w:space="0" w:color="auto"/>
          </w:divBdr>
          <w:divsChild>
            <w:div w:id="771700932">
              <w:marLeft w:val="0"/>
              <w:marRight w:val="0"/>
              <w:marTop w:val="0"/>
              <w:marBottom w:val="0"/>
              <w:divBdr>
                <w:top w:val="none" w:sz="0" w:space="0" w:color="auto"/>
                <w:left w:val="none" w:sz="0" w:space="0" w:color="auto"/>
                <w:bottom w:val="none" w:sz="0" w:space="0" w:color="auto"/>
                <w:right w:val="none" w:sz="0" w:space="0" w:color="auto"/>
              </w:divBdr>
              <w:divsChild>
                <w:div w:id="1498958487">
                  <w:marLeft w:val="180"/>
                  <w:marRight w:val="0"/>
                  <w:marTop w:val="0"/>
                  <w:marBottom w:val="0"/>
                  <w:divBdr>
                    <w:top w:val="none" w:sz="0" w:space="0" w:color="auto"/>
                    <w:left w:val="none" w:sz="0" w:space="0" w:color="auto"/>
                    <w:bottom w:val="none" w:sz="0" w:space="0" w:color="auto"/>
                    <w:right w:val="none" w:sz="0" w:space="0" w:color="auto"/>
                  </w:divBdr>
                  <w:divsChild>
                    <w:div w:id="6047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Document_x0020_Status xmlns="fc59432e-ae4a-4421-baa1-eafb91367645">Published Final</Document_x0020_Status>
    <Publication_x0020_Date xmlns="fc59432e-ae4a-4421-baa1-eafb91367645">2015-07-15T14:00:00+00:00</Publication_x0020_Date>
    <Publication_x0020_Site xmlns="fc59432e-ae4a-4421-baa1-eafb91367645">http://www.sbr.gov.au/software-developers/developer-tools/ato/tax-practitioner-practice-management-tppm2</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Practice Management</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66b7d382d8381a8feabe7ad696f9b17b">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3e47542b587102f1538c12f9b3944c65"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2F41F-53BC-4091-84F2-60E82B54F033}"/>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7BA4992B-35BC-4B22-80B7-614D917166EB}"/>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14</TotalTime>
  <Pages>7</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ATO MAT.0001 2015 Package v0.4 Contents</vt:lpstr>
    </vt:vector>
  </TitlesOfParts>
  <Company>Standard Business Reporting</Company>
  <LinksUpToDate>false</LinksUpToDate>
  <CharactersWithSpaces>7641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MAT.0001 2015 Package v1.0 Contents</dc:title>
  <dc:subject>Release Notes</dc:subject>
  <dc:creator>Australian Taxation Office</dc:creator>
  <dc:description/>
  <cp:lastModifiedBy>uanme</cp:lastModifiedBy>
  <cp:revision>3</cp:revision>
  <cp:lastPrinted>2015-04-08T03:06:00Z</cp:lastPrinted>
  <dcterms:created xsi:type="dcterms:W3CDTF">2015-07-03T05:43:00Z</dcterms:created>
  <dcterms:modified xsi:type="dcterms:W3CDTF">2018-04-12T04:31:00Z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Practice Management</vt:lpwstr>
  </property>
</Properties>
</file>