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A104FE">
            <w:pPr>
              <w:spacing w:before="60" w:after="60"/>
              <w:jc w:val="center"/>
              <w:rPr>
                <w:rFonts w:cs="Arial"/>
                <w:noProof/>
              </w:rPr>
            </w:pPr>
            <w:bookmarkStart w:id="0" w:name="_Toc228954255"/>
            <w:r w:rsidRPr="009B06E0">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251658752;visibility:visible;mso-position-horizontal:center;mso-position-horizontal-relative:page;mso-position-vertical:top;mso-position-vertical-relative:page">
                  <v:imagedata r:id="rId10" o:title="black_header_in_1cm"/>
                  <w10:wrap anchorx="page" anchory="page"/>
                  <w10:anchorlock/>
                </v:shape>
              </w:pic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D1601E" w:rsidRPr="007C0828" w:rsidRDefault="00D1601E" w:rsidP="00D1601E">
            <w:pPr>
              <w:pStyle w:val="ReportTitle"/>
              <w:spacing w:before="60" w:after="0" w:line="240" w:lineRule="auto"/>
              <w:ind w:left="442"/>
              <w:rPr>
                <w:sz w:val="50"/>
              </w:rPr>
            </w:pPr>
            <w:r w:rsidRPr="007C0828">
              <w:rPr>
                <w:sz w:val="50"/>
              </w:rPr>
              <w:t xml:space="preserve">Australian Taxation Office – </w:t>
            </w:r>
          </w:p>
          <w:p w:rsidR="00D1601E" w:rsidRPr="007C0828" w:rsidRDefault="00D1601E" w:rsidP="00D1601E">
            <w:pPr>
              <w:pStyle w:val="ReportTitle"/>
              <w:spacing w:before="60"/>
              <w:ind w:left="440"/>
              <w:rPr>
                <w:rFonts w:cs="Arial"/>
                <w:sz w:val="50"/>
                <w:szCs w:val="50"/>
              </w:rPr>
            </w:pPr>
            <w:r w:rsidRPr="007C0828">
              <w:rPr>
                <w:sz w:val="50"/>
              </w:rPr>
              <w:t>Capital Gains Tax Schedule 2012 (cgts.0002)</w:t>
            </w:r>
          </w:p>
          <w:p w:rsidR="00D1601E" w:rsidRPr="007C0828" w:rsidRDefault="003C5625" w:rsidP="00D1601E">
            <w:pPr>
              <w:pStyle w:val="ReportTitle"/>
              <w:spacing w:before="60"/>
              <w:ind w:left="440"/>
              <w:rPr>
                <w:rFonts w:cs="Arial"/>
                <w:sz w:val="50"/>
                <w:szCs w:val="50"/>
              </w:rPr>
            </w:pPr>
            <w:r>
              <w:rPr>
                <w:rFonts w:cs="Arial"/>
                <w:sz w:val="50"/>
                <w:szCs w:val="50"/>
              </w:rPr>
              <w:t>Release Notes</w:t>
            </w:r>
            <w:bookmarkStart w:id="1" w:name="_GoBack"/>
            <w:bookmarkEnd w:id="1"/>
          </w:p>
          <w:p w:rsidR="00D1601E" w:rsidRPr="007C0828" w:rsidRDefault="00D1601E" w:rsidP="00D1601E">
            <w:pPr>
              <w:pStyle w:val="-subtitle"/>
              <w:tabs>
                <w:tab w:val="left" w:pos="2696"/>
              </w:tabs>
              <w:spacing w:before="240"/>
              <w:ind w:left="425"/>
              <w:rPr>
                <w:rFonts w:ascii="Arial" w:hAnsi="Arial" w:cs="Arial"/>
                <w:sz w:val="28"/>
                <w:szCs w:val="28"/>
              </w:rPr>
            </w:pPr>
            <w:r>
              <w:rPr>
                <w:rFonts w:ascii="Arial" w:hAnsi="Arial" w:cs="Arial"/>
                <w:sz w:val="28"/>
                <w:szCs w:val="28"/>
              </w:rPr>
              <w:t xml:space="preserve">Program name: </w:t>
            </w:r>
            <w:r w:rsidRPr="007C0828">
              <w:rPr>
                <w:rFonts w:ascii="Arial" w:hAnsi="Arial" w:cs="Arial"/>
                <w:sz w:val="28"/>
                <w:szCs w:val="28"/>
              </w:rPr>
              <w:t>Standard Business Reporting</w:t>
            </w:r>
          </w:p>
          <w:p w:rsidR="00D1601E" w:rsidRPr="007C0828" w:rsidRDefault="00D1601E" w:rsidP="00D1601E">
            <w:pPr>
              <w:pStyle w:val="-subtitle"/>
              <w:spacing w:before="240"/>
              <w:ind w:left="425"/>
              <w:rPr>
                <w:rFonts w:ascii="Arial" w:hAnsi="Arial" w:cs="Arial"/>
                <w:sz w:val="28"/>
                <w:szCs w:val="28"/>
              </w:rPr>
            </w:pPr>
            <w:r w:rsidRPr="007C0828">
              <w:rPr>
                <w:rFonts w:ascii="Arial" w:hAnsi="Arial" w:cs="Arial"/>
                <w:sz w:val="28"/>
                <w:szCs w:val="28"/>
              </w:rPr>
              <w:t>Date: 19 April 2012</w:t>
            </w:r>
          </w:p>
          <w:p w:rsidR="00171792" w:rsidRPr="00542C3D" w:rsidRDefault="00171792" w:rsidP="00171792">
            <w:pPr>
              <w:pStyle w:val="-subtitle"/>
              <w:spacing w:before="240"/>
              <w:ind w:left="425"/>
              <w:rPr>
                <w:rFonts w:ascii="Arial" w:hAnsi="Arial" w:cs="Arial"/>
                <w:sz w:val="28"/>
                <w:szCs w:val="28"/>
              </w:rPr>
            </w:pPr>
            <w:r>
              <w:rPr>
                <w:rFonts w:ascii="Arial" w:hAnsi="Arial" w:cs="Arial"/>
                <w:sz w:val="28"/>
                <w:szCs w:val="28"/>
              </w:rPr>
              <w:t>Production Release – suitable for use</w:t>
            </w:r>
          </w:p>
          <w:p w:rsidR="00BA43CC" w:rsidRPr="009B06E0" w:rsidRDefault="00BA43CC" w:rsidP="000E5315">
            <w:pPr>
              <w:pStyle w:val="-subtitle"/>
              <w:spacing w:before="240"/>
              <w:ind w:left="425"/>
              <w:rPr>
                <w:rFonts w:ascii="Arial" w:hAnsi="Arial" w:cs="Arial"/>
                <w:sz w:val="28"/>
                <w:szCs w:val="28"/>
              </w:rPr>
            </w:pPr>
          </w:p>
          <w:p w:rsidR="00BA43CC" w:rsidRPr="009B06E0" w:rsidRDefault="00BA43CC" w:rsidP="000E5315">
            <w:pPr>
              <w:pStyle w:val="ReportDescription"/>
              <w:spacing w:before="60" w:after="60"/>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8pt;height:13.8pt" o:bullet="t" o:allowoverlap="f">
                  <v:imagedata r:id="rId11"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8pt;height:13.8pt">
                  <v:imagedata r:id="rId12"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852B6A"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3" w:history="1">
              <w:r w:rsidR="00DF63EA" w:rsidRPr="00836D79">
                <w:rPr>
                  <w:rStyle w:val="Hyperlink"/>
                  <w:noProof w:val="0"/>
                  <w:sz w:val="18"/>
                  <w:szCs w:val="18"/>
                </w:rPr>
                <w:t>SBRServiceDesk@sbr.gov.au</w:t>
              </w:r>
            </w:hyperlink>
            <w:r w:rsidRPr="009B06E0">
              <w:rPr>
                <w:sz w:val="18"/>
                <w:szCs w:val="18"/>
              </w:rPr>
              <w:t xml:space="preserve"> or call 1300 488 231. International callers may use +61-2-6216 5577</w:t>
            </w:r>
          </w:p>
        </w:tc>
      </w:tr>
    </w:tbl>
    <w:p w:rsidR="00BA43CC" w:rsidRPr="009B06E0" w:rsidRDefault="00BA43CC" w:rsidP="00BA43CC">
      <w:pPr>
        <w:pStyle w:val="HEADAA"/>
        <w:sectPr w:rsidR="00BA43CC" w:rsidRPr="009B06E0" w:rsidSect="007F4E93">
          <w:headerReference w:type="default" r:id="rId14"/>
          <w:footerReference w:type="default" r:id="rId15"/>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2"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tr w:rsidR="008C770E" w:rsidRPr="009B06E0" w:rsidTr="0004097D">
        <w:tc>
          <w:tcPr>
            <w:tcW w:w="1700" w:type="dxa"/>
          </w:tcPr>
          <w:p w:rsidR="008C770E" w:rsidRPr="009B06E0" w:rsidRDefault="008C770E" w:rsidP="0004097D">
            <w:pPr>
              <w:pStyle w:val="Version2"/>
              <w:spacing w:before="120" w:after="120"/>
            </w:pPr>
            <w:r w:rsidRPr="009B06E0">
              <w:t>1.0</w:t>
            </w:r>
          </w:p>
        </w:tc>
        <w:tc>
          <w:tcPr>
            <w:tcW w:w="1843" w:type="dxa"/>
          </w:tcPr>
          <w:p w:rsidR="008C770E" w:rsidRPr="009B06E0" w:rsidRDefault="00D1601E" w:rsidP="0004097D">
            <w:pPr>
              <w:pStyle w:val="Version2"/>
              <w:spacing w:before="120" w:after="120"/>
            </w:pPr>
            <w:r>
              <w:t>19/04/2012</w:t>
            </w:r>
          </w:p>
        </w:tc>
        <w:tc>
          <w:tcPr>
            <w:tcW w:w="5836" w:type="dxa"/>
          </w:tcPr>
          <w:p w:rsidR="008C770E" w:rsidRPr="009B06E0" w:rsidRDefault="00665C28" w:rsidP="0004097D">
            <w:pPr>
              <w:pStyle w:val="Version2"/>
              <w:spacing w:before="120" w:after="120"/>
            </w:pPr>
            <w:r w:rsidRPr="009B06E0">
              <w:t>Initial release</w:t>
            </w:r>
          </w:p>
        </w:tc>
      </w:tr>
      <w:bookmarkEnd w:id="2"/>
    </w:tbl>
    <w:p w:rsidR="005C034C" w:rsidRPr="00E352E0" w:rsidRDefault="005C034C" w:rsidP="00E352E0">
      <w:pPr>
        <w:rPr>
          <w:rFonts w:cs="Arial"/>
          <w:sz w:val="20"/>
          <w:szCs w:val="20"/>
        </w:rPr>
      </w:pPr>
    </w:p>
    <w:p w:rsidR="00E352E0" w:rsidRDefault="00E352E0" w:rsidP="00E352E0">
      <w:pPr>
        <w:rPr>
          <w:rFonts w:cs="Arial"/>
          <w:sz w:val="20"/>
          <w:szCs w:val="20"/>
        </w:rPr>
      </w:pPr>
    </w:p>
    <w:p w:rsidR="00994810" w:rsidRPr="00E352E0" w:rsidRDefault="00994810" w:rsidP="00E352E0">
      <w:pPr>
        <w:rPr>
          <w:rFonts w:cs="Arial"/>
          <w:sz w:val="20"/>
          <w:szCs w:val="20"/>
        </w:rPr>
      </w:pPr>
    </w:p>
    <w:tbl>
      <w:tblPr>
        <w:tblW w:w="9703" w:type="dxa"/>
        <w:tblInd w:w="-106" w:type="dxa"/>
        <w:tblLayout w:type="fixed"/>
        <w:tblLook w:val="0000" w:firstRow="0" w:lastRow="0" w:firstColumn="0" w:lastColumn="0" w:noHBand="0" w:noVBand="0"/>
      </w:tblPr>
      <w:tblGrid>
        <w:gridCol w:w="3049"/>
        <w:gridCol w:w="3547"/>
        <w:gridCol w:w="3107"/>
      </w:tblGrid>
      <w:tr w:rsidR="00994810" w:rsidRPr="009B06E0" w:rsidTr="001D21DC">
        <w:tc>
          <w:tcPr>
            <w:tcW w:w="3049" w:type="dxa"/>
          </w:tcPr>
          <w:p w:rsidR="00994810" w:rsidRPr="009B06E0" w:rsidRDefault="00994810" w:rsidP="005709D0">
            <w:pPr>
              <w:pStyle w:val="VersionHeadA"/>
              <w:ind w:right="-844"/>
            </w:pPr>
          </w:p>
          <w:p w:rsidR="00994810" w:rsidRPr="009B06E0" w:rsidRDefault="00994810" w:rsidP="005709D0">
            <w:pPr>
              <w:pStyle w:val="VersionHeadA"/>
              <w:ind w:right="-844"/>
            </w:pPr>
            <w:r w:rsidRPr="009B06E0">
              <w:t>ENDORSEMENT</w:t>
            </w:r>
          </w:p>
          <w:p w:rsidR="00994810" w:rsidRPr="009B06E0" w:rsidRDefault="00994810" w:rsidP="005709D0">
            <w:pPr>
              <w:pStyle w:val="VersionHead"/>
            </w:pPr>
            <w:r w:rsidRPr="009B06E0">
              <w:t>APPROVAL</w:t>
            </w:r>
          </w:p>
        </w:tc>
        <w:tc>
          <w:tcPr>
            <w:tcW w:w="3547" w:type="dxa"/>
          </w:tcPr>
          <w:p w:rsidR="00994810" w:rsidRPr="009B06E0" w:rsidRDefault="00994810" w:rsidP="005709D0">
            <w:pPr>
              <w:spacing w:before="240"/>
            </w:pPr>
          </w:p>
        </w:tc>
        <w:tc>
          <w:tcPr>
            <w:tcW w:w="3107" w:type="dxa"/>
          </w:tcPr>
          <w:p w:rsidR="00994810" w:rsidRPr="009B06E0" w:rsidRDefault="00994810" w:rsidP="005709D0">
            <w:pPr>
              <w:pStyle w:val="Version2"/>
            </w:pPr>
          </w:p>
        </w:tc>
      </w:tr>
      <w:tr w:rsidR="00994810" w:rsidRPr="009B06E0" w:rsidTr="001D21DC">
        <w:tc>
          <w:tcPr>
            <w:tcW w:w="3049" w:type="dxa"/>
          </w:tcPr>
          <w:p w:rsidR="00994810" w:rsidRPr="009B06E0" w:rsidRDefault="00994810" w:rsidP="005709D0">
            <w:pPr>
              <w:pStyle w:val="Version2"/>
            </w:pPr>
            <w:smartTag w:uri="urn:schemas-microsoft-com:office:smarttags" w:element="PersonName">
              <w:smartTag w:uri="urn:schemas:contacts" w:element="GivenName">
                <w:r w:rsidRPr="009B06E0">
                  <w:t>Helen</w:t>
                </w:r>
              </w:smartTag>
              <w:r w:rsidRPr="009B06E0">
                <w:t xml:space="preserve"> </w:t>
              </w:r>
              <w:smartTag w:uri="urn:schemas:contacts" w:element="Sn">
                <w:r w:rsidRPr="009B06E0">
                  <w:t>Austin</w:t>
                </w:r>
              </w:smartTag>
            </w:smartTag>
          </w:p>
        </w:tc>
        <w:tc>
          <w:tcPr>
            <w:tcW w:w="6654" w:type="dxa"/>
            <w:gridSpan w:val="2"/>
          </w:tcPr>
          <w:p w:rsidR="00994810" w:rsidRPr="009B06E0" w:rsidRDefault="00994810" w:rsidP="005709D0">
            <w:pPr>
              <w:pStyle w:val="Version2"/>
            </w:pPr>
            <w:r w:rsidRPr="009B06E0">
              <w:t>Chief Solutions Architect</w:t>
            </w:r>
          </w:p>
          <w:p w:rsidR="00994810" w:rsidRPr="009B06E0" w:rsidRDefault="00994810" w:rsidP="005709D0">
            <w:pPr>
              <w:pStyle w:val="Version2"/>
            </w:pPr>
            <w:r w:rsidRPr="009B06E0">
              <w:t>Solutions Integration</w:t>
            </w:r>
          </w:p>
          <w:p w:rsidR="00994810" w:rsidRPr="009B06E0" w:rsidRDefault="00994810" w:rsidP="005709D0">
            <w:pPr>
              <w:pStyle w:val="Version2"/>
            </w:pPr>
            <w:r w:rsidRPr="009B06E0">
              <w:t>Standard Business Reporting</w:t>
            </w:r>
          </w:p>
        </w:tc>
      </w:tr>
      <w:tr w:rsidR="007B6665" w:rsidRPr="009B06E0" w:rsidTr="001D21DC">
        <w:tc>
          <w:tcPr>
            <w:tcW w:w="3049" w:type="dxa"/>
          </w:tcPr>
          <w:p w:rsidR="007B6665" w:rsidRPr="009B06E0" w:rsidRDefault="007B6665"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654" w:type="dxa"/>
            <w:gridSpan w:val="2"/>
          </w:tcPr>
          <w:p w:rsidR="007B6665" w:rsidRPr="00B60D6F" w:rsidRDefault="007B6665" w:rsidP="007B6665">
            <w:pPr>
              <w:pStyle w:val="Version2"/>
            </w:pPr>
            <w:r w:rsidRPr="00B60D6F">
              <w:t>Project Manager</w:t>
            </w:r>
          </w:p>
          <w:p w:rsidR="007B6665" w:rsidRPr="00B60D6F" w:rsidRDefault="007B6665" w:rsidP="007B6665">
            <w:pPr>
              <w:pStyle w:val="Version2"/>
            </w:pPr>
            <w:r w:rsidRPr="00B60D6F">
              <w:t>Strategic Web Services</w:t>
            </w:r>
          </w:p>
          <w:p w:rsidR="007B6665" w:rsidRPr="009B06E0" w:rsidRDefault="007B6665" w:rsidP="007B6665">
            <w:pPr>
              <w:pStyle w:val="Version2"/>
            </w:pPr>
            <w:r w:rsidRPr="00B60D6F">
              <w:t>Australian Taxation Office</w:t>
            </w:r>
          </w:p>
        </w:tc>
      </w:tr>
    </w:tbl>
    <w:p w:rsidR="00BA43CC" w:rsidRPr="009B06E0" w:rsidRDefault="00BA43CC" w:rsidP="00A952A8">
      <w:pPr>
        <w:pStyle w:val="VersionHeadA"/>
      </w:pPr>
      <w:r w:rsidRPr="009B06E0">
        <w:t>Copyright</w:t>
      </w:r>
    </w:p>
    <w:p w:rsidR="00486E19" w:rsidRDefault="00486E19" w:rsidP="00486E19">
      <w:pPr>
        <w:rPr>
          <w:color w:val="1F497D"/>
        </w:rPr>
      </w:pPr>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2012 (see exceptions below).</w:t>
      </w:r>
      <w:r w:rsidRPr="00547C71">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rsidR="00D759C2" w:rsidRPr="009B06E0" w:rsidRDefault="00D759C2" w:rsidP="00B934BE">
      <w:pPr>
        <w:numPr>
          <w:ins w:id="3" w:author="Michael Camplin" w:date="2012-03-28T17:40:00Z"/>
        </w:numPr>
        <w:autoSpaceDE w:val="0"/>
        <w:autoSpaceDN w:val="0"/>
        <w:adjustRightInd w:val="0"/>
        <w:rPr>
          <w:rFonts w:ascii="Courier New" w:eastAsia="Batang" w:hAnsi="Courier New" w:cs="Courier New"/>
          <w:sz w:val="20"/>
          <w:szCs w:val="20"/>
          <w:lang w:eastAsia="ko-KR"/>
        </w:rPr>
      </w:pPr>
    </w:p>
    <w:p w:rsidR="00BA43CC" w:rsidRPr="009B06E0" w:rsidRDefault="00BA43CC" w:rsidP="00F03009">
      <w:pPr>
        <w:pStyle w:val="StyleMaintext"/>
        <w:rPr>
          <w:lang w:val="en-AU"/>
        </w:rPr>
        <w:sectPr w:rsidR="00BA43CC" w:rsidRPr="009B06E0" w:rsidSect="007F4E93">
          <w:headerReference w:type="even" r:id="rId17"/>
          <w:headerReference w:type="default" r:id="rId18"/>
          <w:footerReference w:type="default" r:id="rId19"/>
          <w:headerReference w:type="first" r:id="rId20"/>
          <w:pgSz w:w="11906" w:h="16838" w:code="9"/>
          <w:pgMar w:top="1418" w:right="127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E352E0"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322522302" w:history="1">
        <w:r w:rsidR="00E352E0" w:rsidRPr="00170F9D">
          <w:rPr>
            <w:rStyle w:val="Hyperlink"/>
          </w:rPr>
          <w:t>1</w:t>
        </w:r>
        <w:r w:rsidR="00E352E0">
          <w:rPr>
            <w:rFonts w:ascii="Times New Roman" w:hAnsi="Times New Roman" w:cs="Times New Roman"/>
            <w:noProof/>
            <w:sz w:val="24"/>
            <w:szCs w:val="24"/>
          </w:rPr>
          <w:tab/>
        </w:r>
        <w:r w:rsidR="00E352E0" w:rsidRPr="00170F9D">
          <w:rPr>
            <w:rStyle w:val="Hyperlink"/>
          </w:rPr>
          <w:t>Introduction</w:t>
        </w:r>
        <w:r w:rsidR="00E352E0">
          <w:rPr>
            <w:noProof/>
            <w:webHidden/>
          </w:rPr>
          <w:tab/>
        </w:r>
        <w:r w:rsidR="00E352E0">
          <w:rPr>
            <w:noProof/>
            <w:webHidden/>
          </w:rPr>
          <w:fldChar w:fldCharType="begin"/>
        </w:r>
        <w:r w:rsidR="00E352E0">
          <w:rPr>
            <w:noProof/>
            <w:webHidden/>
          </w:rPr>
          <w:instrText xml:space="preserve"> PAGEREF _Toc322522302 \h </w:instrText>
        </w:r>
        <w:r w:rsidR="00E352E0">
          <w:rPr>
            <w:noProof/>
          </w:rPr>
        </w:r>
        <w:r w:rsidR="00E352E0">
          <w:rPr>
            <w:noProof/>
            <w:webHidden/>
          </w:rPr>
          <w:fldChar w:fldCharType="separate"/>
        </w:r>
        <w:r w:rsidR="00E352E0">
          <w:rPr>
            <w:noProof/>
            <w:webHidden/>
          </w:rPr>
          <w:t>4</w:t>
        </w:r>
        <w:r w:rsidR="00E352E0">
          <w:rPr>
            <w:noProof/>
            <w:webHidden/>
          </w:rPr>
          <w:fldChar w:fldCharType="end"/>
        </w:r>
      </w:hyperlink>
    </w:p>
    <w:p w:rsidR="00E352E0" w:rsidRDefault="00E352E0">
      <w:pPr>
        <w:pStyle w:val="TOC2"/>
        <w:rPr>
          <w:rFonts w:ascii="Times New Roman" w:hAnsi="Times New Roman" w:cs="Times New Roman"/>
          <w:noProof/>
          <w:sz w:val="24"/>
          <w:szCs w:val="24"/>
        </w:rPr>
      </w:pPr>
      <w:hyperlink w:anchor="_Toc322522303" w:history="1">
        <w:r w:rsidRPr="00170F9D">
          <w:rPr>
            <w:rStyle w:val="Hyperlink"/>
          </w:rPr>
          <w:t>1.1</w:t>
        </w:r>
        <w:r>
          <w:rPr>
            <w:rFonts w:ascii="Times New Roman" w:hAnsi="Times New Roman" w:cs="Times New Roman"/>
            <w:noProof/>
            <w:sz w:val="24"/>
            <w:szCs w:val="24"/>
          </w:rPr>
          <w:tab/>
        </w:r>
        <w:r w:rsidRPr="00170F9D">
          <w:rPr>
            <w:rStyle w:val="Hyperlink"/>
          </w:rPr>
          <w:t>Purpose</w:t>
        </w:r>
        <w:r>
          <w:rPr>
            <w:noProof/>
            <w:webHidden/>
          </w:rPr>
          <w:tab/>
        </w:r>
        <w:r>
          <w:rPr>
            <w:noProof/>
            <w:webHidden/>
          </w:rPr>
          <w:fldChar w:fldCharType="begin"/>
        </w:r>
        <w:r>
          <w:rPr>
            <w:noProof/>
            <w:webHidden/>
          </w:rPr>
          <w:instrText xml:space="preserve"> PAGEREF _Toc322522303 \h </w:instrText>
        </w:r>
        <w:r>
          <w:rPr>
            <w:noProof/>
          </w:rPr>
        </w:r>
        <w:r>
          <w:rPr>
            <w:noProof/>
            <w:webHidden/>
          </w:rPr>
          <w:fldChar w:fldCharType="separate"/>
        </w:r>
        <w:r>
          <w:rPr>
            <w:noProof/>
            <w:webHidden/>
          </w:rPr>
          <w:t>4</w:t>
        </w:r>
        <w:r>
          <w:rPr>
            <w:noProof/>
            <w:webHidden/>
          </w:rPr>
          <w:fldChar w:fldCharType="end"/>
        </w:r>
      </w:hyperlink>
    </w:p>
    <w:p w:rsidR="00E352E0" w:rsidRDefault="00E352E0">
      <w:pPr>
        <w:pStyle w:val="TOC2"/>
        <w:rPr>
          <w:rFonts w:ascii="Times New Roman" w:hAnsi="Times New Roman" w:cs="Times New Roman"/>
          <w:noProof/>
          <w:sz w:val="24"/>
          <w:szCs w:val="24"/>
        </w:rPr>
      </w:pPr>
      <w:hyperlink w:anchor="_Toc322522304" w:history="1">
        <w:r w:rsidRPr="00170F9D">
          <w:rPr>
            <w:rStyle w:val="Hyperlink"/>
          </w:rPr>
          <w:t>1.2</w:t>
        </w:r>
        <w:r>
          <w:rPr>
            <w:rFonts w:ascii="Times New Roman" w:hAnsi="Times New Roman" w:cs="Times New Roman"/>
            <w:noProof/>
            <w:sz w:val="24"/>
            <w:szCs w:val="24"/>
          </w:rPr>
          <w:tab/>
        </w:r>
        <w:r w:rsidRPr="00170F9D">
          <w:rPr>
            <w:rStyle w:val="Hyperlink"/>
          </w:rPr>
          <w:t>Audience and Scope</w:t>
        </w:r>
        <w:r>
          <w:rPr>
            <w:noProof/>
            <w:webHidden/>
          </w:rPr>
          <w:tab/>
        </w:r>
        <w:r>
          <w:rPr>
            <w:noProof/>
            <w:webHidden/>
          </w:rPr>
          <w:fldChar w:fldCharType="begin"/>
        </w:r>
        <w:r>
          <w:rPr>
            <w:noProof/>
            <w:webHidden/>
          </w:rPr>
          <w:instrText xml:space="preserve"> PAGEREF _Toc322522304 \h </w:instrText>
        </w:r>
        <w:r>
          <w:rPr>
            <w:noProof/>
          </w:rPr>
        </w:r>
        <w:r>
          <w:rPr>
            <w:noProof/>
            <w:webHidden/>
          </w:rPr>
          <w:fldChar w:fldCharType="separate"/>
        </w:r>
        <w:r>
          <w:rPr>
            <w:noProof/>
            <w:webHidden/>
          </w:rPr>
          <w:t>4</w:t>
        </w:r>
        <w:r>
          <w:rPr>
            <w:noProof/>
            <w:webHidden/>
          </w:rPr>
          <w:fldChar w:fldCharType="end"/>
        </w:r>
      </w:hyperlink>
    </w:p>
    <w:p w:rsidR="00E352E0" w:rsidRDefault="00E352E0">
      <w:pPr>
        <w:pStyle w:val="TOC2"/>
        <w:rPr>
          <w:rFonts w:ascii="Times New Roman" w:hAnsi="Times New Roman" w:cs="Times New Roman"/>
          <w:noProof/>
          <w:sz w:val="24"/>
          <w:szCs w:val="24"/>
        </w:rPr>
      </w:pPr>
      <w:hyperlink w:anchor="_Toc322522305" w:history="1">
        <w:r w:rsidRPr="00170F9D">
          <w:rPr>
            <w:rStyle w:val="Hyperlink"/>
          </w:rPr>
          <w:t>1.3</w:t>
        </w:r>
        <w:r>
          <w:rPr>
            <w:rFonts w:ascii="Times New Roman" w:hAnsi="Times New Roman" w:cs="Times New Roman"/>
            <w:noProof/>
            <w:sz w:val="24"/>
            <w:szCs w:val="24"/>
          </w:rPr>
          <w:tab/>
        </w:r>
        <w:r w:rsidRPr="00170F9D">
          <w:rPr>
            <w:rStyle w:val="Hyperlink"/>
          </w:rPr>
          <w:t>References</w:t>
        </w:r>
        <w:r>
          <w:rPr>
            <w:noProof/>
            <w:webHidden/>
          </w:rPr>
          <w:tab/>
        </w:r>
        <w:r>
          <w:rPr>
            <w:noProof/>
            <w:webHidden/>
          </w:rPr>
          <w:fldChar w:fldCharType="begin"/>
        </w:r>
        <w:r>
          <w:rPr>
            <w:noProof/>
            <w:webHidden/>
          </w:rPr>
          <w:instrText xml:space="preserve"> PAGEREF _Toc322522305 \h </w:instrText>
        </w:r>
        <w:r>
          <w:rPr>
            <w:noProof/>
          </w:rPr>
        </w:r>
        <w:r>
          <w:rPr>
            <w:noProof/>
            <w:webHidden/>
          </w:rPr>
          <w:fldChar w:fldCharType="separate"/>
        </w:r>
        <w:r>
          <w:rPr>
            <w:noProof/>
            <w:webHidden/>
          </w:rPr>
          <w:t>4</w:t>
        </w:r>
        <w:r>
          <w:rPr>
            <w:noProof/>
            <w:webHidden/>
          </w:rPr>
          <w:fldChar w:fldCharType="end"/>
        </w:r>
      </w:hyperlink>
    </w:p>
    <w:p w:rsidR="00E352E0" w:rsidRDefault="00E352E0">
      <w:pPr>
        <w:pStyle w:val="TOC2"/>
        <w:rPr>
          <w:rFonts w:ascii="Times New Roman" w:hAnsi="Times New Roman" w:cs="Times New Roman"/>
          <w:noProof/>
          <w:sz w:val="24"/>
          <w:szCs w:val="24"/>
        </w:rPr>
      </w:pPr>
      <w:hyperlink w:anchor="_Toc322522306" w:history="1">
        <w:r w:rsidRPr="00170F9D">
          <w:rPr>
            <w:rStyle w:val="Hyperlink"/>
          </w:rPr>
          <w:t>1.4</w:t>
        </w:r>
        <w:r>
          <w:rPr>
            <w:rFonts w:ascii="Times New Roman" w:hAnsi="Times New Roman" w:cs="Times New Roman"/>
            <w:noProof/>
            <w:sz w:val="24"/>
            <w:szCs w:val="24"/>
          </w:rPr>
          <w:tab/>
        </w:r>
        <w:r w:rsidRPr="00170F9D">
          <w:rPr>
            <w:rStyle w:val="Hyperlink"/>
          </w:rPr>
          <w:t>Purpose of Release</w:t>
        </w:r>
        <w:r>
          <w:rPr>
            <w:noProof/>
            <w:webHidden/>
          </w:rPr>
          <w:tab/>
        </w:r>
        <w:r>
          <w:rPr>
            <w:noProof/>
            <w:webHidden/>
          </w:rPr>
          <w:fldChar w:fldCharType="begin"/>
        </w:r>
        <w:r>
          <w:rPr>
            <w:noProof/>
            <w:webHidden/>
          </w:rPr>
          <w:instrText xml:space="preserve"> PAGEREF _Toc322522306 \h </w:instrText>
        </w:r>
        <w:r>
          <w:rPr>
            <w:noProof/>
          </w:rPr>
        </w:r>
        <w:r>
          <w:rPr>
            <w:noProof/>
            <w:webHidden/>
          </w:rPr>
          <w:fldChar w:fldCharType="separate"/>
        </w:r>
        <w:r>
          <w:rPr>
            <w:noProof/>
            <w:webHidden/>
          </w:rPr>
          <w:t>4</w:t>
        </w:r>
        <w:r>
          <w:rPr>
            <w:noProof/>
            <w:webHidden/>
          </w:rPr>
          <w:fldChar w:fldCharType="end"/>
        </w:r>
      </w:hyperlink>
    </w:p>
    <w:p w:rsidR="00E352E0" w:rsidRDefault="00E352E0">
      <w:pPr>
        <w:pStyle w:val="TOC2"/>
        <w:rPr>
          <w:rFonts w:ascii="Times New Roman" w:hAnsi="Times New Roman" w:cs="Times New Roman"/>
          <w:noProof/>
          <w:sz w:val="24"/>
          <w:szCs w:val="24"/>
        </w:rPr>
      </w:pPr>
      <w:hyperlink w:anchor="_Toc322522307" w:history="1">
        <w:r w:rsidRPr="00170F9D">
          <w:rPr>
            <w:rStyle w:val="Hyperlink"/>
          </w:rPr>
          <w:t>1.5</w:t>
        </w:r>
        <w:r>
          <w:rPr>
            <w:rFonts w:ascii="Times New Roman" w:hAnsi="Times New Roman" w:cs="Times New Roman"/>
            <w:noProof/>
            <w:sz w:val="24"/>
            <w:szCs w:val="24"/>
          </w:rPr>
          <w:tab/>
        </w:r>
        <w:r w:rsidRPr="00170F9D">
          <w:rPr>
            <w:rStyle w:val="Hyperlink"/>
          </w:rPr>
          <w:t>Summary of impacts on software developers</w:t>
        </w:r>
        <w:r>
          <w:rPr>
            <w:noProof/>
            <w:webHidden/>
          </w:rPr>
          <w:tab/>
        </w:r>
        <w:r>
          <w:rPr>
            <w:noProof/>
            <w:webHidden/>
          </w:rPr>
          <w:fldChar w:fldCharType="begin"/>
        </w:r>
        <w:r>
          <w:rPr>
            <w:noProof/>
            <w:webHidden/>
          </w:rPr>
          <w:instrText xml:space="preserve"> PAGEREF _Toc322522307 \h </w:instrText>
        </w:r>
        <w:r>
          <w:rPr>
            <w:noProof/>
          </w:rPr>
        </w:r>
        <w:r>
          <w:rPr>
            <w:noProof/>
            <w:webHidden/>
          </w:rPr>
          <w:fldChar w:fldCharType="separate"/>
        </w:r>
        <w:r>
          <w:rPr>
            <w:noProof/>
            <w:webHidden/>
          </w:rPr>
          <w:t>4</w:t>
        </w:r>
        <w:r>
          <w:rPr>
            <w:noProof/>
            <w:webHidden/>
          </w:rPr>
          <w:fldChar w:fldCharType="end"/>
        </w:r>
      </w:hyperlink>
    </w:p>
    <w:p w:rsidR="00E352E0" w:rsidRDefault="00E352E0">
      <w:pPr>
        <w:pStyle w:val="TOC1"/>
        <w:tabs>
          <w:tab w:val="left" w:pos="440"/>
        </w:tabs>
        <w:rPr>
          <w:rFonts w:ascii="Times New Roman" w:hAnsi="Times New Roman" w:cs="Times New Roman"/>
          <w:noProof/>
          <w:sz w:val="24"/>
          <w:szCs w:val="24"/>
        </w:rPr>
      </w:pPr>
      <w:hyperlink w:anchor="_Toc322522308" w:history="1">
        <w:r w:rsidRPr="00170F9D">
          <w:rPr>
            <w:rStyle w:val="Hyperlink"/>
          </w:rPr>
          <w:t>2</w:t>
        </w:r>
        <w:r>
          <w:rPr>
            <w:rFonts w:ascii="Times New Roman" w:hAnsi="Times New Roman" w:cs="Times New Roman"/>
            <w:noProof/>
            <w:sz w:val="24"/>
            <w:szCs w:val="24"/>
          </w:rPr>
          <w:tab/>
        </w:r>
        <w:r w:rsidRPr="00170F9D">
          <w:rPr>
            <w:rStyle w:val="Hyperlink"/>
          </w:rPr>
          <w:t>Notes on This Release</w:t>
        </w:r>
        <w:r>
          <w:rPr>
            <w:noProof/>
            <w:webHidden/>
          </w:rPr>
          <w:tab/>
        </w:r>
        <w:r>
          <w:rPr>
            <w:noProof/>
            <w:webHidden/>
          </w:rPr>
          <w:fldChar w:fldCharType="begin"/>
        </w:r>
        <w:r>
          <w:rPr>
            <w:noProof/>
            <w:webHidden/>
          </w:rPr>
          <w:instrText xml:space="preserve"> PAGEREF _Toc322522308 \h </w:instrText>
        </w:r>
        <w:r>
          <w:rPr>
            <w:noProof/>
          </w:rPr>
        </w:r>
        <w:r>
          <w:rPr>
            <w:noProof/>
            <w:webHidden/>
          </w:rPr>
          <w:fldChar w:fldCharType="separate"/>
        </w:r>
        <w:r>
          <w:rPr>
            <w:noProof/>
            <w:webHidden/>
          </w:rPr>
          <w:t>5</w:t>
        </w:r>
        <w:r>
          <w:rPr>
            <w:noProof/>
            <w:webHidden/>
          </w:rPr>
          <w:fldChar w:fldCharType="end"/>
        </w:r>
      </w:hyperlink>
    </w:p>
    <w:p w:rsidR="00E352E0" w:rsidRDefault="00E352E0">
      <w:pPr>
        <w:pStyle w:val="TOC2"/>
        <w:rPr>
          <w:rFonts w:ascii="Times New Roman" w:hAnsi="Times New Roman" w:cs="Times New Roman"/>
          <w:noProof/>
          <w:sz w:val="24"/>
          <w:szCs w:val="24"/>
        </w:rPr>
      </w:pPr>
      <w:hyperlink w:anchor="_Toc322522309" w:history="1">
        <w:r w:rsidRPr="00170F9D">
          <w:rPr>
            <w:rStyle w:val="Hyperlink"/>
          </w:rPr>
          <w:t>2.1</w:t>
        </w:r>
        <w:r>
          <w:rPr>
            <w:rFonts w:ascii="Times New Roman" w:hAnsi="Times New Roman" w:cs="Times New Roman"/>
            <w:noProof/>
            <w:sz w:val="24"/>
            <w:szCs w:val="24"/>
          </w:rPr>
          <w:tab/>
        </w:r>
        <w:r w:rsidRPr="00170F9D">
          <w:rPr>
            <w:rStyle w:val="Hyperlink"/>
          </w:rPr>
          <w:t>XBRL Validator (sbr sdk xbrl api)</w:t>
        </w:r>
        <w:r>
          <w:rPr>
            <w:noProof/>
            <w:webHidden/>
          </w:rPr>
          <w:tab/>
        </w:r>
        <w:r>
          <w:rPr>
            <w:noProof/>
            <w:webHidden/>
          </w:rPr>
          <w:fldChar w:fldCharType="begin"/>
        </w:r>
        <w:r>
          <w:rPr>
            <w:noProof/>
            <w:webHidden/>
          </w:rPr>
          <w:instrText xml:space="preserve"> PAGEREF _Toc322522309 \h </w:instrText>
        </w:r>
        <w:r>
          <w:rPr>
            <w:noProof/>
          </w:rPr>
        </w:r>
        <w:r>
          <w:rPr>
            <w:noProof/>
            <w:webHidden/>
          </w:rPr>
          <w:fldChar w:fldCharType="separate"/>
        </w:r>
        <w:r>
          <w:rPr>
            <w:noProof/>
            <w:webHidden/>
          </w:rPr>
          <w:t>5</w:t>
        </w:r>
        <w:r>
          <w:rPr>
            <w:noProof/>
            <w:webHidden/>
          </w:rPr>
          <w:fldChar w:fldCharType="end"/>
        </w:r>
      </w:hyperlink>
    </w:p>
    <w:p w:rsidR="00E352E0" w:rsidRDefault="00E352E0">
      <w:pPr>
        <w:pStyle w:val="TOC2"/>
        <w:rPr>
          <w:rFonts w:ascii="Times New Roman" w:hAnsi="Times New Roman" w:cs="Times New Roman"/>
          <w:noProof/>
          <w:sz w:val="24"/>
          <w:szCs w:val="24"/>
        </w:rPr>
      </w:pPr>
      <w:hyperlink w:anchor="_Toc322522310" w:history="1">
        <w:r w:rsidRPr="00170F9D">
          <w:rPr>
            <w:rStyle w:val="Hyperlink"/>
          </w:rPr>
          <w:t>2.2</w:t>
        </w:r>
        <w:r>
          <w:rPr>
            <w:rFonts w:ascii="Times New Roman" w:hAnsi="Times New Roman" w:cs="Times New Roman"/>
            <w:noProof/>
            <w:sz w:val="24"/>
            <w:szCs w:val="24"/>
          </w:rPr>
          <w:tab/>
        </w:r>
        <w:r w:rsidRPr="00170F9D">
          <w:rPr>
            <w:rStyle w:val="Hyperlink"/>
          </w:rPr>
          <w:t>Tax Time 2012 Change Overview (Business Cases)</w:t>
        </w:r>
        <w:r>
          <w:rPr>
            <w:noProof/>
            <w:webHidden/>
          </w:rPr>
          <w:tab/>
        </w:r>
        <w:r>
          <w:rPr>
            <w:noProof/>
            <w:webHidden/>
          </w:rPr>
          <w:fldChar w:fldCharType="begin"/>
        </w:r>
        <w:r>
          <w:rPr>
            <w:noProof/>
            <w:webHidden/>
          </w:rPr>
          <w:instrText xml:space="preserve"> PAGEREF _Toc322522310 \h </w:instrText>
        </w:r>
        <w:r>
          <w:rPr>
            <w:noProof/>
          </w:rPr>
        </w:r>
        <w:r>
          <w:rPr>
            <w:noProof/>
            <w:webHidden/>
          </w:rPr>
          <w:fldChar w:fldCharType="separate"/>
        </w:r>
        <w:r>
          <w:rPr>
            <w:noProof/>
            <w:webHidden/>
          </w:rPr>
          <w:t>5</w:t>
        </w:r>
        <w:r>
          <w:rPr>
            <w:noProof/>
            <w:webHidden/>
          </w:rPr>
          <w:fldChar w:fldCharType="end"/>
        </w:r>
      </w:hyperlink>
    </w:p>
    <w:p w:rsidR="00E352E0" w:rsidRDefault="00E352E0">
      <w:pPr>
        <w:pStyle w:val="TOC1"/>
        <w:tabs>
          <w:tab w:val="left" w:pos="440"/>
        </w:tabs>
        <w:rPr>
          <w:rFonts w:ascii="Times New Roman" w:hAnsi="Times New Roman" w:cs="Times New Roman"/>
          <w:noProof/>
          <w:sz w:val="24"/>
          <w:szCs w:val="24"/>
        </w:rPr>
      </w:pPr>
      <w:hyperlink w:anchor="_Toc322522311" w:history="1">
        <w:r w:rsidRPr="00170F9D">
          <w:rPr>
            <w:rStyle w:val="Hyperlink"/>
          </w:rPr>
          <w:t>3</w:t>
        </w:r>
        <w:r>
          <w:rPr>
            <w:rFonts w:ascii="Times New Roman" w:hAnsi="Times New Roman" w:cs="Times New Roman"/>
            <w:noProof/>
            <w:sz w:val="24"/>
            <w:szCs w:val="24"/>
          </w:rPr>
          <w:tab/>
        </w:r>
        <w:r w:rsidRPr="00170F9D">
          <w:rPr>
            <w:rStyle w:val="Hyperlink"/>
          </w:rPr>
          <w:t>Message Structure Changes</w:t>
        </w:r>
        <w:r>
          <w:rPr>
            <w:noProof/>
            <w:webHidden/>
          </w:rPr>
          <w:tab/>
        </w:r>
        <w:r>
          <w:rPr>
            <w:noProof/>
            <w:webHidden/>
          </w:rPr>
          <w:fldChar w:fldCharType="begin"/>
        </w:r>
        <w:r>
          <w:rPr>
            <w:noProof/>
            <w:webHidden/>
          </w:rPr>
          <w:instrText xml:space="preserve"> PAGEREF _Toc322522311 \h </w:instrText>
        </w:r>
        <w:r>
          <w:rPr>
            <w:noProof/>
          </w:rPr>
        </w:r>
        <w:r>
          <w:rPr>
            <w:noProof/>
            <w:webHidden/>
          </w:rPr>
          <w:fldChar w:fldCharType="separate"/>
        </w:r>
        <w:r>
          <w:rPr>
            <w:noProof/>
            <w:webHidden/>
          </w:rPr>
          <w:t>6</w:t>
        </w:r>
        <w:r>
          <w:rPr>
            <w:noProof/>
            <w:webHidden/>
          </w:rPr>
          <w:fldChar w:fldCharType="end"/>
        </w:r>
      </w:hyperlink>
    </w:p>
    <w:p w:rsidR="00E352E0" w:rsidRDefault="00E352E0">
      <w:pPr>
        <w:pStyle w:val="TOC2"/>
        <w:rPr>
          <w:rFonts w:ascii="Times New Roman" w:hAnsi="Times New Roman" w:cs="Times New Roman"/>
          <w:noProof/>
          <w:sz w:val="24"/>
          <w:szCs w:val="24"/>
        </w:rPr>
      </w:pPr>
      <w:hyperlink w:anchor="_Toc322522312" w:history="1">
        <w:r w:rsidRPr="00170F9D">
          <w:rPr>
            <w:rStyle w:val="Hyperlink"/>
          </w:rPr>
          <w:t>3.1</w:t>
        </w:r>
        <w:r>
          <w:rPr>
            <w:rFonts w:ascii="Times New Roman" w:hAnsi="Times New Roman" w:cs="Times New Roman"/>
            <w:noProof/>
            <w:sz w:val="24"/>
            <w:szCs w:val="24"/>
          </w:rPr>
          <w:tab/>
        </w:r>
        <w:r w:rsidRPr="00170F9D">
          <w:rPr>
            <w:rStyle w:val="Hyperlink"/>
          </w:rPr>
          <w:t>Added Elements</w:t>
        </w:r>
        <w:r>
          <w:rPr>
            <w:noProof/>
            <w:webHidden/>
          </w:rPr>
          <w:tab/>
        </w:r>
        <w:r>
          <w:rPr>
            <w:noProof/>
            <w:webHidden/>
          </w:rPr>
          <w:fldChar w:fldCharType="begin"/>
        </w:r>
        <w:r>
          <w:rPr>
            <w:noProof/>
            <w:webHidden/>
          </w:rPr>
          <w:instrText xml:space="preserve"> PAGEREF _Toc322522312 \h </w:instrText>
        </w:r>
        <w:r>
          <w:rPr>
            <w:noProof/>
          </w:rPr>
        </w:r>
        <w:r>
          <w:rPr>
            <w:noProof/>
            <w:webHidden/>
          </w:rPr>
          <w:fldChar w:fldCharType="separate"/>
        </w:r>
        <w:r>
          <w:rPr>
            <w:noProof/>
            <w:webHidden/>
          </w:rPr>
          <w:t>6</w:t>
        </w:r>
        <w:r>
          <w:rPr>
            <w:noProof/>
            <w:webHidden/>
          </w:rPr>
          <w:fldChar w:fldCharType="end"/>
        </w:r>
      </w:hyperlink>
    </w:p>
    <w:p w:rsidR="00E352E0" w:rsidRDefault="00E352E0">
      <w:pPr>
        <w:pStyle w:val="TOC2"/>
        <w:rPr>
          <w:rFonts w:ascii="Times New Roman" w:hAnsi="Times New Roman" w:cs="Times New Roman"/>
          <w:noProof/>
          <w:sz w:val="24"/>
          <w:szCs w:val="24"/>
        </w:rPr>
      </w:pPr>
      <w:hyperlink w:anchor="_Toc322522313" w:history="1">
        <w:r w:rsidRPr="00170F9D">
          <w:rPr>
            <w:rStyle w:val="Hyperlink"/>
          </w:rPr>
          <w:t>3.2</w:t>
        </w:r>
        <w:r>
          <w:rPr>
            <w:rFonts w:ascii="Times New Roman" w:hAnsi="Times New Roman" w:cs="Times New Roman"/>
            <w:noProof/>
            <w:sz w:val="24"/>
            <w:szCs w:val="24"/>
          </w:rPr>
          <w:tab/>
        </w:r>
        <w:r w:rsidRPr="00170F9D">
          <w:rPr>
            <w:rStyle w:val="Hyperlink"/>
          </w:rPr>
          <w:t>Removed Elements</w:t>
        </w:r>
        <w:r>
          <w:rPr>
            <w:noProof/>
            <w:webHidden/>
          </w:rPr>
          <w:tab/>
        </w:r>
        <w:r>
          <w:rPr>
            <w:noProof/>
            <w:webHidden/>
          </w:rPr>
          <w:fldChar w:fldCharType="begin"/>
        </w:r>
        <w:r>
          <w:rPr>
            <w:noProof/>
            <w:webHidden/>
          </w:rPr>
          <w:instrText xml:space="preserve"> PAGEREF _Toc322522313 \h </w:instrText>
        </w:r>
        <w:r>
          <w:rPr>
            <w:noProof/>
          </w:rPr>
        </w:r>
        <w:r>
          <w:rPr>
            <w:noProof/>
            <w:webHidden/>
          </w:rPr>
          <w:fldChar w:fldCharType="separate"/>
        </w:r>
        <w:r>
          <w:rPr>
            <w:noProof/>
            <w:webHidden/>
          </w:rPr>
          <w:t>6</w:t>
        </w:r>
        <w:r>
          <w:rPr>
            <w:noProof/>
            <w:webHidden/>
          </w:rPr>
          <w:fldChar w:fldCharType="end"/>
        </w:r>
      </w:hyperlink>
    </w:p>
    <w:p w:rsidR="00E352E0" w:rsidRDefault="00E352E0">
      <w:pPr>
        <w:pStyle w:val="TOC2"/>
        <w:rPr>
          <w:rFonts w:ascii="Times New Roman" w:hAnsi="Times New Roman" w:cs="Times New Roman"/>
          <w:noProof/>
          <w:sz w:val="24"/>
          <w:szCs w:val="24"/>
        </w:rPr>
      </w:pPr>
      <w:hyperlink w:anchor="_Toc322522314" w:history="1">
        <w:r w:rsidRPr="00170F9D">
          <w:rPr>
            <w:rStyle w:val="Hyperlink"/>
          </w:rPr>
          <w:t>3.3</w:t>
        </w:r>
        <w:r>
          <w:rPr>
            <w:rFonts w:ascii="Times New Roman" w:hAnsi="Times New Roman" w:cs="Times New Roman"/>
            <w:noProof/>
            <w:sz w:val="24"/>
            <w:szCs w:val="24"/>
          </w:rPr>
          <w:tab/>
        </w:r>
        <w:r w:rsidRPr="00170F9D">
          <w:rPr>
            <w:rStyle w:val="Hyperlink"/>
          </w:rPr>
          <w:t>Updated Elements</w:t>
        </w:r>
        <w:r>
          <w:rPr>
            <w:noProof/>
            <w:webHidden/>
          </w:rPr>
          <w:tab/>
        </w:r>
        <w:r>
          <w:rPr>
            <w:noProof/>
            <w:webHidden/>
          </w:rPr>
          <w:fldChar w:fldCharType="begin"/>
        </w:r>
        <w:r>
          <w:rPr>
            <w:noProof/>
            <w:webHidden/>
          </w:rPr>
          <w:instrText xml:space="preserve"> PAGEREF _Toc322522314 \h </w:instrText>
        </w:r>
        <w:r>
          <w:rPr>
            <w:noProof/>
          </w:rPr>
        </w:r>
        <w:r>
          <w:rPr>
            <w:noProof/>
            <w:webHidden/>
          </w:rPr>
          <w:fldChar w:fldCharType="separate"/>
        </w:r>
        <w:r>
          <w:rPr>
            <w:noProof/>
            <w:webHidden/>
          </w:rPr>
          <w:t>6</w:t>
        </w:r>
        <w:r>
          <w:rPr>
            <w:noProof/>
            <w:webHidden/>
          </w:rPr>
          <w:fldChar w:fldCharType="end"/>
        </w:r>
      </w:hyperlink>
    </w:p>
    <w:p w:rsidR="00E352E0" w:rsidRDefault="00E352E0">
      <w:pPr>
        <w:pStyle w:val="TOC1"/>
        <w:tabs>
          <w:tab w:val="left" w:pos="440"/>
        </w:tabs>
        <w:rPr>
          <w:rFonts w:ascii="Times New Roman" w:hAnsi="Times New Roman" w:cs="Times New Roman"/>
          <w:noProof/>
          <w:sz w:val="24"/>
          <w:szCs w:val="24"/>
        </w:rPr>
      </w:pPr>
      <w:hyperlink w:anchor="_Toc322522315" w:history="1">
        <w:r w:rsidRPr="00170F9D">
          <w:rPr>
            <w:rStyle w:val="Hyperlink"/>
          </w:rPr>
          <w:t>4</w:t>
        </w:r>
        <w:r>
          <w:rPr>
            <w:rFonts w:ascii="Times New Roman" w:hAnsi="Times New Roman" w:cs="Times New Roman"/>
            <w:noProof/>
            <w:sz w:val="24"/>
            <w:szCs w:val="24"/>
          </w:rPr>
          <w:tab/>
        </w:r>
        <w:r w:rsidRPr="00170F9D">
          <w:rPr>
            <w:rStyle w:val="Hyperlink"/>
          </w:rPr>
          <w:t>Changes to Validation Rules</w:t>
        </w:r>
        <w:r>
          <w:rPr>
            <w:noProof/>
            <w:webHidden/>
          </w:rPr>
          <w:tab/>
        </w:r>
        <w:r>
          <w:rPr>
            <w:noProof/>
            <w:webHidden/>
          </w:rPr>
          <w:fldChar w:fldCharType="begin"/>
        </w:r>
        <w:r>
          <w:rPr>
            <w:noProof/>
            <w:webHidden/>
          </w:rPr>
          <w:instrText xml:space="preserve"> PAGEREF _Toc322522315 \h </w:instrText>
        </w:r>
        <w:r>
          <w:rPr>
            <w:noProof/>
          </w:rPr>
        </w:r>
        <w:r>
          <w:rPr>
            <w:noProof/>
            <w:webHidden/>
          </w:rPr>
          <w:fldChar w:fldCharType="separate"/>
        </w:r>
        <w:r>
          <w:rPr>
            <w:noProof/>
            <w:webHidden/>
          </w:rPr>
          <w:t>7</w:t>
        </w:r>
        <w:r>
          <w:rPr>
            <w:noProof/>
            <w:webHidden/>
          </w:rPr>
          <w:fldChar w:fldCharType="end"/>
        </w:r>
      </w:hyperlink>
    </w:p>
    <w:p w:rsidR="00E352E0" w:rsidRDefault="00E352E0">
      <w:pPr>
        <w:pStyle w:val="TOC2"/>
        <w:rPr>
          <w:rFonts w:ascii="Times New Roman" w:hAnsi="Times New Roman" w:cs="Times New Roman"/>
          <w:noProof/>
          <w:sz w:val="24"/>
          <w:szCs w:val="24"/>
        </w:rPr>
      </w:pPr>
      <w:hyperlink w:anchor="_Toc322522316" w:history="1">
        <w:r w:rsidRPr="00170F9D">
          <w:rPr>
            <w:rStyle w:val="Hyperlink"/>
          </w:rPr>
          <w:t>4.1</w:t>
        </w:r>
        <w:r>
          <w:rPr>
            <w:rFonts w:ascii="Times New Roman" w:hAnsi="Times New Roman" w:cs="Times New Roman"/>
            <w:noProof/>
            <w:sz w:val="24"/>
            <w:szCs w:val="24"/>
          </w:rPr>
          <w:tab/>
        </w:r>
        <w:r w:rsidRPr="00170F9D">
          <w:rPr>
            <w:rStyle w:val="Hyperlink"/>
          </w:rPr>
          <w:t>Added validation Rules</w:t>
        </w:r>
        <w:r>
          <w:rPr>
            <w:noProof/>
            <w:webHidden/>
          </w:rPr>
          <w:tab/>
        </w:r>
        <w:r>
          <w:rPr>
            <w:noProof/>
            <w:webHidden/>
          </w:rPr>
          <w:fldChar w:fldCharType="begin"/>
        </w:r>
        <w:r>
          <w:rPr>
            <w:noProof/>
            <w:webHidden/>
          </w:rPr>
          <w:instrText xml:space="preserve"> PAGEREF _Toc322522316 \h </w:instrText>
        </w:r>
        <w:r>
          <w:rPr>
            <w:noProof/>
          </w:rPr>
        </w:r>
        <w:r>
          <w:rPr>
            <w:noProof/>
            <w:webHidden/>
          </w:rPr>
          <w:fldChar w:fldCharType="separate"/>
        </w:r>
        <w:r>
          <w:rPr>
            <w:noProof/>
            <w:webHidden/>
          </w:rPr>
          <w:t>7</w:t>
        </w:r>
        <w:r>
          <w:rPr>
            <w:noProof/>
            <w:webHidden/>
          </w:rPr>
          <w:fldChar w:fldCharType="end"/>
        </w:r>
      </w:hyperlink>
    </w:p>
    <w:p w:rsidR="00E352E0" w:rsidRDefault="00E352E0">
      <w:pPr>
        <w:pStyle w:val="TOC2"/>
        <w:rPr>
          <w:rFonts w:ascii="Times New Roman" w:hAnsi="Times New Roman" w:cs="Times New Roman"/>
          <w:noProof/>
          <w:sz w:val="24"/>
          <w:szCs w:val="24"/>
        </w:rPr>
      </w:pPr>
      <w:hyperlink w:anchor="_Toc322522317" w:history="1">
        <w:r w:rsidRPr="00170F9D">
          <w:rPr>
            <w:rStyle w:val="Hyperlink"/>
          </w:rPr>
          <w:t>4.2</w:t>
        </w:r>
        <w:r>
          <w:rPr>
            <w:rFonts w:ascii="Times New Roman" w:hAnsi="Times New Roman" w:cs="Times New Roman"/>
            <w:noProof/>
            <w:sz w:val="24"/>
            <w:szCs w:val="24"/>
          </w:rPr>
          <w:tab/>
        </w:r>
        <w:r w:rsidRPr="00170F9D">
          <w:rPr>
            <w:rStyle w:val="Hyperlink"/>
          </w:rPr>
          <w:t>Removed validation Rules</w:t>
        </w:r>
        <w:r>
          <w:rPr>
            <w:noProof/>
            <w:webHidden/>
          </w:rPr>
          <w:tab/>
        </w:r>
        <w:r>
          <w:rPr>
            <w:noProof/>
            <w:webHidden/>
          </w:rPr>
          <w:fldChar w:fldCharType="begin"/>
        </w:r>
        <w:r>
          <w:rPr>
            <w:noProof/>
            <w:webHidden/>
          </w:rPr>
          <w:instrText xml:space="preserve"> PAGEREF _Toc322522317 \h </w:instrText>
        </w:r>
        <w:r>
          <w:rPr>
            <w:noProof/>
          </w:rPr>
        </w:r>
        <w:r>
          <w:rPr>
            <w:noProof/>
            <w:webHidden/>
          </w:rPr>
          <w:fldChar w:fldCharType="separate"/>
        </w:r>
        <w:r>
          <w:rPr>
            <w:noProof/>
            <w:webHidden/>
          </w:rPr>
          <w:t>7</w:t>
        </w:r>
        <w:r>
          <w:rPr>
            <w:noProof/>
            <w:webHidden/>
          </w:rPr>
          <w:fldChar w:fldCharType="end"/>
        </w:r>
      </w:hyperlink>
    </w:p>
    <w:p w:rsidR="00E352E0" w:rsidRDefault="00E352E0">
      <w:pPr>
        <w:pStyle w:val="TOC2"/>
        <w:rPr>
          <w:rFonts w:ascii="Times New Roman" w:hAnsi="Times New Roman" w:cs="Times New Roman"/>
          <w:noProof/>
          <w:sz w:val="24"/>
          <w:szCs w:val="24"/>
        </w:rPr>
      </w:pPr>
      <w:hyperlink w:anchor="_Toc322522318" w:history="1">
        <w:r w:rsidRPr="00170F9D">
          <w:rPr>
            <w:rStyle w:val="Hyperlink"/>
          </w:rPr>
          <w:t>4.3</w:t>
        </w:r>
        <w:r>
          <w:rPr>
            <w:rFonts w:ascii="Times New Roman" w:hAnsi="Times New Roman" w:cs="Times New Roman"/>
            <w:noProof/>
            <w:sz w:val="24"/>
            <w:szCs w:val="24"/>
          </w:rPr>
          <w:tab/>
        </w:r>
        <w:r w:rsidRPr="00170F9D">
          <w:rPr>
            <w:rStyle w:val="Hyperlink"/>
          </w:rPr>
          <w:t>Updated validation Rules</w:t>
        </w:r>
        <w:r>
          <w:rPr>
            <w:noProof/>
            <w:webHidden/>
          </w:rPr>
          <w:tab/>
        </w:r>
        <w:r>
          <w:rPr>
            <w:noProof/>
            <w:webHidden/>
          </w:rPr>
          <w:fldChar w:fldCharType="begin"/>
        </w:r>
        <w:r>
          <w:rPr>
            <w:noProof/>
            <w:webHidden/>
          </w:rPr>
          <w:instrText xml:space="preserve"> PAGEREF _Toc322522318 \h </w:instrText>
        </w:r>
        <w:r>
          <w:rPr>
            <w:noProof/>
          </w:rPr>
        </w:r>
        <w:r>
          <w:rPr>
            <w:noProof/>
            <w:webHidden/>
          </w:rPr>
          <w:fldChar w:fldCharType="separate"/>
        </w:r>
        <w:r>
          <w:rPr>
            <w:noProof/>
            <w:webHidden/>
          </w:rPr>
          <w:t>7</w:t>
        </w:r>
        <w:r>
          <w:rPr>
            <w:noProof/>
            <w:webHidden/>
          </w:rPr>
          <w:fldChar w:fldCharType="end"/>
        </w:r>
      </w:hyperlink>
    </w:p>
    <w:p w:rsidR="00E352E0" w:rsidRDefault="00E352E0">
      <w:pPr>
        <w:pStyle w:val="TOC1"/>
        <w:tabs>
          <w:tab w:val="left" w:pos="440"/>
        </w:tabs>
        <w:rPr>
          <w:rFonts w:ascii="Times New Roman" w:hAnsi="Times New Roman" w:cs="Times New Roman"/>
          <w:noProof/>
          <w:sz w:val="24"/>
          <w:szCs w:val="24"/>
        </w:rPr>
      </w:pPr>
      <w:hyperlink w:anchor="_Toc322522319" w:history="1">
        <w:r w:rsidRPr="00170F9D">
          <w:rPr>
            <w:rStyle w:val="Hyperlink"/>
          </w:rPr>
          <w:t>5</w:t>
        </w:r>
        <w:r>
          <w:rPr>
            <w:rFonts w:ascii="Times New Roman" w:hAnsi="Times New Roman" w:cs="Times New Roman"/>
            <w:noProof/>
            <w:sz w:val="24"/>
            <w:szCs w:val="24"/>
          </w:rPr>
          <w:tab/>
        </w:r>
        <w:r w:rsidRPr="00170F9D">
          <w:rPr>
            <w:rStyle w:val="Hyperlink"/>
          </w:rPr>
          <w:t>Changes to Error Response Messages</w:t>
        </w:r>
        <w:r>
          <w:rPr>
            <w:noProof/>
            <w:webHidden/>
          </w:rPr>
          <w:tab/>
        </w:r>
        <w:r>
          <w:rPr>
            <w:noProof/>
            <w:webHidden/>
          </w:rPr>
          <w:fldChar w:fldCharType="begin"/>
        </w:r>
        <w:r>
          <w:rPr>
            <w:noProof/>
            <w:webHidden/>
          </w:rPr>
          <w:instrText xml:space="preserve"> PAGEREF _Toc322522319 \h </w:instrText>
        </w:r>
        <w:r>
          <w:rPr>
            <w:noProof/>
          </w:rPr>
        </w:r>
        <w:r>
          <w:rPr>
            <w:noProof/>
            <w:webHidden/>
          </w:rPr>
          <w:fldChar w:fldCharType="separate"/>
        </w:r>
        <w:r>
          <w:rPr>
            <w:noProof/>
            <w:webHidden/>
          </w:rPr>
          <w:t>8</w:t>
        </w:r>
        <w:r>
          <w:rPr>
            <w:noProof/>
            <w:webHidden/>
          </w:rPr>
          <w:fldChar w:fldCharType="end"/>
        </w:r>
      </w:hyperlink>
    </w:p>
    <w:p w:rsidR="00E352E0" w:rsidRDefault="00E352E0">
      <w:pPr>
        <w:pStyle w:val="TOC2"/>
        <w:rPr>
          <w:rFonts w:ascii="Times New Roman" w:hAnsi="Times New Roman" w:cs="Times New Roman"/>
          <w:noProof/>
          <w:sz w:val="24"/>
          <w:szCs w:val="24"/>
        </w:rPr>
      </w:pPr>
      <w:hyperlink w:anchor="_Toc322522320" w:history="1">
        <w:r w:rsidRPr="00170F9D">
          <w:rPr>
            <w:rStyle w:val="Hyperlink"/>
          </w:rPr>
          <w:t>5.1</w:t>
        </w:r>
        <w:r>
          <w:rPr>
            <w:rFonts w:ascii="Times New Roman" w:hAnsi="Times New Roman" w:cs="Times New Roman"/>
            <w:noProof/>
            <w:sz w:val="24"/>
            <w:szCs w:val="24"/>
          </w:rPr>
          <w:tab/>
        </w:r>
        <w:r w:rsidRPr="00170F9D">
          <w:rPr>
            <w:rStyle w:val="Hyperlink"/>
          </w:rPr>
          <w:t>Added Error Response Messages</w:t>
        </w:r>
        <w:r>
          <w:rPr>
            <w:noProof/>
            <w:webHidden/>
          </w:rPr>
          <w:tab/>
        </w:r>
        <w:r>
          <w:rPr>
            <w:noProof/>
            <w:webHidden/>
          </w:rPr>
          <w:fldChar w:fldCharType="begin"/>
        </w:r>
        <w:r>
          <w:rPr>
            <w:noProof/>
            <w:webHidden/>
          </w:rPr>
          <w:instrText xml:space="preserve"> PAGEREF _Toc322522320 \h </w:instrText>
        </w:r>
        <w:r>
          <w:rPr>
            <w:noProof/>
          </w:rPr>
        </w:r>
        <w:r>
          <w:rPr>
            <w:noProof/>
            <w:webHidden/>
          </w:rPr>
          <w:fldChar w:fldCharType="separate"/>
        </w:r>
        <w:r>
          <w:rPr>
            <w:noProof/>
            <w:webHidden/>
          </w:rPr>
          <w:t>8</w:t>
        </w:r>
        <w:r>
          <w:rPr>
            <w:noProof/>
            <w:webHidden/>
          </w:rPr>
          <w:fldChar w:fldCharType="end"/>
        </w:r>
      </w:hyperlink>
    </w:p>
    <w:p w:rsidR="00E352E0" w:rsidRDefault="00E352E0">
      <w:pPr>
        <w:pStyle w:val="TOC2"/>
        <w:rPr>
          <w:rFonts w:ascii="Times New Roman" w:hAnsi="Times New Roman" w:cs="Times New Roman"/>
          <w:noProof/>
          <w:sz w:val="24"/>
          <w:szCs w:val="24"/>
        </w:rPr>
      </w:pPr>
      <w:hyperlink w:anchor="_Toc322522321" w:history="1">
        <w:r w:rsidRPr="00170F9D">
          <w:rPr>
            <w:rStyle w:val="Hyperlink"/>
          </w:rPr>
          <w:t>5.2</w:t>
        </w:r>
        <w:r>
          <w:rPr>
            <w:rFonts w:ascii="Times New Roman" w:hAnsi="Times New Roman" w:cs="Times New Roman"/>
            <w:noProof/>
            <w:sz w:val="24"/>
            <w:szCs w:val="24"/>
          </w:rPr>
          <w:tab/>
        </w:r>
        <w:r w:rsidRPr="00170F9D">
          <w:rPr>
            <w:rStyle w:val="Hyperlink"/>
          </w:rPr>
          <w:t>Removed Error Response Messages</w:t>
        </w:r>
        <w:r>
          <w:rPr>
            <w:noProof/>
            <w:webHidden/>
          </w:rPr>
          <w:tab/>
        </w:r>
        <w:r>
          <w:rPr>
            <w:noProof/>
            <w:webHidden/>
          </w:rPr>
          <w:fldChar w:fldCharType="begin"/>
        </w:r>
        <w:r>
          <w:rPr>
            <w:noProof/>
            <w:webHidden/>
          </w:rPr>
          <w:instrText xml:space="preserve"> PAGEREF _Toc322522321 \h </w:instrText>
        </w:r>
        <w:r>
          <w:rPr>
            <w:noProof/>
          </w:rPr>
        </w:r>
        <w:r>
          <w:rPr>
            <w:noProof/>
            <w:webHidden/>
          </w:rPr>
          <w:fldChar w:fldCharType="separate"/>
        </w:r>
        <w:r>
          <w:rPr>
            <w:noProof/>
            <w:webHidden/>
          </w:rPr>
          <w:t>8</w:t>
        </w:r>
        <w:r>
          <w:rPr>
            <w:noProof/>
            <w:webHidden/>
          </w:rPr>
          <w:fldChar w:fldCharType="end"/>
        </w:r>
      </w:hyperlink>
    </w:p>
    <w:p w:rsidR="00E352E0" w:rsidRDefault="00E352E0">
      <w:pPr>
        <w:pStyle w:val="TOC2"/>
        <w:rPr>
          <w:rFonts w:ascii="Times New Roman" w:hAnsi="Times New Roman" w:cs="Times New Roman"/>
          <w:noProof/>
          <w:sz w:val="24"/>
          <w:szCs w:val="24"/>
        </w:rPr>
      </w:pPr>
      <w:hyperlink w:anchor="_Toc322522322" w:history="1">
        <w:r w:rsidRPr="00170F9D">
          <w:rPr>
            <w:rStyle w:val="Hyperlink"/>
          </w:rPr>
          <w:t>5.3</w:t>
        </w:r>
        <w:r>
          <w:rPr>
            <w:rFonts w:ascii="Times New Roman" w:hAnsi="Times New Roman" w:cs="Times New Roman"/>
            <w:noProof/>
            <w:sz w:val="24"/>
            <w:szCs w:val="24"/>
          </w:rPr>
          <w:tab/>
        </w:r>
        <w:r w:rsidRPr="00170F9D">
          <w:rPr>
            <w:rStyle w:val="Hyperlink"/>
          </w:rPr>
          <w:t>Updated Error Response Messages</w:t>
        </w:r>
        <w:r>
          <w:rPr>
            <w:noProof/>
            <w:webHidden/>
          </w:rPr>
          <w:tab/>
        </w:r>
        <w:r>
          <w:rPr>
            <w:noProof/>
            <w:webHidden/>
          </w:rPr>
          <w:fldChar w:fldCharType="begin"/>
        </w:r>
        <w:r>
          <w:rPr>
            <w:noProof/>
            <w:webHidden/>
          </w:rPr>
          <w:instrText xml:space="preserve"> PAGEREF _Toc322522322 \h </w:instrText>
        </w:r>
        <w:r>
          <w:rPr>
            <w:noProof/>
          </w:rPr>
        </w:r>
        <w:r>
          <w:rPr>
            <w:noProof/>
            <w:webHidden/>
          </w:rPr>
          <w:fldChar w:fldCharType="separate"/>
        </w:r>
        <w:r>
          <w:rPr>
            <w:noProof/>
            <w:webHidden/>
          </w:rPr>
          <w:t>8</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844F44">
      <w:pPr>
        <w:pStyle w:val="Head1"/>
        <w:tabs>
          <w:tab w:val="clear" w:pos="2130"/>
          <w:tab w:val="num" w:pos="0"/>
        </w:tabs>
        <w:ind w:left="0" w:firstLine="0"/>
      </w:pPr>
      <w:bookmarkStart w:id="4" w:name="_Toc322522302"/>
      <w:r w:rsidRPr="009B06E0">
        <w:lastRenderedPageBreak/>
        <w:t>Introduction</w:t>
      </w:r>
      <w:bookmarkEnd w:id="4"/>
    </w:p>
    <w:p w:rsidR="00BA43CC" w:rsidRPr="009B06E0" w:rsidRDefault="00BA43CC" w:rsidP="00BA43CC">
      <w:pPr>
        <w:pStyle w:val="Head2"/>
      </w:pPr>
      <w:bookmarkStart w:id="5" w:name="_Toc203783465"/>
      <w:bookmarkStart w:id="6" w:name="_Toc322522303"/>
      <w:r w:rsidRPr="009B06E0">
        <w:t>Purpose</w:t>
      </w:r>
      <w:bookmarkEnd w:id="5"/>
      <w:bookmarkEnd w:id="6"/>
    </w:p>
    <w:p w:rsidR="00185AF4" w:rsidRPr="009B06E0" w:rsidRDefault="00BA43CC" w:rsidP="00844F44">
      <w:pPr>
        <w:spacing w:before="120" w:after="120"/>
        <w:jc w:val="both"/>
        <w:rPr>
          <w:rFonts w:cs="Arial"/>
        </w:rPr>
      </w:pPr>
      <w:r w:rsidRPr="009B06E0">
        <w:rPr>
          <w:rFonts w:cs="Arial"/>
        </w:rPr>
        <w:t xml:space="preserve">The purpose of this document is to </w:t>
      </w:r>
      <w:r w:rsidR="00350A2B">
        <w:rPr>
          <w:rFonts w:cs="Arial"/>
        </w:rPr>
        <w:t>advise</w:t>
      </w:r>
      <w:r w:rsidR="00350A2B" w:rsidRPr="009B06E0">
        <w:rPr>
          <w:rFonts w:cs="Arial"/>
        </w:rPr>
        <w:t xml:space="preserve"> </w:t>
      </w:r>
      <w:r w:rsidRPr="009B06E0">
        <w:rPr>
          <w:rFonts w:cs="Arial"/>
        </w:rPr>
        <w:t xml:space="preserve">software </w:t>
      </w:r>
      <w:r w:rsidR="000A594E" w:rsidRPr="009B06E0">
        <w:rPr>
          <w:rFonts w:cs="Arial"/>
        </w:rPr>
        <w:t>developer</w:t>
      </w:r>
      <w:r w:rsidRPr="009B06E0">
        <w:rPr>
          <w:rFonts w:cs="Arial"/>
        </w:rPr>
        <w:t xml:space="preserve">s </w:t>
      </w:r>
      <w:r w:rsidR="00350A2B">
        <w:rPr>
          <w:rFonts w:cs="Arial"/>
        </w:rPr>
        <w:t xml:space="preserve">of changes to </w:t>
      </w:r>
      <w:r w:rsidR="00D3571A">
        <w:rPr>
          <w:rFonts w:cs="Arial"/>
        </w:rPr>
        <w:t xml:space="preserve">the </w:t>
      </w:r>
      <w:r w:rsidR="000A1383">
        <w:rPr>
          <w:rFonts w:cs="Arial"/>
        </w:rPr>
        <w:t>Standard Business Reporting (</w:t>
      </w:r>
      <w:r w:rsidR="00D3571A">
        <w:rPr>
          <w:rFonts w:cs="Arial"/>
        </w:rPr>
        <w:t>SBR</w:t>
      </w:r>
      <w:r w:rsidR="000A1383">
        <w:rPr>
          <w:rFonts w:cs="Arial"/>
        </w:rPr>
        <w:t>)</w:t>
      </w:r>
      <w:r w:rsidR="00D3571A">
        <w:rPr>
          <w:rFonts w:cs="Arial"/>
        </w:rPr>
        <w:t xml:space="preserve"> </w:t>
      </w:r>
      <w:r w:rsidR="00BC5A86">
        <w:rPr>
          <w:rFonts w:cs="Arial"/>
        </w:rPr>
        <w:t xml:space="preserve">Capital Gains Tax Schedule </w:t>
      </w:r>
      <w:r w:rsidR="000A1383">
        <w:rPr>
          <w:rFonts w:cs="Arial"/>
        </w:rPr>
        <w:t xml:space="preserve">web </w:t>
      </w:r>
      <w:r w:rsidR="00350A2B">
        <w:rPr>
          <w:rFonts w:cs="Arial"/>
        </w:rPr>
        <w:t>service for 2012</w:t>
      </w:r>
      <w:r w:rsidR="00A12694">
        <w:rPr>
          <w:rFonts w:cs="Arial"/>
        </w:rPr>
        <w:t>,</w:t>
      </w:r>
      <w:r w:rsidR="000A1383">
        <w:rPr>
          <w:rFonts w:cs="Arial"/>
        </w:rPr>
        <w:t xml:space="preserve"> provided by the Australian Tax Office (ATO)</w:t>
      </w:r>
      <w:r w:rsidR="00350A2B">
        <w:rPr>
          <w:rFonts w:cs="Arial"/>
        </w:rPr>
        <w:t xml:space="preserve">. </w:t>
      </w:r>
      <w:r w:rsidR="00AC78C0" w:rsidRPr="009B06E0">
        <w:rPr>
          <w:rFonts w:cs="Arial"/>
        </w:rPr>
        <w:t xml:space="preserve"> </w:t>
      </w:r>
    </w:p>
    <w:p w:rsidR="00BA43CC" w:rsidRPr="009B06E0" w:rsidRDefault="00BA43CC" w:rsidP="00BA43CC">
      <w:pPr>
        <w:pStyle w:val="Head2"/>
      </w:pPr>
      <w:bookmarkStart w:id="7" w:name="_Toc311801588"/>
      <w:bookmarkStart w:id="8" w:name="_Toc231632936"/>
      <w:bookmarkStart w:id="9" w:name="_Toc231632938"/>
      <w:bookmarkStart w:id="10" w:name="_Toc226473065"/>
      <w:bookmarkStart w:id="11" w:name="_Toc322522304"/>
      <w:bookmarkEnd w:id="7"/>
      <w:bookmarkEnd w:id="8"/>
      <w:bookmarkEnd w:id="9"/>
      <w:r w:rsidRPr="009B06E0">
        <w:t>Audience and Scope</w:t>
      </w:r>
      <w:bookmarkEnd w:id="11"/>
    </w:p>
    <w:p w:rsidR="007B6665" w:rsidRPr="00B07710" w:rsidRDefault="00BA43CC" w:rsidP="007B6665">
      <w:pPr>
        <w:jc w:val="both"/>
        <w:rPr>
          <w:i/>
        </w:rPr>
      </w:pPr>
      <w:r w:rsidRPr="009B06E0">
        <w:t xml:space="preserve">This document contains </w:t>
      </w:r>
      <w:r w:rsidR="00350A2B">
        <w:t xml:space="preserve">a summary of changes to the </w:t>
      </w:r>
      <w:r w:rsidR="00BC5A86">
        <w:rPr>
          <w:rFonts w:cs="Arial"/>
        </w:rPr>
        <w:t>cgts</w:t>
      </w:r>
      <w:r w:rsidR="00350A2B">
        <w:rPr>
          <w:rFonts w:cs="Arial"/>
        </w:rPr>
        <w:t xml:space="preserve">.0002 </w:t>
      </w:r>
      <w:r w:rsidR="000A1383">
        <w:rPr>
          <w:rFonts w:cs="Arial"/>
        </w:rPr>
        <w:t xml:space="preserve">web </w:t>
      </w:r>
      <w:r w:rsidR="00350A2B">
        <w:rPr>
          <w:rFonts w:cs="Arial"/>
        </w:rPr>
        <w:t>service for 2012.</w:t>
      </w:r>
      <w:r w:rsidR="00844F44">
        <w:t xml:space="preserve"> </w:t>
      </w:r>
      <w:r w:rsidR="007B6665">
        <w:t xml:space="preserve">It is provided as a supplement to the </w:t>
      </w:r>
      <w:r w:rsidR="007B6665" w:rsidRPr="001D6B58">
        <w:t>Capital Gains Tax Schedule 2012 Message Implementation Guide Version 1.0</w:t>
      </w:r>
      <w:r w:rsidR="007B6665" w:rsidRPr="00B07710">
        <w:rPr>
          <w:i/>
        </w:rPr>
        <w:t>.</w:t>
      </w:r>
    </w:p>
    <w:p w:rsidR="000A1383" w:rsidRDefault="000A1383" w:rsidP="00BA43CC"/>
    <w:p w:rsidR="000A1383" w:rsidRPr="000A1383" w:rsidRDefault="000A1383" w:rsidP="00BA43CC">
      <w:r>
        <w:t xml:space="preserve">This document has been prepared for software developers who have previously consumed the </w:t>
      </w:r>
      <w:r w:rsidR="00BC5A86">
        <w:t>cgts</w:t>
      </w:r>
      <w:r>
        <w:t>.000</w:t>
      </w:r>
      <w:r w:rsidR="004E4173">
        <w:t>1</w:t>
      </w:r>
      <w:r>
        <w:t xml:space="preserve"> web</w:t>
      </w:r>
      <w:r w:rsidR="007B6665">
        <w:t xml:space="preserve"> </w:t>
      </w:r>
      <w:r>
        <w:t>service.</w:t>
      </w:r>
    </w:p>
    <w:p w:rsidR="00BA43CC" w:rsidRPr="009B06E0" w:rsidRDefault="00BA43CC" w:rsidP="00BA43CC">
      <w:pPr>
        <w:pStyle w:val="Head2"/>
      </w:pPr>
      <w:bookmarkStart w:id="12" w:name="_Toc322522305"/>
      <w:r w:rsidRPr="009B06E0">
        <w:t>References</w:t>
      </w:r>
      <w:bookmarkEnd w:id="10"/>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BA43CC" w:rsidRPr="009B06E0" w:rsidTr="002D7ADD">
        <w:tc>
          <w:tcPr>
            <w:tcW w:w="573" w:type="dxa"/>
            <w:shd w:val="clear" w:color="auto" w:fill="C6D9F1"/>
          </w:tcPr>
          <w:p w:rsidR="00BA43CC" w:rsidRPr="009B06E0" w:rsidRDefault="00BA43CC" w:rsidP="00D43589">
            <w:pPr>
              <w:spacing w:before="120" w:after="120"/>
              <w:rPr>
                <w:rFonts w:cs="Arial"/>
                <w:b/>
              </w:rPr>
            </w:pPr>
            <w:r w:rsidRPr="009B06E0">
              <w:rPr>
                <w:rFonts w:cs="Arial"/>
                <w:b/>
              </w:rPr>
              <w:t>Ref</w:t>
            </w:r>
          </w:p>
        </w:tc>
        <w:tc>
          <w:tcPr>
            <w:tcW w:w="4071" w:type="dxa"/>
            <w:shd w:val="clear" w:color="auto" w:fill="C6D9F1"/>
          </w:tcPr>
          <w:p w:rsidR="00BA43CC" w:rsidRPr="009B06E0" w:rsidRDefault="00BA43CC" w:rsidP="00D43589">
            <w:pPr>
              <w:spacing w:before="120" w:after="120"/>
              <w:rPr>
                <w:rFonts w:cs="Arial"/>
                <w:b/>
              </w:rPr>
            </w:pPr>
            <w:r w:rsidRPr="009B06E0">
              <w:rPr>
                <w:rFonts w:cs="Arial"/>
                <w:b/>
              </w:rPr>
              <w:t>Document Link</w:t>
            </w:r>
          </w:p>
        </w:tc>
        <w:tc>
          <w:tcPr>
            <w:tcW w:w="4898" w:type="dxa"/>
            <w:shd w:val="clear" w:color="auto" w:fill="C6D9F1"/>
          </w:tcPr>
          <w:p w:rsidR="00BA43CC" w:rsidRPr="009B06E0" w:rsidRDefault="00BA43CC" w:rsidP="00D43589">
            <w:pPr>
              <w:spacing w:before="120" w:after="120"/>
              <w:rPr>
                <w:rFonts w:cs="Arial"/>
                <w:b/>
              </w:rPr>
            </w:pPr>
            <w:r w:rsidRPr="009B06E0">
              <w:rPr>
                <w:rFonts w:cs="Arial"/>
                <w:b/>
              </w:rPr>
              <w:t>Document description</w:t>
            </w:r>
          </w:p>
        </w:tc>
      </w:tr>
      <w:tr w:rsidR="00BA43CC" w:rsidRPr="009B06E0" w:rsidTr="002D7ADD">
        <w:tc>
          <w:tcPr>
            <w:tcW w:w="573" w:type="dxa"/>
          </w:tcPr>
          <w:p w:rsidR="00BA43CC" w:rsidRPr="009B06E0" w:rsidRDefault="00BA43CC" w:rsidP="00BA43CC">
            <w:pPr>
              <w:pStyle w:val="OutlineNumbered1"/>
              <w:numPr>
                <w:ilvl w:val="0"/>
                <w:numId w:val="5"/>
              </w:numPr>
              <w:tabs>
                <w:tab w:val="clear" w:pos="2960"/>
                <w:tab w:val="num" w:pos="520"/>
              </w:tabs>
              <w:ind w:left="520" w:hanging="520"/>
            </w:pPr>
          </w:p>
        </w:tc>
        <w:tc>
          <w:tcPr>
            <w:tcW w:w="4071" w:type="dxa"/>
          </w:tcPr>
          <w:p w:rsidR="00B934BE" w:rsidRPr="009B06E0" w:rsidRDefault="00BA43CC" w:rsidP="000E5315">
            <w:pPr>
              <w:rPr>
                <w:color w:val="000000"/>
              </w:rPr>
            </w:pPr>
            <w:r w:rsidRPr="009B06E0">
              <w:rPr>
                <w:color w:val="000000"/>
              </w:rPr>
              <w:t xml:space="preserve">The SBR </w:t>
            </w:r>
            <w:r w:rsidR="00D3571A">
              <w:rPr>
                <w:color w:val="000000"/>
              </w:rPr>
              <w:t>Message</w:t>
            </w:r>
            <w:r w:rsidRPr="009B06E0">
              <w:rPr>
                <w:color w:val="000000"/>
              </w:rPr>
              <w:t xml:space="preserve"> Implementation Guide</w:t>
            </w:r>
            <w:r w:rsidR="001B30DF">
              <w:rPr>
                <w:color w:val="000000"/>
              </w:rPr>
              <w:t xml:space="preserve"> (MIG)</w:t>
            </w:r>
            <w:r w:rsidRPr="009B06E0">
              <w:rPr>
                <w:color w:val="000000"/>
              </w:rPr>
              <w:t xml:space="preserve"> </w:t>
            </w:r>
            <w:r w:rsidR="00D3571A">
              <w:rPr>
                <w:color w:val="000000"/>
              </w:rPr>
              <w:t xml:space="preserve">for </w:t>
            </w:r>
            <w:r w:rsidR="004E4173">
              <w:rPr>
                <w:color w:val="000000"/>
              </w:rPr>
              <w:t>Capital Gains Tax Schedule 2012 (cgts.0</w:t>
            </w:r>
            <w:r w:rsidR="00844F44">
              <w:rPr>
                <w:color w:val="000000"/>
              </w:rPr>
              <w:t>00</w:t>
            </w:r>
            <w:r w:rsidR="004E4173">
              <w:rPr>
                <w:color w:val="000000"/>
              </w:rPr>
              <w:t>2)</w:t>
            </w:r>
            <w:r w:rsidR="00D3571A">
              <w:rPr>
                <w:color w:val="000000"/>
              </w:rPr>
              <w:t xml:space="preserve"> </w:t>
            </w:r>
            <w:r w:rsidRPr="009B06E0">
              <w:rPr>
                <w:color w:val="000000"/>
              </w:rPr>
              <w:t xml:space="preserve">document can be downloaded </w:t>
            </w:r>
            <w:r w:rsidR="00B934BE" w:rsidRPr="009B06E0">
              <w:rPr>
                <w:color w:val="000000"/>
              </w:rPr>
              <w:t>at</w:t>
            </w:r>
            <w:r w:rsidR="009C6F29">
              <w:rPr>
                <w:color w:val="000000"/>
              </w:rPr>
              <w:t xml:space="preserve"> </w:t>
            </w:r>
          </w:p>
          <w:p w:rsidR="00BA43CC" w:rsidRPr="009B06E0" w:rsidRDefault="00D3571A" w:rsidP="000E5315">
            <w:pPr>
              <w:rPr>
                <w:rFonts w:cs="Arial"/>
                <w:color w:val="000000"/>
                <w:sz w:val="18"/>
                <w:szCs w:val="18"/>
              </w:rPr>
            </w:pPr>
            <w:hyperlink r:id="rId21" w:history="1">
              <w:r w:rsidRPr="00B42D89">
                <w:rPr>
                  <w:rStyle w:val="Hyperlink"/>
                  <w:rFonts w:cs="Arial"/>
                  <w:noProof w:val="0"/>
                  <w:sz w:val="18"/>
                  <w:szCs w:val="18"/>
                </w:rPr>
                <w:t>https://www.sbr.gov.au/content/myhome/softwaredevelopers/downlo</w:t>
              </w:r>
              <w:r w:rsidRPr="00B42D89">
                <w:rPr>
                  <w:rStyle w:val="Hyperlink"/>
                  <w:rFonts w:cs="Arial"/>
                  <w:noProof w:val="0"/>
                  <w:sz w:val="18"/>
                  <w:szCs w:val="18"/>
                </w:rPr>
                <w:t>a</w:t>
              </w:r>
              <w:r w:rsidRPr="00B42D89">
                <w:rPr>
                  <w:rStyle w:val="Hyperlink"/>
                  <w:rFonts w:cs="Arial"/>
                  <w:noProof w:val="0"/>
                  <w:sz w:val="18"/>
                  <w:szCs w:val="18"/>
                </w:rPr>
                <w:t>ds/ato</w:t>
              </w:r>
            </w:hyperlink>
            <w:r w:rsidR="00122A8D">
              <w:rPr>
                <w:rFonts w:cs="Arial"/>
                <w:color w:val="0000FF"/>
                <w:sz w:val="18"/>
                <w:szCs w:val="18"/>
              </w:rPr>
              <w:t xml:space="preserve"> </w:t>
            </w:r>
            <w:r w:rsidR="009C6F29">
              <w:rPr>
                <w:color w:val="000000"/>
              </w:rPr>
              <w:t>(requires login)</w:t>
            </w:r>
          </w:p>
        </w:tc>
        <w:tc>
          <w:tcPr>
            <w:tcW w:w="4898" w:type="dxa"/>
          </w:tcPr>
          <w:p w:rsidR="00BA43CC" w:rsidRPr="009B06E0" w:rsidRDefault="00D3571A" w:rsidP="00D3571A">
            <w:r>
              <w:t xml:space="preserve">Contains the necessary business and technical information to support software developers in the implementation of the Tax Office’s SBR </w:t>
            </w:r>
            <w:r w:rsidR="00BC5A86">
              <w:t>Capital Gains Tax Schedule</w:t>
            </w:r>
            <w:r w:rsidR="00623BD9">
              <w:t xml:space="preserve"> reporting service.</w:t>
            </w:r>
          </w:p>
          <w:p w:rsidR="00BA43CC" w:rsidRPr="009B06E0" w:rsidRDefault="00BA43CC" w:rsidP="000E5315">
            <w:pPr>
              <w:pStyle w:val="OutlineNumbered1"/>
            </w:pPr>
          </w:p>
        </w:tc>
      </w:tr>
    </w:tbl>
    <w:p w:rsidR="00BA43CC" w:rsidRDefault="00BA43CC" w:rsidP="00BA43CC">
      <w:bookmarkStart w:id="13" w:name="_Toc229564440"/>
      <w:bookmarkStart w:id="14" w:name="_Toc229389103"/>
      <w:bookmarkStart w:id="15" w:name="_Toc229476103"/>
      <w:bookmarkStart w:id="16" w:name="_Toc229476159"/>
      <w:bookmarkStart w:id="17" w:name="_Toc229476306"/>
      <w:bookmarkStart w:id="18" w:name="_Toc229476371"/>
      <w:bookmarkStart w:id="19" w:name="_Toc229484276"/>
      <w:bookmarkStart w:id="20" w:name="_Toc229484841"/>
      <w:bookmarkStart w:id="21" w:name="_Toc229486442"/>
      <w:bookmarkStart w:id="22" w:name="_Toc229564442"/>
      <w:bookmarkStart w:id="23" w:name="_Toc229389104"/>
      <w:bookmarkStart w:id="24" w:name="_Toc229476104"/>
      <w:bookmarkStart w:id="25" w:name="_Toc229476160"/>
      <w:bookmarkStart w:id="26" w:name="_Toc229476307"/>
      <w:bookmarkStart w:id="27" w:name="_Toc229476372"/>
      <w:bookmarkStart w:id="28" w:name="_Toc229484277"/>
      <w:bookmarkStart w:id="29" w:name="_Toc229484842"/>
      <w:bookmarkStart w:id="30" w:name="_Toc229486443"/>
      <w:bookmarkStart w:id="31" w:name="_Toc229564443"/>
      <w:bookmarkStart w:id="32" w:name="_Toc229389105"/>
      <w:bookmarkStart w:id="33" w:name="_Toc229476105"/>
      <w:bookmarkStart w:id="34" w:name="_Toc229476161"/>
      <w:bookmarkStart w:id="35" w:name="_Toc229476308"/>
      <w:bookmarkStart w:id="36" w:name="_Toc229476373"/>
      <w:bookmarkStart w:id="37" w:name="_Toc229484278"/>
      <w:bookmarkStart w:id="38" w:name="_Toc229484843"/>
      <w:bookmarkStart w:id="39" w:name="_Toc229486444"/>
      <w:bookmarkStart w:id="40" w:name="_Toc229564444"/>
      <w:bookmarkStart w:id="41" w:name="_Toc229389106"/>
      <w:bookmarkStart w:id="42" w:name="_Toc229476106"/>
      <w:bookmarkStart w:id="43" w:name="_Toc229476162"/>
      <w:bookmarkStart w:id="44" w:name="_Toc229476309"/>
      <w:bookmarkStart w:id="45" w:name="_Toc229476374"/>
      <w:bookmarkStart w:id="46" w:name="_Toc229484279"/>
      <w:bookmarkStart w:id="47" w:name="_Toc229484844"/>
      <w:bookmarkStart w:id="48" w:name="_Toc229486445"/>
      <w:bookmarkStart w:id="49" w:name="_Toc229564445"/>
      <w:bookmarkStart w:id="50" w:name="_Toc229389107"/>
      <w:bookmarkStart w:id="51" w:name="_Toc229476107"/>
      <w:bookmarkStart w:id="52" w:name="_Toc229476163"/>
      <w:bookmarkStart w:id="53" w:name="_Toc229476310"/>
      <w:bookmarkStart w:id="54" w:name="_Toc229476375"/>
      <w:bookmarkStart w:id="55" w:name="_Toc229484280"/>
      <w:bookmarkStart w:id="56" w:name="_Toc229484845"/>
      <w:bookmarkStart w:id="57" w:name="_Toc229486446"/>
      <w:bookmarkStart w:id="58" w:name="_Toc229564446"/>
      <w:bookmarkStart w:id="59" w:name="_Toc229389108"/>
      <w:bookmarkStart w:id="60" w:name="_Toc229476108"/>
      <w:bookmarkStart w:id="61" w:name="_Toc229476164"/>
      <w:bookmarkStart w:id="62" w:name="_Toc229476311"/>
      <w:bookmarkStart w:id="63" w:name="_Toc229476376"/>
      <w:bookmarkStart w:id="64" w:name="_Toc229484281"/>
      <w:bookmarkStart w:id="65" w:name="_Toc229484846"/>
      <w:bookmarkStart w:id="66" w:name="_Toc229486447"/>
      <w:bookmarkStart w:id="67" w:name="_Toc229564447"/>
      <w:bookmarkStart w:id="68" w:name="_Toc229389110"/>
      <w:bookmarkStart w:id="69" w:name="_Toc229476110"/>
      <w:bookmarkStart w:id="70" w:name="_Toc229476166"/>
      <w:bookmarkStart w:id="71" w:name="_Toc229476313"/>
      <w:bookmarkStart w:id="72" w:name="_Toc229476378"/>
      <w:bookmarkStart w:id="73" w:name="_Toc229484283"/>
      <w:bookmarkStart w:id="74" w:name="_Toc229484848"/>
      <w:bookmarkStart w:id="75" w:name="_Toc229486449"/>
      <w:bookmarkStart w:id="76" w:name="_Toc229564449"/>
      <w:bookmarkStart w:id="77" w:name="_Toc229389112"/>
      <w:bookmarkStart w:id="78" w:name="_Toc229476112"/>
      <w:bookmarkStart w:id="79" w:name="_Toc229476168"/>
      <w:bookmarkStart w:id="80" w:name="_Toc229476315"/>
      <w:bookmarkStart w:id="81" w:name="_Toc229476380"/>
      <w:bookmarkStart w:id="82" w:name="_Toc229484285"/>
      <w:bookmarkStart w:id="83" w:name="_Toc229484850"/>
      <w:bookmarkStart w:id="84" w:name="_Toc229486451"/>
      <w:bookmarkStart w:id="85" w:name="_Toc229564451"/>
      <w:bookmarkStart w:id="86" w:name="_Toc229389113"/>
      <w:bookmarkStart w:id="87" w:name="_Toc229476113"/>
      <w:bookmarkStart w:id="88" w:name="_Toc229476169"/>
      <w:bookmarkStart w:id="89" w:name="_Toc229476316"/>
      <w:bookmarkStart w:id="90" w:name="_Toc229476381"/>
      <w:bookmarkStart w:id="91" w:name="_Toc229484286"/>
      <w:bookmarkStart w:id="92" w:name="_Toc229484851"/>
      <w:bookmarkStart w:id="93" w:name="_Toc229486452"/>
      <w:bookmarkStart w:id="94" w:name="_Toc229564452"/>
      <w:bookmarkStart w:id="95" w:name="_Toc229389114"/>
      <w:bookmarkStart w:id="96" w:name="_Toc229476114"/>
      <w:bookmarkStart w:id="97" w:name="_Toc229476170"/>
      <w:bookmarkStart w:id="98" w:name="_Toc229476317"/>
      <w:bookmarkStart w:id="99" w:name="_Toc229476382"/>
      <w:bookmarkStart w:id="100" w:name="_Toc229484287"/>
      <w:bookmarkStart w:id="101" w:name="_Toc229484852"/>
      <w:bookmarkStart w:id="102" w:name="_Toc229486453"/>
      <w:bookmarkStart w:id="103" w:name="_Toc229564453"/>
      <w:bookmarkStart w:id="104" w:name="_Toc229389115"/>
      <w:bookmarkStart w:id="105" w:name="_Toc229476115"/>
      <w:bookmarkStart w:id="106" w:name="_Toc229476171"/>
      <w:bookmarkStart w:id="107" w:name="_Toc229476318"/>
      <w:bookmarkStart w:id="108" w:name="_Toc229476383"/>
      <w:bookmarkStart w:id="109" w:name="_Toc229484288"/>
      <w:bookmarkStart w:id="110" w:name="_Toc229484853"/>
      <w:bookmarkStart w:id="111" w:name="_Toc229486454"/>
      <w:bookmarkStart w:id="112" w:name="_Toc229564454"/>
      <w:bookmarkStart w:id="113" w:name="STARTINGNUMBE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065FDE" w:rsidRDefault="00065FDE" w:rsidP="00065FDE">
      <w:pPr>
        <w:pStyle w:val="Head2"/>
      </w:pPr>
      <w:bookmarkStart w:id="114" w:name="_Toc322522306"/>
      <w:r>
        <w:t>Purpose of Release</w:t>
      </w:r>
      <w:bookmarkEnd w:id="114"/>
    </w:p>
    <w:p w:rsidR="00065FDE" w:rsidRDefault="00065FDE" w:rsidP="00065FDE">
      <w:pPr>
        <w:pStyle w:val="Maintext"/>
      </w:pPr>
      <w:r>
        <w:t xml:space="preserve">This new release of the </w:t>
      </w:r>
      <w:r w:rsidR="00BC5A86">
        <w:t>cgts</w:t>
      </w:r>
      <w:r>
        <w:t xml:space="preserve">.0002 </w:t>
      </w:r>
      <w:r w:rsidR="000A1383">
        <w:t xml:space="preserve">web </w:t>
      </w:r>
      <w:r>
        <w:t xml:space="preserve">service implements regulatory and ATO business changes for the 2012 tax time cycle. It also brings the </w:t>
      </w:r>
      <w:r w:rsidR="009D177D">
        <w:t>cgts</w:t>
      </w:r>
      <w:r>
        <w:t>.0002</w:t>
      </w:r>
      <w:r w:rsidR="007B6665">
        <w:t xml:space="preserve"> </w:t>
      </w:r>
      <w:r w:rsidR="000A1383">
        <w:t xml:space="preserve">web </w:t>
      </w:r>
      <w:r>
        <w:t xml:space="preserve">service up to date with ATO standards for implementing SBR message services including the use of the XBRL </w:t>
      </w:r>
      <w:r w:rsidR="007B6665">
        <w:t>V</w:t>
      </w:r>
      <w:r>
        <w:t>alidator</w:t>
      </w:r>
      <w:r w:rsidR="00A82113">
        <w:t xml:space="preserve"> (SBR SDK XBRL API)</w:t>
      </w:r>
      <w:r>
        <w:t>.</w:t>
      </w:r>
    </w:p>
    <w:p w:rsidR="00065FDE" w:rsidRDefault="00065FDE" w:rsidP="00065FDE">
      <w:pPr>
        <w:pStyle w:val="Head2"/>
      </w:pPr>
      <w:bookmarkStart w:id="115" w:name="_Toc322522307"/>
      <w:r>
        <w:t>Summary of impact</w:t>
      </w:r>
      <w:r w:rsidR="000A1383">
        <w:t>s</w:t>
      </w:r>
      <w:r>
        <w:t xml:space="preserve"> on software developers</w:t>
      </w:r>
      <w:bookmarkEnd w:id="115"/>
    </w:p>
    <w:p w:rsidR="007B6665" w:rsidRDefault="007B6665" w:rsidP="007B6665">
      <w:pPr>
        <w:pStyle w:val="Maintext"/>
        <w:jc w:val="both"/>
      </w:pPr>
      <w:r>
        <w:t>There are changes to the message structure for cgts.0002 for 2012.</w:t>
      </w:r>
    </w:p>
    <w:p w:rsidR="004E4173" w:rsidRDefault="004E4173" w:rsidP="007B6665">
      <w:pPr>
        <w:pStyle w:val="Maintext"/>
        <w:jc w:val="both"/>
      </w:pPr>
    </w:p>
    <w:p w:rsidR="004E4173" w:rsidRDefault="004E4173" w:rsidP="004E4173">
      <w:pPr>
        <w:pStyle w:val="Maintext"/>
        <w:jc w:val="both"/>
      </w:pPr>
      <w:r>
        <w:t>Software developers who have already certified their software products for cgts.0001</w:t>
      </w:r>
      <w:r w:rsidRPr="000A1383">
        <w:t xml:space="preserve"> will </w:t>
      </w:r>
      <w:r>
        <w:t>be</w:t>
      </w:r>
      <w:r w:rsidRPr="000A1383">
        <w:t xml:space="preserve"> require</w:t>
      </w:r>
      <w:r>
        <w:t>d to re-certify their products for cgts.0002.</w:t>
      </w:r>
    </w:p>
    <w:p w:rsidR="00065FDE" w:rsidRDefault="00065FDE" w:rsidP="00065FDE">
      <w:pPr>
        <w:pStyle w:val="Maintext"/>
      </w:pPr>
    </w:p>
    <w:p w:rsidR="007B6665" w:rsidRDefault="007B6665" w:rsidP="007B6665">
      <w:pPr>
        <w:pStyle w:val="Maintext"/>
        <w:jc w:val="both"/>
      </w:pPr>
      <w:r w:rsidRPr="00B44FB6">
        <w:t>New</w:t>
      </w:r>
      <w:r>
        <w:t xml:space="preserve"> Schematron and</w:t>
      </w:r>
      <w:r w:rsidRPr="00B44FB6">
        <w:t xml:space="preserve"> </w:t>
      </w:r>
      <w:r>
        <w:t>C</w:t>
      </w:r>
      <w:r w:rsidRPr="00B44FB6">
        <w:t xml:space="preserve">onformance </w:t>
      </w:r>
      <w:r>
        <w:t>S</w:t>
      </w:r>
      <w:r w:rsidRPr="00B44FB6">
        <w:t>uite</w:t>
      </w:r>
      <w:r>
        <w:t xml:space="preserve"> for cgts</w:t>
      </w:r>
      <w:r w:rsidRPr="00B44FB6">
        <w:t>.0002 have been created incorporating the changes to the taxonomy</w:t>
      </w:r>
      <w:r>
        <w:t xml:space="preserve">, </w:t>
      </w:r>
      <w:r w:rsidRPr="00B44FB6">
        <w:t>validation rules</w:t>
      </w:r>
      <w:r>
        <w:t xml:space="preserve"> and error response messages</w:t>
      </w:r>
      <w:r w:rsidRPr="00B44FB6">
        <w:t xml:space="preserve"> described in this release note.</w:t>
      </w:r>
    </w:p>
    <w:p w:rsidR="007B6665" w:rsidRDefault="007B6665" w:rsidP="007B6665">
      <w:pPr>
        <w:pStyle w:val="Maintext"/>
        <w:jc w:val="both"/>
      </w:pPr>
    </w:p>
    <w:p w:rsidR="00350A2B" w:rsidRDefault="00350A2B" w:rsidP="00E22991">
      <w:pPr>
        <w:pStyle w:val="Head1"/>
        <w:tabs>
          <w:tab w:val="clear" w:pos="2130"/>
        </w:tabs>
        <w:ind w:left="431" w:hanging="431"/>
      </w:pPr>
      <w:bookmarkStart w:id="116" w:name="_Toc320622936"/>
      <w:bookmarkStart w:id="117" w:name="_Toc320623423"/>
      <w:bookmarkStart w:id="118" w:name="_Toc320623472"/>
      <w:bookmarkStart w:id="119" w:name="_Toc320627879"/>
      <w:bookmarkStart w:id="120" w:name="_Toc322522308"/>
      <w:bookmarkEnd w:id="116"/>
      <w:bookmarkEnd w:id="117"/>
      <w:bookmarkEnd w:id="118"/>
      <w:bookmarkEnd w:id="119"/>
      <w:r>
        <w:lastRenderedPageBreak/>
        <w:t xml:space="preserve">Notes </w:t>
      </w:r>
      <w:r w:rsidR="00380444">
        <w:t>on This Release</w:t>
      </w:r>
      <w:bookmarkEnd w:id="120"/>
    </w:p>
    <w:p w:rsidR="007B6665" w:rsidRDefault="007B6665" w:rsidP="007B6665">
      <w:pPr>
        <w:pStyle w:val="Head2"/>
        <w:jc w:val="both"/>
      </w:pPr>
      <w:bookmarkStart w:id="121" w:name="_Toc311731873"/>
      <w:bookmarkStart w:id="122" w:name="_Toc320536760"/>
      <w:bookmarkStart w:id="123" w:name="_Toc322522309"/>
      <w:r>
        <w:t>XBRL Validator</w:t>
      </w:r>
      <w:bookmarkEnd w:id="122"/>
      <w:r w:rsidR="00A82113" w:rsidRPr="00A82113">
        <w:t xml:space="preserve"> </w:t>
      </w:r>
      <w:r w:rsidR="00A82113">
        <w:t>(sbr sdk xbrl api)</w:t>
      </w:r>
      <w:bookmarkEnd w:id="123"/>
    </w:p>
    <w:p w:rsidR="007B6665" w:rsidRDefault="007B6665" w:rsidP="007B6665">
      <w:pPr>
        <w:pStyle w:val="Maintext"/>
        <w:jc w:val="both"/>
      </w:pPr>
      <w:r>
        <w:t xml:space="preserve">An XBRL Validator has been implemented for the 2012 Capital Gains Tax Schedule (cgts.0002) web service to ensure messages contain only valid XBRL reports. The same XBRL Validator is available to software developers using the SBR SDK. </w:t>
      </w:r>
    </w:p>
    <w:p w:rsidR="007B6665" w:rsidRDefault="007B6665" w:rsidP="007B6665">
      <w:pPr>
        <w:pStyle w:val="Maintext"/>
        <w:jc w:val="both"/>
      </w:pPr>
    </w:p>
    <w:p w:rsidR="009752C8" w:rsidRPr="009752C8" w:rsidRDefault="009752C8" w:rsidP="007B6665">
      <w:pPr>
        <w:pStyle w:val="Maintext"/>
        <w:jc w:val="both"/>
        <w:rPr>
          <w:rFonts w:cs="Arial"/>
          <w:szCs w:val="22"/>
        </w:rPr>
      </w:pPr>
      <w:r w:rsidRPr="009752C8">
        <w:rPr>
          <w:rFonts w:cs="Arial"/>
          <w:szCs w:val="22"/>
        </w:rPr>
        <w:t>Validation Rules which are redundant due to the implementation of the XBRL validator have not been removed from cgts.0002 as a result of this change.</w:t>
      </w:r>
    </w:p>
    <w:p w:rsidR="007B6665" w:rsidRPr="001D6B58" w:rsidRDefault="007B6665" w:rsidP="007B6665">
      <w:pPr>
        <w:pStyle w:val="Maintext"/>
        <w:jc w:val="both"/>
      </w:pPr>
    </w:p>
    <w:p w:rsidR="007B6665" w:rsidRPr="001D6B58" w:rsidRDefault="007B6665" w:rsidP="007B6665">
      <w:pPr>
        <w:pStyle w:val="Maintext"/>
        <w:jc w:val="both"/>
      </w:pPr>
      <w:r w:rsidRPr="001D6B58">
        <w:t xml:space="preserve">Please see the </w:t>
      </w:r>
      <w:r w:rsidR="001D6B58" w:rsidRPr="001D6B58">
        <w:t>Capital Gains Tax Schedule 201</w:t>
      </w:r>
      <w:r w:rsidR="009E3EB4">
        <w:t xml:space="preserve">2 Message Implementation Guide </w:t>
      </w:r>
      <w:r w:rsidR="001D6B58" w:rsidRPr="001D6B58">
        <w:t xml:space="preserve">Version 1.0 </w:t>
      </w:r>
      <w:r w:rsidRPr="001D6B58">
        <w:t>for more details on the XBRL Validator.</w:t>
      </w:r>
    </w:p>
    <w:p w:rsidR="007B6665" w:rsidRDefault="007B6665" w:rsidP="007B6665">
      <w:pPr>
        <w:pStyle w:val="Head2"/>
        <w:jc w:val="both"/>
      </w:pPr>
      <w:bookmarkStart w:id="124" w:name="_Toc320536761"/>
      <w:bookmarkStart w:id="125" w:name="_Toc322522310"/>
      <w:r>
        <w:t>Tax Time 2012 Change Overview (Business Cases)</w:t>
      </w:r>
      <w:bookmarkEnd w:id="124"/>
      <w:bookmarkEnd w:id="125"/>
    </w:p>
    <w:p w:rsidR="007B6665" w:rsidRDefault="007B6665" w:rsidP="007B6665">
      <w:pPr>
        <w:pStyle w:val="Maintext"/>
        <w:jc w:val="both"/>
      </w:pPr>
      <w:r>
        <w:t xml:space="preserve">The following </w:t>
      </w:r>
      <w:r w:rsidR="00486E19">
        <w:t>T</w:t>
      </w:r>
      <w:r>
        <w:t xml:space="preserve">ax </w:t>
      </w:r>
      <w:r w:rsidR="00486E19">
        <w:t>T</w:t>
      </w:r>
      <w:r>
        <w:t xml:space="preserve">ime 2012 business cases have resulted in the change </w:t>
      </w:r>
      <w:r w:rsidR="00C33AD4">
        <w:t xml:space="preserve">to </w:t>
      </w:r>
      <w:r>
        <w:t xml:space="preserve">the </w:t>
      </w:r>
      <w:r w:rsidR="00486E19">
        <w:t xml:space="preserve">2012 Capital Gains Tax Schedule (cgts.0002) </w:t>
      </w:r>
      <w:r>
        <w:t>message.</w:t>
      </w:r>
    </w:p>
    <w:p w:rsidR="001D6B58" w:rsidRDefault="001D6B58" w:rsidP="007B6665">
      <w:pPr>
        <w:pStyle w:val="Maintext"/>
        <w:numPr>
          <w:ins w:id="126" w:author="Michael Camplin" w:date="2012-03-28T17:33:00Z"/>
        </w:numPr>
        <w:jc w:val="both"/>
      </w:pPr>
    </w:p>
    <w:tbl>
      <w:tblPr>
        <w:tblW w:w="9556" w:type="dxa"/>
        <w:tblInd w:w="92" w:type="dxa"/>
        <w:tblLook w:val="0000" w:firstRow="0" w:lastRow="0" w:firstColumn="0" w:lastColumn="0" w:noHBand="0" w:noVBand="0"/>
      </w:tblPr>
      <w:tblGrid>
        <w:gridCol w:w="2896"/>
        <w:gridCol w:w="6660"/>
      </w:tblGrid>
      <w:tr w:rsidR="00525766" w:rsidRPr="000B58DD" w:rsidTr="00525766">
        <w:trPr>
          <w:trHeight w:val="345"/>
        </w:trPr>
        <w:tc>
          <w:tcPr>
            <w:tcW w:w="2896" w:type="dxa"/>
            <w:tcBorders>
              <w:top w:val="single" w:sz="4" w:space="0" w:color="auto"/>
              <w:left w:val="single" w:sz="4" w:space="0" w:color="auto"/>
              <w:bottom w:val="single" w:sz="4" w:space="0" w:color="auto"/>
              <w:right w:val="single" w:sz="4" w:space="0" w:color="auto"/>
            </w:tcBorders>
            <w:shd w:val="clear" w:color="auto" w:fill="C6D9F1"/>
          </w:tcPr>
          <w:p w:rsidR="00525766" w:rsidRPr="00655F32" w:rsidRDefault="00525766" w:rsidP="00525766">
            <w:pPr>
              <w:spacing w:before="120" w:after="120"/>
              <w:rPr>
                <w:rFonts w:cs="Arial"/>
                <w:b/>
              </w:rPr>
            </w:pPr>
            <w:r w:rsidRPr="00655F32">
              <w:rPr>
                <w:rFonts w:cs="Arial"/>
                <w:b/>
              </w:rPr>
              <w:t>Business case ID</w:t>
            </w:r>
          </w:p>
        </w:tc>
        <w:tc>
          <w:tcPr>
            <w:tcW w:w="6660" w:type="dxa"/>
            <w:tcBorders>
              <w:top w:val="single" w:sz="4" w:space="0" w:color="auto"/>
              <w:left w:val="nil"/>
              <w:bottom w:val="single" w:sz="4" w:space="0" w:color="auto"/>
              <w:right w:val="single" w:sz="4" w:space="0" w:color="auto"/>
            </w:tcBorders>
            <w:shd w:val="clear" w:color="auto" w:fill="C6D9F1"/>
          </w:tcPr>
          <w:p w:rsidR="00525766" w:rsidRPr="00655F32" w:rsidRDefault="00525766" w:rsidP="00525766">
            <w:pPr>
              <w:spacing w:before="120" w:after="120"/>
              <w:rPr>
                <w:rFonts w:cs="Arial"/>
                <w:b/>
              </w:rPr>
            </w:pPr>
            <w:r w:rsidRPr="00655F32">
              <w:rPr>
                <w:rFonts w:cs="Arial"/>
                <w:b/>
              </w:rPr>
              <w:t xml:space="preserve">Description </w:t>
            </w:r>
          </w:p>
        </w:tc>
      </w:tr>
      <w:tr w:rsidR="00525766" w:rsidRPr="000B58DD" w:rsidTr="00525766">
        <w:trPr>
          <w:trHeight w:val="368"/>
        </w:trPr>
        <w:tc>
          <w:tcPr>
            <w:tcW w:w="2896" w:type="dxa"/>
            <w:tcBorders>
              <w:top w:val="nil"/>
              <w:left w:val="single" w:sz="4" w:space="0" w:color="auto"/>
              <w:bottom w:val="single" w:sz="4" w:space="0" w:color="auto"/>
              <w:right w:val="single" w:sz="4" w:space="0" w:color="auto"/>
            </w:tcBorders>
            <w:shd w:val="clear" w:color="auto" w:fill="auto"/>
          </w:tcPr>
          <w:p w:rsidR="00525766" w:rsidRPr="00655F32" w:rsidRDefault="00525766" w:rsidP="00525766">
            <w:pPr>
              <w:rPr>
                <w:color w:val="000000"/>
              </w:rPr>
            </w:pPr>
            <w:r w:rsidRPr="00655F32">
              <w:rPr>
                <w:color w:val="000000"/>
              </w:rPr>
              <w:t>BC 2012-0</w:t>
            </w:r>
            <w:r>
              <w:rPr>
                <w:color w:val="000000"/>
              </w:rPr>
              <w:t>01</w:t>
            </w:r>
          </w:p>
        </w:tc>
        <w:tc>
          <w:tcPr>
            <w:tcW w:w="6660" w:type="dxa"/>
            <w:tcBorders>
              <w:top w:val="nil"/>
              <w:left w:val="nil"/>
              <w:bottom w:val="single" w:sz="4" w:space="0" w:color="auto"/>
              <w:right w:val="single" w:sz="4" w:space="0" w:color="auto"/>
            </w:tcBorders>
            <w:shd w:val="clear" w:color="auto" w:fill="auto"/>
          </w:tcPr>
          <w:p w:rsidR="00525766" w:rsidRPr="00CF6E64" w:rsidRDefault="00525766" w:rsidP="00525766">
            <w:pPr>
              <w:pStyle w:val="ReportDescription"/>
              <w:rPr>
                <w:sz w:val="22"/>
                <w:szCs w:val="22"/>
              </w:rPr>
            </w:pPr>
            <w:r w:rsidRPr="00CF6E64">
              <w:rPr>
                <w:sz w:val="22"/>
                <w:szCs w:val="22"/>
              </w:rPr>
              <w:t>Streamline and improve the capital gains tax treatment of earnout agreements</w:t>
            </w:r>
            <w:r w:rsidR="001D6B58">
              <w:rPr>
                <w:sz w:val="22"/>
                <w:szCs w:val="22"/>
              </w:rPr>
              <w:t>.</w:t>
            </w:r>
          </w:p>
          <w:p w:rsidR="00525766" w:rsidRPr="00655F32" w:rsidRDefault="00525766" w:rsidP="00525766">
            <w:pPr>
              <w:rPr>
                <w:color w:val="000000"/>
              </w:rPr>
            </w:pPr>
          </w:p>
        </w:tc>
      </w:tr>
    </w:tbl>
    <w:p w:rsidR="00EB4D48" w:rsidRPr="009B06E0" w:rsidRDefault="003A701F" w:rsidP="00E22991">
      <w:pPr>
        <w:pStyle w:val="Head1"/>
        <w:tabs>
          <w:tab w:val="clear" w:pos="2130"/>
        </w:tabs>
        <w:ind w:left="431" w:hanging="431"/>
      </w:pPr>
      <w:bookmarkStart w:id="127" w:name="_Toc320627884"/>
      <w:bookmarkStart w:id="128" w:name="_Toc320627885"/>
      <w:bookmarkStart w:id="129" w:name="_Toc320627886"/>
      <w:bookmarkStart w:id="130" w:name="_Toc320627887"/>
      <w:bookmarkStart w:id="131" w:name="_Toc320627898"/>
      <w:bookmarkStart w:id="132" w:name="_Toc320627900"/>
      <w:bookmarkStart w:id="133" w:name="_Toc320627901"/>
      <w:bookmarkStart w:id="134" w:name="_Toc320627902"/>
      <w:bookmarkStart w:id="135" w:name="_Toc320627903"/>
      <w:bookmarkStart w:id="136" w:name="_Toc320627904"/>
      <w:bookmarkStart w:id="137" w:name="_Toc320627905"/>
      <w:bookmarkStart w:id="138" w:name="_Toc320517138"/>
      <w:bookmarkStart w:id="139" w:name="_Toc320622942"/>
      <w:bookmarkStart w:id="140" w:name="_Toc320623429"/>
      <w:bookmarkStart w:id="141" w:name="_Toc320623478"/>
      <w:bookmarkStart w:id="142" w:name="_Toc320627907"/>
      <w:bookmarkStart w:id="143" w:name="_Toc320517139"/>
      <w:bookmarkStart w:id="144" w:name="_Toc320622943"/>
      <w:bookmarkStart w:id="145" w:name="_Toc320623430"/>
      <w:bookmarkStart w:id="146" w:name="_Toc320623479"/>
      <w:bookmarkStart w:id="147" w:name="_Toc320627908"/>
      <w:bookmarkStart w:id="148" w:name="_Toc320517140"/>
      <w:bookmarkStart w:id="149" w:name="_Toc320622944"/>
      <w:bookmarkStart w:id="150" w:name="_Toc320623431"/>
      <w:bookmarkStart w:id="151" w:name="_Toc320623480"/>
      <w:bookmarkStart w:id="152" w:name="_Toc320627909"/>
      <w:bookmarkStart w:id="153" w:name="_Toc320517159"/>
      <w:bookmarkStart w:id="154" w:name="_Toc320622963"/>
      <w:bookmarkStart w:id="155" w:name="_Toc320623450"/>
      <w:bookmarkStart w:id="156" w:name="_Toc320623499"/>
      <w:bookmarkStart w:id="157" w:name="_Toc320627928"/>
      <w:bookmarkStart w:id="158" w:name="_Toc320517160"/>
      <w:bookmarkStart w:id="159" w:name="_Toc320622964"/>
      <w:bookmarkStart w:id="160" w:name="_Toc320623451"/>
      <w:bookmarkStart w:id="161" w:name="_Toc320623500"/>
      <w:bookmarkStart w:id="162" w:name="_Toc320627929"/>
      <w:bookmarkStart w:id="163" w:name="_Toc311801595"/>
      <w:bookmarkStart w:id="164" w:name="_Toc311801596"/>
      <w:bookmarkStart w:id="165" w:name="_Toc311801597"/>
      <w:bookmarkStart w:id="166" w:name="_Toc226473071"/>
      <w:bookmarkStart w:id="167" w:name="_Toc228954258"/>
      <w:bookmarkStart w:id="168" w:name="_Toc228954263"/>
      <w:bookmarkStart w:id="169" w:name="_Toc322522311"/>
      <w:bookmarkEnd w:id="0"/>
      <w:bookmarkEnd w:id="121"/>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lastRenderedPageBreak/>
        <w:t>Message Structure Changes</w:t>
      </w:r>
      <w:bookmarkEnd w:id="169"/>
      <w:r w:rsidR="00EB4D48" w:rsidRPr="009B06E0">
        <w:t xml:space="preserve"> </w:t>
      </w:r>
    </w:p>
    <w:p w:rsidR="000629C5" w:rsidRDefault="000629C5" w:rsidP="000629C5">
      <w:pPr>
        <w:pStyle w:val="Maintext"/>
        <w:jc w:val="both"/>
      </w:pPr>
      <w:r>
        <w:t xml:space="preserve">There are changes to the message structure for cgts.0002 for 2012. </w:t>
      </w:r>
    </w:p>
    <w:p w:rsidR="000629C5" w:rsidRDefault="000629C5" w:rsidP="000629C5">
      <w:pPr>
        <w:pStyle w:val="Maintext"/>
        <w:jc w:val="both"/>
      </w:pPr>
    </w:p>
    <w:p w:rsidR="00232935" w:rsidRDefault="004E4173" w:rsidP="00232935">
      <w:pPr>
        <w:pStyle w:val="Head2"/>
        <w:spacing w:before="240"/>
        <w:ind w:left="578" w:hanging="578"/>
      </w:pPr>
      <w:bookmarkStart w:id="170" w:name="_Toc322522312"/>
      <w:r>
        <w:t>Added</w:t>
      </w:r>
      <w:r w:rsidR="00232935">
        <w:t xml:space="preserve"> Elements</w:t>
      </w:r>
      <w:bookmarkEnd w:id="170"/>
    </w:p>
    <w:p w:rsidR="001D6B58" w:rsidRDefault="001D6B58" w:rsidP="000629C5">
      <w:pPr>
        <w:pStyle w:val="Maintext"/>
        <w:jc w:val="both"/>
      </w:pPr>
    </w:p>
    <w:tbl>
      <w:tblPr>
        <w:tblW w:w="5000" w:type="pct"/>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3"/>
        <w:gridCol w:w="6054"/>
        <w:gridCol w:w="2255"/>
      </w:tblGrid>
      <w:tr w:rsidR="00525766" w:rsidRPr="003758F5" w:rsidTr="001D6B58">
        <w:trPr>
          <w:trHeight w:val="353"/>
        </w:trPr>
        <w:tc>
          <w:tcPr>
            <w:tcW w:w="1276" w:type="dxa"/>
            <w:shd w:val="clear" w:color="auto" w:fill="C6D9F1"/>
          </w:tcPr>
          <w:p w:rsidR="00525766" w:rsidRPr="00655F32" w:rsidRDefault="00525766" w:rsidP="00525766">
            <w:pPr>
              <w:spacing w:before="120" w:after="120"/>
              <w:rPr>
                <w:rFonts w:cs="Arial"/>
                <w:b/>
              </w:rPr>
            </w:pPr>
            <w:r w:rsidRPr="00655F32">
              <w:rPr>
                <w:rFonts w:cs="Arial"/>
                <w:b/>
              </w:rPr>
              <w:t>Alias</w:t>
            </w:r>
          </w:p>
        </w:tc>
        <w:tc>
          <w:tcPr>
            <w:tcW w:w="6300" w:type="dxa"/>
            <w:shd w:val="clear" w:color="auto" w:fill="C6D9F1"/>
          </w:tcPr>
          <w:p w:rsidR="00525766" w:rsidRPr="00655F32" w:rsidRDefault="00525766" w:rsidP="00525766">
            <w:pPr>
              <w:spacing w:before="120" w:after="120"/>
              <w:rPr>
                <w:rFonts w:cs="Arial"/>
                <w:b/>
              </w:rPr>
            </w:pPr>
            <w:r w:rsidRPr="00655F32">
              <w:rPr>
                <w:rFonts w:cs="Arial"/>
                <w:b/>
              </w:rPr>
              <w:t>Full XBRL Path</w:t>
            </w:r>
          </w:p>
        </w:tc>
        <w:tc>
          <w:tcPr>
            <w:tcW w:w="2340" w:type="dxa"/>
            <w:shd w:val="clear" w:color="auto" w:fill="C6D9F1"/>
          </w:tcPr>
          <w:p w:rsidR="00525766" w:rsidRPr="00655F32" w:rsidRDefault="00525766" w:rsidP="00525766">
            <w:pPr>
              <w:spacing w:before="120" w:after="120"/>
              <w:rPr>
                <w:rFonts w:cs="Arial"/>
                <w:b/>
              </w:rPr>
            </w:pPr>
            <w:r w:rsidRPr="00655F32">
              <w:rPr>
                <w:rFonts w:cs="Arial"/>
                <w:b/>
              </w:rPr>
              <w:t>Reason</w:t>
            </w:r>
          </w:p>
        </w:tc>
      </w:tr>
      <w:tr w:rsidR="00F46BC3" w:rsidRPr="00B07710" w:rsidTr="001D6B58">
        <w:trPr>
          <w:trHeight w:val="511"/>
        </w:trPr>
        <w:tc>
          <w:tcPr>
            <w:tcW w:w="1276" w:type="dxa"/>
            <w:tcBorders>
              <w:bottom w:val="single" w:sz="4" w:space="0" w:color="auto"/>
            </w:tcBorders>
            <w:shd w:val="clear" w:color="auto" w:fill="auto"/>
          </w:tcPr>
          <w:p w:rsidR="00F46BC3" w:rsidRPr="00B07710" w:rsidRDefault="00F46BC3" w:rsidP="00525766">
            <w:pPr>
              <w:rPr>
                <w:color w:val="000000"/>
              </w:rPr>
            </w:pPr>
            <w:r w:rsidRPr="004B3A20">
              <w:t>CGTS105</w:t>
            </w:r>
          </w:p>
        </w:tc>
        <w:tc>
          <w:tcPr>
            <w:tcW w:w="6300" w:type="dxa"/>
            <w:tcBorders>
              <w:bottom w:val="single" w:sz="4" w:space="0" w:color="auto"/>
            </w:tcBorders>
            <w:shd w:val="clear" w:color="auto" w:fill="auto"/>
          </w:tcPr>
          <w:p w:rsidR="00F46BC3" w:rsidRPr="00B07710" w:rsidRDefault="00F46BC3" w:rsidP="00525766">
            <w:pPr>
              <w:rPr>
                <w:color w:val="000000"/>
              </w:rPr>
            </w:pPr>
            <w:r w:rsidRPr="004B3A20">
              <w:t>CGTS:RP:rvctc3.02.07:CapitalGainsTax.EarnoutArrangementParty.Code IN TUPLE(cgts.0002.lodge.req.02.01:EarnoutArrangements)</w:t>
            </w:r>
          </w:p>
        </w:tc>
        <w:tc>
          <w:tcPr>
            <w:tcW w:w="2340" w:type="dxa"/>
            <w:vMerge w:val="restart"/>
            <w:tcBorders>
              <w:bottom w:val="single" w:sz="4" w:space="0" w:color="auto"/>
            </w:tcBorders>
            <w:shd w:val="clear" w:color="auto" w:fill="auto"/>
            <w:vAlign w:val="center"/>
          </w:tcPr>
          <w:p w:rsidR="00F46BC3" w:rsidRPr="00CF6E64" w:rsidRDefault="00F46BC3" w:rsidP="00525766">
            <w:pPr>
              <w:pStyle w:val="ReportDescription"/>
              <w:rPr>
                <w:sz w:val="22"/>
                <w:szCs w:val="22"/>
              </w:rPr>
            </w:pPr>
            <w:r w:rsidRPr="00525766">
              <w:rPr>
                <w:color w:val="000000"/>
                <w:sz w:val="22"/>
                <w:szCs w:val="22"/>
              </w:rPr>
              <w:t>BC 2012-001 -</w:t>
            </w:r>
            <w:r w:rsidRPr="00CF6E64">
              <w:rPr>
                <w:sz w:val="22"/>
                <w:szCs w:val="22"/>
              </w:rPr>
              <w:t xml:space="preserve"> Streamline and improve the capital gains tax treatment of earnout agreements</w:t>
            </w:r>
          </w:p>
          <w:p w:rsidR="00F46BC3" w:rsidRPr="00B07710" w:rsidRDefault="00F46BC3" w:rsidP="00525766">
            <w:pPr>
              <w:rPr>
                <w:color w:val="000000"/>
              </w:rPr>
            </w:pPr>
          </w:p>
          <w:p w:rsidR="00F46BC3" w:rsidRPr="00B07710" w:rsidRDefault="00F46BC3" w:rsidP="00525766">
            <w:pPr>
              <w:rPr>
                <w:color w:val="000000"/>
              </w:rPr>
            </w:pPr>
          </w:p>
        </w:tc>
      </w:tr>
      <w:tr w:rsidR="00F46BC3" w:rsidRPr="00B07710" w:rsidTr="001D6B58">
        <w:trPr>
          <w:trHeight w:val="511"/>
        </w:trPr>
        <w:tc>
          <w:tcPr>
            <w:tcW w:w="1276" w:type="dxa"/>
            <w:tcBorders>
              <w:bottom w:val="single" w:sz="4" w:space="0" w:color="auto"/>
            </w:tcBorders>
            <w:shd w:val="clear" w:color="auto" w:fill="auto"/>
          </w:tcPr>
          <w:p w:rsidR="00F46BC3" w:rsidRPr="00B07710" w:rsidRDefault="00F46BC3" w:rsidP="00525766">
            <w:pPr>
              <w:rPr>
                <w:color w:val="000000"/>
              </w:rPr>
            </w:pPr>
            <w:r w:rsidRPr="004B3A20">
              <w:t>CGTS106</w:t>
            </w:r>
          </w:p>
        </w:tc>
        <w:tc>
          <w:tcPr>
            <w:tcW w:w="6300" w:type="dxa"/>
            <w:tcBorders>
              <w:bottom w:val="single" w:sz="4" w:space="0" w:color="auto"/>
            </w:tcBorders>
            <w:shd w:val="clear" w:color="auto" w:fill="auto"/>
          </w:tcPr>
          <w:p w:rsidR="00F46BC3" w:rsidRPr="00B07710" w:rsidRDefault="00F46BC3" w:rsidP="00525766">
            <w:pPr>
              <w:rPr>
                <w:color w:val="000000"/>
              </w:rPr>
            </w:pPr>
            <w:r w:rsidRPr="004B3A20">
              <w:t>CGTS:RP:rvctc3.02.06:CapitalGainsTax.EarnoutArrangementYearTotal.Count IN TUPLE(cgts.0002.lodge.req.02.01:EarnoutArrangements)</w:t>
            </w:r>
          </w:p>
        </w:tc>
        <w:tc>
          <w:tcPr>
            <w:tcW w:w="2340" w:type="dxa"/>
            <w:vMerge/>
            <w:tcBorders>
              <w:bottom w:val="single" w:sz="4" w:space="0" w:color="auto"/>
            </w:tcBorders>
            <w:vAlign w:val="center"/>
          </w:tcPr>
          <w:p w:rsidR="00F46BC3" w:rsidRPr="00B07710" w:rsidRDefault="00F46BC3" w:rsidP="00525766">
            <w:pPr>
              <w:rPr>
                <w:color w:val="000000"/>
              </w:rPr>
            </w:pPr>
          </w:p>
        </w:tc>
      </w:tr>
      <w:tr w:rsidR="00F46BC3" w:rsidRPr="00B07710" w:rsidTr="001D6B58">
        <w:trPr>
          <w:trHeight w:val="510"/>
        </w:trPr>
        <w:tc>
          <w:tcPr>
            <w:tcW w:w="1276" w:type="dxa"/>
            <w:shd w:val="clear" w:color="auto" w:fill="auto"/>
          </w:tcPr>
          <w:p w:rsidR="00F46BC3" w:rsidRPr="00B07710" w:rsidRDefault="00F46BC3" w:rsidP="00525766">
            <w:pPr>
              <w:rPr>
                <w:color w:val="000000"/>
              </w:rPr>
            </w:pPr>
            <w:r w:rsidRPr="004B3A20">
              <w:t>CGTS107</w:t>
            </w:r>
          </w:p>
        </w:tc>
        <w:tc>
          <w:tcPr>
            <w:tcW w:w="6300" w:type="dxa"/>
            <w:shd w:val="clear" w:color="auto" w:fill="auto"/>
          </w:tcPr>
          <w:p w:rsidR="00F46BC3" w:rsidRPr="00B07710" w:rsidRDefault="00F46BC3" w:rsidP="00525766">
            <w:pPr>
              <w:rPr>
                <w:color w:val="000000"/>
              </w:rPr>
            </w:pPr>
            <w:r w:rsidRPr="004B3A20">
              <w:t>CGTS:RP:rvctc3.02.06:CapitalGainsTax.EarnoutArrangementApplicableYear.Number IN TUPLE(cgts.0002.lodge.req.02.01:EarnoutArrangements)</w:t>
            </w:r>
          </w:p>
        </w:tc>
        <w:tc>
          <w:tcPr>
            <w:tcW w:w="2340" w:type="dxa"/>
            <w:vMerge/>
            <w:shd w:val="clear" w:color="auto" w:fill="auto"/>
            <w:vAlign w:val="center"/>
          </w:tcPr>
          <w:p w:rsidR="00F46BC3" w:rsidRPr="00B07710" w:rsidRDefault="00F46BC3" w:rsidP="00525766">
            <w:pPr>
              <w:rPr>
                <w:color w:val="000000"/>
              </w:rPr>
            </w:pPr>
          </w:p>
        </w:tc>
      </w:tr>
      <w:tr w:rsidR="00F46BC3" w:rsidRPr="00B07710" w:rsidTr="001D6B58">
        <w:trPr>
          <w:trHeight w:val="510"/>
        </w:trPr>
        <w:tc>
          <w:tcPr>
            <w:tcW w:w="1276" w:type="dxa"/>
            <w:shd w:val="clear" w:color="auto" w:fill="auto"/>
          </w:tcPr>
          <w:p w:rsidR="00F46BC3" w:rsidRPr="00B07710" w:rsidRDefault="00F46BC3" w:rsidP="00525766">
            <w:pPr>
              <w:rPr>
                <w:color w:val="000000"/>
              </w:rPr>
            </w:pPr>
            <w:r w:rsidRPr="004B3A20">
              <w:t>CGTS108</w:t>
            </w:r>
          </w:p>
        </w:tc>
        <w:tc>
          <w:tcPr>
            <w:tcW w:w="6300" w:type="dxa"/>
            <w:shd w:val="clear" w:color="auto" w:fill="auto"/>
          </w:tcPr>
          <w:p w:rsidR="00F46BC3" w:rsidRPr="00B07710" w:rsidRDefault="00F46BC3" w:rsidP="00525766">
            <w:pPr>
              <w:rPr>
                <w:color w:val="000000"/>
              </w:rPr>
            </w:pPr>
            <w:r w:rsidRPr="004B3A20">
              <w:t>CGTS:RP:rvctc3.02.06:CapitalGainsTax.EarnoutArrangementEstimatedCapitalProceedsTotal.Amount IN TUPLE(cgts.0002.lodge.req.02.01:EarnoutArrangements)</w:t>
            </w:r>
          </w:p>
        </w:tc>
        <w:tc>
          <w:tcPr>
            <w:tcW w:w="2340" w:type="dxa"/>
            <w:vMerge/>
            <w:vAlign w:val="center"/>
          </w:tcPr>
          <w:p w:rsidR="00F46BC3" w:rsidRPr="00B07710" w:rsidRDefault="00F46BC3" w:rsidP="00525766">
            <w:pPr>
              <w:rPr>
                <w:color w:val="000000"/>
              </w:rPr>
            </w:pPr>
          </w:p>
        </w:tc>
      </w:tr>
      <w:tr w:rsidR="00F46BC3" w:rsidRPr="00B07710" w:rsidTr="001D6B58">
        <w:trPr>
          <w:trHeight w:val="510"/>
        </w:trPr>
        <w:tc>
          <w:tcPr>
            <w:tcW w:w="1276" w:type="dxa"/>
            <w:shd w:val="clear" w:color="auto" w:fill="auto"/>
          </w:tcPr>
          <w:p w:rsidR="00F46BC3" w:rsidRPr="00B07710" w:rsidRDefault="00F46BC3" w:rsidP="00525766">
            <w:pPr>
              <w:rPr>
                <w:color w:val="000000"/>
              </w:rPr>
            </w:pPr>
            <w:r w:rsidRPr="004B3A20">
              <w:t>CGTS109</w:t>
            </w:r>
          </w:p>
        </w:tc>
        <w:tc>
          <w:tcPr>
            <w:tcW w:w="6300" w:type="dxa"/>
            <w:shd w:val="clear" w:color="auto" w:fill="auto"/>
          </w:tcPr>
          <w:p w:rsidR="00F46BC3" w:rsidRPr="00B07710" w:rsidRDefault="00F46BC3" w:rsidP="00525766">
            <w:pPr>
              <w:rPr>
                <w:color w:val="000000"/>
              </w:rPr>
            </w:pPr>
            <w:r w:rsidRPr="004B3A20">
              <w:t>CGTS:RP:rvctc3.02.06:CapitalGainsTax.CapitalGainsorLossesOnEarnoutArrangementNet.Amount IN TUPLE(cgts.0002.lodge.req.02.01:EarnoutArrangements)</w:t>
            </w:r>
          </w:p>
        </w:tc>
        <w:tc>
          <w:tcPr>
            <w:tcW w:w="2340" w:type="dxa"/>
            <w:vMerge/>
            <w:vAlign w:val="center"/>
          </w:tcPr>
          <w:p w:rsidR="00F46BC3" w:rsidRPr="00B07710" w:rsidRDefault="00F46BC3" w:rsidP="00525766">
            <w:pPr>
              <w:rPr>
                <w:color w:val="000000"/>
              </w:rPr>
            </w:pPr>
          </w:p>
        </w:tc>
      </w:tr>
    </w:tbl>
    <w:p w:rsidR="009E3EB4" w:rsidRDefault="009E3EB4" w:rsidP="009E3EB4">
      <w:bookmarkStart w:id="171" w:name="_Toc320622966"/>
      <w:bookmarkStart w:id="172" w:name="_Toc320623453"/>
      <w:bookmarkStart w:id="173" w:name="_Toc320623503"/>
      <w:bookmarkStart w:id="174" w:name="_Toc320627932"/>
      <w:bookmarkStart w:id="175" w:name="_Toc320517163"/>
      <w:bookmarkStart w:id="176" w:name="_Toc320622967"/>
      <w:bookmarkStart w:id="177" w:name="_Toc320623454"/>
      <w:bookmarkStart w:id="178" w:name="_Toc320623504"/>
      <w:bookmarkStart w:id="179" w:name="_Toc320627933"/>
      <w:bookmarkStart w:id="180" w:name="_Toc238611033"/>
      <w:bookmarkEnd w:id="171"/>
      <w:bookmarkEnd w:id="172"/>
      <w:bookmarkEnd w:id="173"/>
      <w:bookmarkEnd w:id="174"/>
      <w:bookmarkEnd w:id="175"/>
      <w:bookmarkEnd w:id="176"/>
      <w:bookmarkEnd w:id="177"/>
      <w:bookmarkEnd w:id="178"/>
      <w:bookmarkEnd w:id="179"/>
    </w:p>
    <w:p w:rsidR="009E3EB4" w:rsidRPr="009E3EB4" w:rsidRDefault="009E3EB4" w:rsidP="009E3EB4"/>
    <w:p w:rsidR="003A701F" w:rsidRPr="009B06E0" w:rsidRDefault="003A701F" w:rsidP="003A701F">
      <w:pPr>
        <w:pStyle w:val="Head2"/>
        <w:spacing w:before="240"/>
        <w:ind w:left="578" w:hanging="578"/>
      </w:pPr>
      <w:bookmarkStart w:id="181" w:name="_Toc322522313"/>
      <w:r>
        <w:t>Removed Elements</w:t>
      </w:r>
      <w:bookmarkEnd w:id="181"/>
    </w:p>
    <w:p w:rsidR="003A701F" w:rsidRPr="009B06E0" w:rsidRDefault="003A701F" w:rsidP="003A701F">
      <w:pPr>
        <w:pStyle w:val="Maintext"/>
      </w:pPr>
      <w:r>
        <w:t>None</w:t>
      </w:r>
    </w:p>
    <w:p w:rsidR="003A701F" w:rsidRPr="009B06E0" w:rsidRDefault="003A701F" w:rsidP="003A701F">
      <w:pPr>
        <w:pStyle w:val="Head2"/>
        <w:spacing w:before="240"/>
        <w:ind w:left="578" w:hanging="578"/>
      </w:pPr>
      <w:bookmarkStart w:id="182" w:name="_Toc311801605"/>
      <w:bookmarkStart w:id="183" w:name="_Toc311801607"/>
      <w:bookmarkStart w:id="184" w:name="_Toc311801608"/>
      <w:bookmarkStart w:id="185" w:name="_Toc311801609"/>
      <w:bookmarkStart w:id="186" w:name="_Toc311801610"/>
      <w:bookmarkStart w:id="187" w:name="_Toc311801611"/>
      <w:bookmarkStart w:id="188" w:name="_Toc238611034"/>
      <w:bookmarkStart w:id="189" w:name="_Toc322522314"/>
      <w:bookmarkEnd w:id="180"/>
      <w:bookmarkEnd w:id="182"/>
      <w:bookmarkEnd w:id="183"/>
      <w:bookmarkEnd w:id="184"/>
      <w:bookmarkEnd w:id="185"/>
      <w:bookmarkEnd w:id="186"/>
      <w:bookmarkEnd w:id="187"/>
      <w:r>
        <w:t>Updated Elements</w:t>
      </w:r>
      <w:bookmarkEnd w:id="189"/>
    </w:p>
    <w:p w:rsidR="003A701F" w:rsidRPr="009B06E0" w:rsidRDefault="003A701F" w:rsidP="003A701F">
      <w:pPr>
        <w:pStyle w:val="Maintext"/>
      </w:pPr>
      <w:r>
        <w:t>None</w:t>
      </w:r>
    </w:p>
    <w:p w:rsidR="00A55605" w:rsidRDefault="00A55605" w:rsidP="00A55605">
      <w:pPr>
        <w:pStyle w:val="Head1"/>
        <w:tabs>
          <w:tab w:val="clear" w:pos="2130"/>
        </w:tabs>
        <w:ind w:left="431" w:hanging="431"/>
      </w:pPr>
      <w:bookmarkStart w:id="190" w:name="_Toc311801618"/>
      <w:bookmarkStart w:id="191" w:name="_Toc311801636"/>
      <w:bookmarkStart w:id="192" w:name="_Toc311801655"/>
      <w:bookmarkStart w:id="193" w:name="_Toc311801663"/>
      <w:bookmarkStart w:id="194" w:name="_Toc311801700"/>
      <w:bookmarkStart w:id="195" w:name="_Toc322522315"/>
      <w:bookmarkEnd w:id="188"/>
      <w:bookmarkEnd w:id="190"/>
      <w:bookmarkEnd w:id="191"/>
      <w:bookmarkEnd w:id="192"/>
      <w:bookmarkEnd w:id="193"/>
      <w:bookmarkEnd w:id="194"/>
      <w:r>
        <w:lastRenderedPageBreak/>
        <w:t>Changes to Validation Rules</w:t>
      </w:r>
      <w:bookmarkEnd w:id="195"/>
    </w:p>
    <w:p w:rsidR="001D6B58" w:rsidRDefault="001D6B58" w:rsidP="001D6B58">
      <w:pPr>
        <w:pStyle w:val="Maintext"/>
        <w:jc w:val="both"/>
      </w:pPr>
      <w:r>
        <w:t xml:space="preserve">There are changes to the validation rules for cgts.0002 for 2012. </w:t>
      </w:r>
    </w:p>
    <w:p w:rsidR="001D6B58" w:rsidRPr="001D6B58" w:rsidRDefault="001D6B58" w:rsidP="001D6B58">
      <w:pPr>
        <w:pStyle w:val="Maintext"/>
      </w:pPr>
    </w:p>
    <w:p w:rsidR="00A55605" w:rsidRPr="009B06E0" w:rsidRDefault="00A55605" w:rsidP="00A55605">
      <w:pPr>
        <w:pStyle w:val="Head2"/>
        <w:spacing w:before="240"/>
        <w:ind w:left="578" w:hanging="578"/>
      </w:pPr>
      <w:bookmarkStart w:id="196" w:name="_Toc322522316"/>
      <w:r>
        <w:t>Added validation Rules</w:t>
      </w:r>
      <w:bookmarkEnd w:id="196"/>
    </w:p>
    <w:tbl>
      <w:tblPr>
        <w:tblW w:w="93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6"/>
        <w:gridCol w:w="6840"/>
      </w:tblGrid>
      <w:tr w:rsidR="00A55605" w:rsidRPr="001208FD" w:rsidTr="00A55605">
        <w:trPr>
          <w:trHeight w:val="285"/>
        </w:trPr>
        <w:tc>
          <w:tcPr>
            <w:tcW w:w="2536" w:type="dxa"/>
            <w:shd w:val="clear" w:color="auto" w:fill="C5D9F1"/>
            <w:noWrap/>
            <w:vAlign w:val="bottom"/>
          </w:tcPr>
          <w:p w:rsidR="00A55605" w:rsidRPr="00B07710" w:rsidRDefault="00A55605" w:rsidP="00A55605">
            <w:pPr>
              <w:spacing w:before="120" w:after="120"/>
              <w:rPr>
                <w:rFonts w:cs="Arial"/>
                <w:b/>
              </w:rPr>
            </w:pPr>
            <w:r w:rsidRPr="00B07710">
              <w:rPr>
                <w:rFonts w:cs="Arial"/>
                <w:b/>
              </w:rPr>
              <w:t>Schematron ID</w:t>
            </w:r>
          </w:p>
        </w:tc>
        <w:tc>
          <w:tcPr>
            <w:tcW w:w="6840" w:type="dxa"/>
            <w:shd w:val="clear" w:color="auto" w:fill="C5D9F1"/>
            <w:noWrap/>
            <w:vAlign w:val="bottom"/>
          </w:tcPr>
          <w:p w:rsidR="00A55605" w:rsidRPr="00B07710" w:rsidRDefault="00A55605" w:rsidP="00A55605">
            <w:pPr>
              <w:spacing w:before="120" w:after="120"/>
              <w:rPr>
                <w:rFonts w:cs="Arial"/>
                <w:b/>
              </w:rPr>
            </w:pPr>
            <w:r w:rsidRPr="00B07710">
              <w:rPr>
                <w:rFonts w:cs="Arial"/>
                <w:b/>
              </w:rPr>
              <w:t>Reason for Change</w:t>
            </w:r>
          </w:p>
        </w:tc>
      </w:tr>
      <w:tr w:rsidR="00A55605" w:rsidRPr="001208FD" w:rsidTr="00A55605">
        <w:trPr>
          <w:trHeight w:val="255"/>
        </w:trPr>
        <w:tc>
          <w:tcPr>
            <w:tcW w:w="2536" w:type="dxa"/>
            <w:shd w:val="clear" w:color="auto" w:fill="auto"/>
          </w:tcPr>
          <w:p w:rsidR="00A55605" w:rsidRPr="005C738C" w:rsidRDefault="00A55605" w:rsidP="00A55605">
            <w:pPr>
              <w:rPr>
                <w:color w:val="000000"/>
                <w:szCs w:val="22"/>
              </w:rPr>
            </w:pPr>
            <w:r w:rsidRPr="005C738C">
              <w:rPr>
                <w:rFonts w:cs="Arial"/>
                <w:szCs w:val="22"/>
              </w:rPr>
              <w:t>VR.ATO.CGTS.402124</w:t>
            </w:r>
          </w:p>
        </w:tc>
        <w:tc>
          <w:tcPr>
            <w:tcW w:w="6840" w:type="dxa"/>
            <w:vMerge w:val="restart"/>
            <w:shd w:val="clear" w:color="auto" w:fill="auto"/>
          </w:tcPr>
          <w:p w:rsidR="00A55605" w:rsidRPr="00CF6E64" w:rsidRDefault="00A55605" w:rsidP="00A55605">
            <w:pPr>
              <w:pStyle w:val="ReportDescription"/>
              <w:rPr>
                <w:sz w:val="22"/>
                <w:szCs w:val="22"/>
              </w:rPr>
            </w:pPr>
            <w:r w:rsidRPr="00525766">
              <w:rPr>
                <w:color w:val="000000"/>
                <w:sz w:val="22"/>
                <w:szCs w:val="22"/>
              </w:rPr>
              <w:t>BC 2012-001 -</w:t>
            </w:r>
            <w:r w:rsidRPr="00CF6E64">
              <w:rPr>
                <w:sz w:val="22"/>
                <w:szCs w:val="22"/>
              </w:rPr>
              <w:t xml:space="preserve"> Streamline and improve the capital gains tax treatment of earnout agreements</w:t>
            </w:r>
          </w:p>
          <w:p w:rsidR="00A55605" w:rsidRPr="006A48F0" w:rsidRDefault="00A55605" w:rsidP="00A55605">
            <w:pPr>
              <w:rPr>
                <w:color w:val="000000"/>
              </w:rPr>
            </w:pPr>
          </w:p>
        </w:tc>
      </w:tr>
      <w:tr w:rsidR="00A55605" w:rsidRPr="001208FD" w:rsidTr="00A55605">
        <w:trPr>
          <w:trHeight w:val="255"/>
        </w:trPr>
        <w:tc>
          <w:tcPr>
            <w:tcW w:w="2536" w:type="dxa"/>
            <w:shd w:val="clear" w:color="auto" w:fill="auto"/>
          </w:tcPr>
          <w:p w:rsidR="00A55605" w:rsidRPr="005C738C" w:rsidRDefault="00A55605" w:rsidP="00A55605">
            <w:pPr>
              <w:rPr>
                <w:color w:val="000000"/>
                <w:szCs w:val="22"/>
              </w:rPr>
            </w:pPr>
            <w:r w:rsidRPr="005C738C">
              <w:rPr>
                <w:rFonts w:cs="Arial"/>
                <w:szCs w:val="22"/>
              </w:rPr>
              <w:t>VR.ATO.CGTS.402125</w:t>
            </w:r>
          </w:p>
        </w:tc>
        <w:tc>
          <w:tcPr>
            <w:tcW w:w="6840" w:type="dxa"/>
            <w:vMerge/>
            <w:shd w:val="clear" w:color="auto" w:fill="auto"/>
            <w:vAlign w:val="center"/>
          </w:tcPr>
          <w:p w:rsidR="00A55605" w:rsidRPr="006A48F0" w:rsidRDefault="00A55605" w:rsidP="00A55605">
            <w:pPr>
              <w:rPr>
                <w:color w:val="000000"/>
              </w:rPr>
            </w:pPr>
          </w:p>
        </w:tc>
      </w:tr>
      <w:tr w:rsidR="00A55605" w:rsidRPr="001208FD" w:rsidTr="00A55605">
        <w:trPr>
          <w:trHeight w:val="255"/>
        </w:trPr>
        <w:tc>
          <w:tcPr>
            <w:tcW w:w="2536" w:type="dxa"/>
            <w:shd w:val="clear" w:color="auto" w:fill="auto"/>
          </w:tcPr>
          <w:p w:rsidR="00A55605" w:rsidRPr="005C738C" w:rsidRDefault="00A55605" w:rsidP="00A55605">
            <w:pPr>
              <w:rPr>
                <w:color w:val="000000"/>
                <w:szCs w:val="22"/>
              </w:rPr>
            </w:pPr>
            <w:r w:rsidRPr="005C738C">
              <w:rPr>
                <w:rFonts w:cs="Arial"/>
                <w:szCs w:val="22"/>
              </w:rPr>
              <w:t>VR.ATO.CGTS.402126</w:t>
            </w:r>
          </w:p>
        </w:tc>
        <w:tc>
          <w:tcPr>
            <w:tcW w:w="6840" w:type="dxa"/>
            <w:vMerge/>
            <w:vAlign w:val="center"/>
          </w:tcPr>
          <w:p w:rsidR="00A55605" w:rsidRPr="006A48F0" w:rsidRDefault="00A55605" w:rsidP="00A55605">
            <w:pPr>
              <w:rPr>
                <w:color w:val="000000"/>
              </w:rPr>
            </w:pPr>
          </w:p>
        </w:tc>
      </w:tr>
      <w:tr w:rsidR="00A55605" w:rsidRPr="001208FD" w:rsidTr="00A55605">
        <w:trPr>
          <w:trHeight w:val="255"/>
        </w:trPr>
        <w:tc>
          <w:tcPr>
            <w:tcW w:w="2536" w:type="dxa"/>
            <w:shd w:val="clear" w:color="auto" w:fill="auto"/>
          </w:tcPr>
          <w:p w:rsidR="00A55605" w:rsidRPr="005C738C" w:rsidRDefault="00A55605" w:rsidP="00A55605">
            <w:pPr>
              <w:rPr>
                <w:color w:val="000000"/>
                <w:szCs w:val="22"/>
              </w:rPr>
            </w:pPr>
            <w:r w:rsidRPr="005C738C">
              <w:rPr>
                <w:rFonts w:cs="Arial"/>
                <w:szCs w:val="22"/>
              </w:rPr>
              <w:t>VR.ATO.CGTS.402127</w:t>
            </w:r>
          </w:p>
        </w:tc>
        <w:tc>
          <w:tcPr>
            <w:tcW w:w="6840" w:type="dxa"/>
            <w:vMerge/>
            <w:vAlign w:val="center"/>
          </w:tcPr>
          <w:p w:rsidR="00A55605" w:rsidRPr="006A48F0" w:rsidRDefault="00A55605" w:rsidP="00A55605">
            <w:pPr>
              <w:rPr>
                <w:color w:val="000000"/>
              </w:rPr>
            </w:pPr>
          </w:p>
        </w:tc>
      </w:tr>
      <w:tr w:rsidR="00A55605" w:rsidRPr="001208FD" w:rsidTr="00A55605">
        <w:trPr>
          <w:trHeight w:val="255"/>
        </w:trPr>
        <w:tc>
          <w:tcPr>
            <w:tcW w:w="2536" w:type="dxa"/>
            <w:shd w:val="clear" w:color="auto" w:fill="auto"/>
          </w:tcPr>
          <w:p w:rsidR="00A55605" w:rsidRPr="005C738C" w:rsidRDefault="00A55605" w:rsidP="00A55605">
            <w:pPr>
              <w:rPr>
                <w:color w:val="000000"/>
                <w:szCs w:val="22"/>
              </w:rPr>
            </w:pPr>
            <w:r w:rsidRPr="005C738C">
              <w:rPr>
                <w:rFonts w:cs="Arial"/>
                <w:szCs w:val="22"/>
              </w:rPr>
              <w:t>VR.ATO.CGTS.402132</w:t>
            </w:r>
          </w:p>
        </w:tc>
        <w:tc>
          <w:tcPr>
            <w:tcW w:w="6840" w:type="dxa"/>
            <w:vMerge/>
            <w:vAlign w:val="center"/>
          </w:tcPr>
          <w:p w:rsidR="00A55605" w:rsidRPr="006A48F0" w:rsidRDefault="00A55605" w:rsidP="00A55605">
            <w:pPr>
              <w:rPr>
                <w:color w:val="000000"/>
              </w:rPr>
            </w:pPr>
          </w:p>
        </w:tc>
      </w:tr>
      <w:tr w:rsidR="00A55605" w:rsidRPr="001208FD" w:rsidTr="00A55605">
        <w:trPr>
          <w:trHeight w:val="255"/>
        </w:trPr>
        <w:tc>
          <w:tcPr>
            <w:tcW w:w="2536" w:type="dxa"/>
            <w:shd w:val="clear" w:color="auto" w:fill="auto"/>
          </w:tcPr>
          <w:p w:rsidR="00A55605" w:rsidRPr="005C738C" w:rsidRDefault="00A55605" w:rsidP="00A55605">
            <w:pPr>
              <w:rPr>
                <w:color w:val="000000"/>
                <w:szCs w:val="22"/>
              </w:rPr>
            </w:pPr>
            <w:r w:rsidRPr="005C738C">
              <w:rPr>
                <w:rFonts w:cs="Arial"/>
                <w:szCs w:val="22"/>
              </w:rPr>
              <w:t>VR.ATO.CGTS.402128</w:t>
            </w:r>
            <w:r w:rsidRPr="005C738C" w:rsidDel="00216DC8">
              <w:rPr>
                <w:rFonts w:cs="Arial"/>
                <w:szCs w:val="22"/>
              </w:rPr>
              <w:t xml:space="preserve"> </w:t>
            </w:r>
          </w:p>
        </w:tc>
        <w:tc>
          <w:tcPr>
            <w:tcW w:w="6840" w:type="dxa"/>
            <w:vMerge/>
            <w:vAlign w:val="center"/>
          </w:tcPr>
          <w:p w:rsidR="00A55605" w:rsidRPr="006A48F0" w:rsidRDefault="00A55605" w:rsidP="00A55605">
            <w:pPr>
              <w:rPr>
                <w:color w:val="000000"/>
              </w:rPr>
            </w:pPr>
          </w:p>
        </w:tc>
      </w:tr>
      <w:tr w:rsidR="00A55605" w:rsidRPr="001208FD" w:rsidTr="00A55605">
        <w:trPr>
          <w:trHeight w:val="255"/>
        </w:trPr>
        <w:tc>
          <w:tcPr>
            <w:tcW w:w="2536" w:type="dxa"/>
            <w:shd w:val="clear" w:color="auto" w:fill="auto"/>
          </w:tcPr>
          <w:p w:rsidR="00A55605" w:rsidRPr="005C738C" w:rsidRDefault="00A55605" w:rsidP="00A55605">
            <w:pPr>
              <w:rPr>
                <w:color w:val="000000"/>
                <w:szCs w:val="22"/>
              </w:rPr>
            </w:pPr>
            <w:r w:rsidRPr="005C738C">
              <w:rPr>
                <w:rFonts w:cs="Arial"/>
                <w:szCs w:val="22"/>
              </w:rPr>
              <w:t>VR.ATO.CGTS.402129</w:t>
            </w:r>
          </w:p>
        </w:tc>
        <w:tc>
          <w:tcPr>
            <w:tcW w:w="6840" w:type="dxa"/>
            <w:vMerge/>
            <w:vAlign w:val="center"/>
          </w:tcPr>
          <w:p w:rsidR="00A55605" w:rsidRPr="006A48F0" w:rsidRDefault="00A55605" w:rsidP="00A55605">
            <w:pPr>
              <w:rPr>
                <w:color w:val="000000"/>
              </w:rPr>
            </w:pPr>
          </w:p>
        </w:tc>
      </w:tr>
    </w:tbl>
    <w:p w:rsidR="00A55605" w:rsidRDefault="00A55605" w:rsidP="00A55605">
      <w:pPr>
        <w:pStyle w:val="Maintext"/>
      </w:pPr>
    </w:p>
    <w:p w:rsidR="00A55605" w:rsidRDefault="00A55605" w:rsidP="00A55605">
      <w:pPr>
        <w:pStyle w:val="Maintext"/>
      </w:pPr>
    </w:p>
    <w:p w:rsidR="00A55605" w:rsidRDefault="00A55605" w:rsidP="00A55605">
      <w:pPr>
        <w:pStyle w:val="Head2"/>
        <w:spacing w:before="240"/>
        <w:ind w:left="578" w:hanging="578"/>
      </w:pPr>
      <w:bookmarkStart w:id="197" w:name="_Toc322522317"/>
      <w:r>
        <w:t>Removed validation Rules</w:t>
      </w:r>
      <w:bookmarkEnd w:id="197"/>
    </w:p>
    <w:p w:rsidR="00A55605" w:rsidRDefault="00844F44" w:rsidP="00A55605">
      <w:pPr>
        <w:pStyle w:val="Maintext"/>
      </w:pPr>
      <w:r>
        <w:t>None</w:t>
      </w:r>
    </w:p>
    <w:p w:rsidR="00A55605" w:rsidRDefault="00A55605" w:rsidP="00A55605">
      <w:pPr>
        <w:pStyle w:val="Head2"/>
        <w:spacing w:before="240"/>
        <w:ind w:left="578" w:hanging="578"/>
      </w:pPr>
      <w:bookmarkStart w:id="198" w:name="_Toc312077624"/>
      <w:bookmarkStart w:id="199" w:name="_Toc322522318"/>
      <w:r>
        <w:t>Updated validation Rules</w:t>
      </w:r>
      <w:bookmarkEnd w:id="198"/>
      <w:bookmarkEnd w:id="199"/>
    </w:p>
    <w:p w:rsidR="00844F44" w:rsidRPr="00844F44" w:rsidRDefault="00844F44" w:rsidP="00844F44">
      <w:pPr>
        <w:pStyle w:val="Maintext"/>
      </w:pPr>
      <w:r>
        <w:t>None</w:t>
      </w:r>
    </w:p>
    <w:p w:rsidR="006B0513" w:rsidRDefault="00C71BC6" w:rsidP="00380444">
      <w:pPr>
        <w:pStyle w:val="Head1"/>
        <w:tabs>
          <w:tab w:val="clear" w:pos="2130"/>
        </w:tabs>
        <w:ind w:left="431" w:hanging="431"/>
      </w:pPr>
      <w:bookmarkStart w:id="200" w:name="_Toc322522319"/>
      <w:r>
        <w:lastRenderedPageBreak/>
        <w:t>Cha</w:t>
      </w:r>
      <w:r w:rsidR="007F4E93">
        <w:t>nges to Error Response Messages</w:t>
      </w:r>
      <w:bookmarkEnd w:id="200"/>
    </w:p>
    <w:p w:rsidR="001D6B58" w:rsidRDefault="001D6B58" w:rsidP="001D6B58">
      <w:pPr>
        <w:pStyle w:val="Maintext"/>
        <w:jc w:val="both"/>
      </w:pPr>
      <w:r>
        <w:t xml:space="preserve">There are changes to the error response messages for cgts.0002 for 2012. </w:t>
      </w:r>
    </w:p>
    <w:p w:rsidR="001D6B58" w:rsidRDefault="001D6B58" w:rsidP="00564AEC">
      <w:pPr>
        <w:pStyle w:val="Maintext"/>
      </w:pPr>
    </w:p>
    <w:p w:rsidR="00564AEC" w:rsidRPr="00564AEC" w:rsidRDefault="00564AEC" w:rsidP="00564AEC">
      <w:pPr>
        <w:pStyle w:val="Maintext"/>
      </w:pPr>
      <w:r w:rsidRPr="00A277FF">
        <w:t>SBR messages can be downloaded from the SBR Developer site at</w:t>
      </w:r>
      <w:r w:rsidR="00A00D04">
        <w:t xml:space="preserve"> </w:t>
      </w:r>
      <w:r w:rsidR="005A7DFB" w:rsidRPr="005A7DFB">
        <w:t>https://www.sbr.gov.au/content/myhome/softwaredevelopers/downloads</w:t>
      </w:r>
      <w:r w:rsidR="005A7DFB">
        <w:t>/.</w:t>
      </w:r>
      <w:r w:rsidR="00A00D04">
        <w:t xml:space="preserve"> </w:t>
      </w:r>
    </w:p>
    <w:p w:rsidR="007F4E93" w:rsidRDefault="007F4E93" w:rsidP="007F4E93">
      <w:pPr>
        <w:pStyle w:val="Head2"/>
        <w:spacing w:before="240"/>
        <w:ind w:left="578" w:hanging="578"/>
      </w:pPr>
      <w:bookmarkStart w:id="201" w:name="_Toc322522320"/>
      <w:r>
        <w:t>Added Error Response Message</w:t>
      </w:r>
      <w:r w:rsidR="00C71BC6">
        <w:t>s</w:t>
      </w:r>
      <w:bookmarkEnd w:id="201"/>
    </w:p>
    <w:tbl>
      <w:tblPr>
        <w:tblW w:w="93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6"/>
        <w:gridCol w:w="6660"/>
      </w:tblGrid>
      <w:tr w:rsidR="00525766" w:rsidRPr="00FB3FED" w:rsidTr="00525766">
        <w:trPr>
          <w:trHeight w:val="281"/>
        </w:trPr>
        <w:tc>
          <w:tcPr>
            <w:tcW w:w="2716" w:type="dxa"/>
            <w:shd w:val="clear" w:color="auto" w:fill="C6D9F1"/>
            <w:noWrap/>
            <w:vAlign w:val="bottom"/>
          </w:tcPr>
          <w:p w:rsidR="00525766" w:rsidRPr="00B07710" w:rsidRDefault="00525766" w:rsidP="00525766">
            <w:pPr>
              <w:spacing w:before="120" w:after="120"/>
              <w:rPr>
                <w:rFonts w:cs="Arial"/>
                <w:b/>
              </w:rPr>
            </w:pPr>
            <w:r w:rsidRPr="00B07710">
              <w:rPr>
                <w:rFonts w:cs="Arial"/>
                <w:b/>
              </w:rPr>
              <w:t>Error code ID</w:t>
            </w:r>
          </w:p>
        </w:tc>
        <w:tc>
          <w:tcPr>
            <w:tcW w:w="6660" w:type="dxa"/>
            <w:shd w:val="clear" w:color="auto" w:fill="C6D9F1"/>
            <w:noWrap/>
            <w:vAlign w:val="bottom"/>
          </w:tcPr>
          <w:p w:rsidR="00525766" w:rsidRPr="00B07710" w:rsidRDefault="00525766" w:rsidP="00525766">
            <w:pPr>
              <w:spacing w:before="120" w:after="120"/>
              <w:rPr>
                <w:rFonts w:cs="Arial"/>
                <w:b/>
              </w:rPr>
            </w:pPr>
            <w:r w:rsidRPr="00B07710">
              <w:rPr>
                <w:rFonts w:cs="Arial"/>
                <w:b/>
              </w:rPr>
              <w:t>Reason for Change</w:t>
            </w:r>
          </w:p>
        </w:tc>
      </w:tr>
      <w:tr w:rsidR="00525766" w:rsidRPr="00FB3FED" w:rsidTr="00525766">
        <w:trPr>
          <w:trHeight w:val="255"/>
        </w:trPr>
        <w:tc>
          <w:tcPr>
            <w:tcW w:w="2716" w:type="dxa"/>
            <w:shd w:val="clear" w:color="auto" w:fill="auto"/>
          </w:tcPr>
          <w:p w:rsidR="00525766" w:rsidRPr="00525766" w:rsidRDefault="00525766" w:rsidP="00525766">
            <w:pPr>
              <w:rPr>
                <w:color w:val="000000"/>
                <w:szCs w:val="22"/>
              </w:rPr>
            </w:pPr>
            <w:r w:rsidRPr="00525766">
              <w:rPr>
                <w:rFonts w:cs="Arial"/>
                <w:szCs w:val="22"/>
              </w:rPr>
              <w:t>CMN.ATO.CGTS.402124</w:t>
            </w:r>
          </w:p>
        </w:tc>
        <w:tc>
          <w:tcPr>
            <w:tcW w:w="6660" w:type="dxa"/>
            <w:vMerge w:val="restart"/>
            <w:shd w:val="clear" w:color="auto" w:fill="auto"/>
            <w:vAlign w:val="center"/>
          </w:tcPr>
          <w:p w:rsidR="00525766" w:rsidRPr="00CF6E64" w:rsidRDefault="00525766" w:rsidP="00525766">
            <w:pPr>
              <w:pStyle w:val="ReportDescription"/>
              <w:rPr>
                <w:sz w:val="22"/>
                <w:szCs w:val="22"/>
              </w:rPr>
            </w:pPr>
            <w:r w:rsidRPr="00525766">
              <w:rPr>
                <w:color w:val="000000"/>
                <w:sz w:val="22"/>
                <w:szCs w:val="22"/>
              </w:rPr>
              <w:t>BC 2012-001 -</w:t>
            </w:r>
            <w:r w:rsidRPr="00CF6E64">
              <w:rPr>
                <w:sz w:val="22"/>
                <w:szCs w:val="22"/>
              </w:rPr>
              <w:t xml:space="preserve"> Streamline and improve the capital gains tax treatment of earnout agreements</w:t>
            </w:r>
          </w:p>
          <w:p w:rsidR="00525766" w:rsidRPr="00B07710" w:rsidRDefault="00525766" w:rsidP="00525766">
            <w:pPr>
              <w:rPr>
                <w:color w:val="000000"/>
              </w:rPr>
            </w:pPr>
          </w:p>
          <w:p w:rsidR="00525766" w:rsidRPr="00B07710" w:rsidRDefault="00525766" w:rsidP="00525766">
            <w:pPr>
              <w:rPr>
                <w:color w:val="000000"/>
              </w:rPr>
            </w:pPr>
          </w:p>
        </w:tc>
      </w:tr>
      <w:tr w:rsidR="00525766" w:rsidRPr="00FB3FED" w:rsidTr="00525766">
        <w:trPr>
          <w:trHeight w:val="255"/>
        </w:trPr>
        <w:tc>
          <w:tcPr>
            <w:tcW w:w="2716" w:type="dxa"/>
            <w:shd w:val="clear" w:color="auto" w:fill="auto"/>
          </w:tcPr>
          <w:p w:rsidR="00525766" w:rsidRPr="00525766" w:rsidRDefault="00525766" w:rsidP="00525766">
            <w:pPr>
              <w:rPr>
                <w:color w:val="000000"/>
                <w:szCs w:val="22"/>
              </w:rPr>
            </w:pPr>
            <w:r w:rsidRPr="00525766">
              <w:rPr>
                <w:rFonts w:cs="Arial"/>
                <w:szCs w:val="22"/>
              </w:rPr>
              <w:t>CMN.ATO.CGTS.402125</w:t>
            </w:r>
          </w:p>
        </w:tc>
        <w:tc>
          <w:tcPr>
            <w:tcW w:w="6660" w:type="dxa"/>
            <w:vMerge/>
            <w:vAlign w:val="center"/>
          </w:tcPr>
          <w:p w:rsidR="00525766" w:rsidRPr="00B07710" w:rsidRDefault="00525766" w:rsidP="00525766">
            <w:pPr>
              <w:rPr>
                <w:color w:val="000000"/>
              </w:rPr>
            </w:pPr>
          </w:p>
        </w:tc>
      </w:tr>
      <w:tr w:rsidR="00525766" w:rsidRPr="00FB3FED" w:rsidTr="00525766">
        <w:trPr>
          <w:trHeight w:val="255"/>
        </w:trPr>
        <w:tc>
          <w:tcPr>
            <w:tcW w:w="2716" w:type="dxa"/>
            <w:shd w:val="clear" w:color="auto" w:fill="auto"/>
          </w:tcPr>
          <w:p w:rsidR="00525766" w:rsidRPr="00525766" w:rsidRDefault="00525766" w:rsidP="00525766">
            <w:pPr>
              <w:rPr>
                <w:color w:val="000000"/>
                <w:szCs w:val="22"/>
              </w:rPr>
            </w:pPr>
            <w:r w:rsidRPr="00525766">
              <w:rPr>
                <w:rFonts w:cs="Arial"/>
                <w:szCs w:val="22"/>
              </w:rPr>
              <w:t>CMN.ATO.CGTS.402126</w:t>
            </w:r>
          </w:p>
        </w:tc>
        <w:tc>
          <w:tcPr>
            <w:tcW w:w="6660" w:type="dxa"/>
            <w:vMerge/>
            <w:vAlign w:val="center"/>
          </w:tcPr>
          <w:p w:rsidR="00525766" w:rsidRPr="00B07710" w:rsidRDefault="00525766" w:rsidP="00525766">
            <w:pPr>
              <w:rPr>
                <w:color w:val="000000"/>
              </w:rPr>
            </w:pPr>
          </w:p>
        </w:tc>
      </w:tr>
      <w:tr w:rsidR="00525766" w:rsidRPr="00FB3FED" w:rsidTr="00525766">
        <w:trPr>
          <w:trHeight w:val="255"/>
        </w:trPr>
        <w:tc>
          <w:tcPr>
            <w:tcW w:w="2716" w:type="dxa"/>
            <w:shd w:val="clear" w:color="auto" w:fill="auto"/>
          </w:tcPr>
          <w:p w:rsidR="00525766" w:rsidRPr="00525766" w:rsidRDefault="00525766" w:rsidP="00525766">
            <w:pPr>
              <w:rPr>
                <w:color w:val="000000"/>
                <w:szCs w:val="22"/>
              </w:rPr>
            </w:pPr>
            <w:r w:rsidRPr="00525766">
              <w:rPr>
                <w:rFonts w:cs="Arial"/>
                <w:szCs w:val="22"/>
              </w:rPr>
              <w:t>CMN.ATO.CGTS.402127</w:t>
            </w:r>
          </w:p>
        </w:tc>
        <w:tc>
          <w:tcPr>
            <w:tcW w:w="6660" w:type="dxa"/>
            <w:vMerge/>
            <w:vAlign w:val="center"/>
          </w:tcPr>
          <w:p w:rsidR="00525766" w:rsidRPr="00B07710" w:rsidRDefault="00525766" w:rsidP="00525766">
            <w:pPr>
              <w:rPr>
                <w:color w:val="000000"/>
              </w:rPr>
            </w:pPr>
          </w:p>
        </w:tc>
      </w:tr>
      <w:tr w:rsidR="00525766" w:rsidRPr="00FB3FED" w:rsidTr="00525766">
        <w:trPr>
          <w:trHeight w:val="255"/>
        </w:trPr>
        <w:tc>
          <w:tcPr>
            <w:tcW w:w="2716" w:type="dxa"/>
            <w:shd w:val="clear" w:color="auto" w:fill="auto"/>
          </w:tcPr>
          <w:p w:rsidR="00525766" w:rsidRPr="00525766" w:rsidRDefault="00525766" w:rsidP="00525766">
            <w:pPr>
              <w:rPr>
                <w:color w:val="000000"/>
                <w:szCs w:val="22"/>
              </w:rPr>
            </w:pPr>
            <w:r w:rsidRPr="00525766">
              <w:rPr>
                <w:rFonts w:cs="Arial"/>
                <w:szCs w:val="22"/>
              </w:rPr>
              <w:t>CMN.ATO.CGTS.402132</w:t>
            </w:r>
          </w:p>
        </w:tc>
        <w:tc>
          <w:tcPr>
            <w:tcW w:w="6660" w:type="dxa"/>
            <w:vMerge/>
            <w:vAlign w:val="center"/>
          </w:tcPr>
          <w:p w:rsidR="00525766" w:rsidRPr="00B07710" w:rsidRDefault="00525766" w:rsidP="00525766">
            <w:pPr>
              <w:rPr>
                <w:color w:val="000000"/>
              </w:rPr>
            </w:pPr>
          </w:p>
        </w:tc>
      </w:tr>
      <w:tr w:rsidR="00525766" w:rsidRPr="00FB3FED" w:rsidTr="00525766">
        <w:trPr>
          <w:trHeight w:val="255"/>
        </w:trPr>
        <w:tc>
          <w:tcPr>
            <w:tcW w:w="2716" w:type="dxa"/>
            <w:shd w:val="clear" w:color="auto" w:fill="auto"/>
          </w:tcPr>
          <w:p w:rsidR="00525766" w:rsidRPr="00525766" w:rsidRDefault="00525766" w:rsidP="00525766">
            <w:pPr>
              <w:rPr>
                <w:color w:val="000000"/>
                <w:szCs w:val="22"/>
              </w:rPr>
            </w:pPr>
            <w:r w:rsidRPr="00525766">
              <w:rPr>
                <w:rFonts w:cs="Arial"/>
                <w:szCs w:val="22"/>
              </w:rPr>
              <w:t>CMN.ATO.CGTS.402128</w:t>
            </w:r>
          </w:p>
        </w:tc>
        <w:tc>
          <w:tcPr>
            <w:tcW w:w="6660" w:type="dxa"/>
            <w:vMerge/>
            <w:vAlign w:val="center"/>
          </w:tcPr>
          <w:p w:rsidR="00525766" w:rsidRPr="00B07710" w:rsidRDefault="00525766" w:rsidP="00525766">
            <w:pPr>
              <w:rPr>
                <w:color w:val="000000"/>
              </w:rPr>
            </w:pPr>
          </w:p>
        </w:tc>
      </w:tr>
      <w:tr w:rsidR="00525766" w:rsidRPr="00FB3FED" w:rsidTr="00525766">
        <w:trPr>
          <w:trHeight w:val="255"/>
        </w:trPr>
        <w:tc>
          <w:tcPr>
            <w:tcW w:w="2716" w:type="dxa"/>
            <w:shd w:val="clear" w:color="auto" w:fill="auto"/>
          </w:tcPr>
          <w:p w:rsidR="00525766" w:rsidRPr="00525766" w:rsidRDefault="00525766" w:rsidP="00525766">
            <w:pPr>
              <w:rPr>
                <w:color w:val="000000"/>
                <w:szCs w:val="22"/>
              </w:rPr>
            </w:pPr>
            <w:r w:rsidRPr="00525766">
              <w:rPr>
                <w:rFonts w:cs="Arial"/>
                <w:szCs w:val="22"/>
              </w:rPr>
              <w:t>CMN.ATO.CGTS.402129</w:t>
            </w:r>
          </w:p>
        </w:tc>
        <w:tc>
          <w:tcPr>
            <w:tcW w:w="6660" w:type="dxa"/>
            <w:vMerge/>
            <w:vAlign w:val="center"/>
          </w:tcPr>
          <w:p w:rsidR="00525766" w:rsidRPr="00B07710" w:rsidRDefault="00525766" w:rsidP="00525766">
            <w:pPr>
              <w:rPr>
                <w:color w:val="000000"/>
              </w:rPr>
            </w:pPr>
          </w:p>
        </w:tc>
      </w:tr>
    </w:tbl>
    <w:p w:rsidR="00525766" w:rsidRPr="00FB3FED" w:rsidRDefault="00525766" w:rsidP="00525766">
      <w:pPr>
        <w:pStyle w:val="Maintext"/>
      </w:pPr>
    </w:p>
    <w:p w:rsidR="00866657" w:rsidRPr="000F38D0" w:rsidRDefault="00866657" w:rsidP="007F4E93">
      <w:pPr>
        <w:pStyle w:val="Maintext"/>
      </w:pPr>
    </w:p>
    <w:p w:rsidR="007F4E93" w:rsidRPr="009B06E0" w:rsidRDefault="007F4E93" w:rsidP="007F4E93">
      <w:pPr>
        <w:pStyle w:val="Head2"/>
        <w:spacing w:before="240"/>
        <w:ind w:left="578" w:hanging="578"/>
      </w:pPr>
      <w:bookmarkStart w:id="202" w:name="_Toc322522321"/>
      <w:r>
        <w:t>Removed Error Response Message</w:t>
      </w:r>
      <w:r w:rsidR="00C71BC6">
        <w:t>s</w:t>
      </w:r>
      <w:bookmarkEnd w:id="202"/>
    </w:p>
    <w:p w:rsidR="001E59DC" w:rsidRDefault="004E4173" w:rsidP="007F4E93">
      <w:pPr>
        <w:pStyle w:val="Maintext"/>
      </w:pPr>
      <w:r>
        <w:t>None</w:t>
      </w:r>
    </w:p>
    <w:p w:rsidR="001E59DC" w:rsidRDefault="001E59DC" w:rsidP="007F4E93">
      <w:pPr>
        <w:pStyle w:val="Maintext"/>
      </w:pPr>
    </w:p>
    <w:p w:rsidR="007F4E93" w:rsidRDefault="007F4E93" w:rsidP="007F4E93">
      <w:pPr>
        <w:pStyle w:val="Head2"/>
        <w:spacing w:before="240"/>
        <w:ind w:left="578" w:hanging="578"/>
      </w:pPr>
      <w:bookmarkStart w:id="203" w:name="_Toc320622977"/>
      <w:bookmarkStart w:id="204" w:name="_Toc320623464"/>
      <w:bookmarkStart w:id="205" w:name="_Toc320623514"/>
      <w:bookmarkStart w:id="206" w:name="_Toc320627943"/>
      <w:bookmarkStart w:id="207" w:name="_Toc322522322"/>
      <w:bookmarkEnd w:id="203"/>
      <w:bookmarkEnd w:id="204"/>
      <w:bookmarkEnd w:id="205"/>
      <w:bookmarkEnd w:id="206"/>
      <w:r>
        <w:t>Updated Error Response Message</w:t>
      </w:r>
      <w:r w:rsidR="00C71BC6">
        <w:t>s</w:t>
      </w:r>
      <w:bookmarkEnd w:id="207"/>
    </w:p>
    <w:p w:rsidR="00404C0D" w:rsidRPr="00844F44" w:rsidRDefault="004E4173" w:rsidP="00844F44">
      <w:r>
        <w:t>None</w:t>
      </w:r>
      <w:bookmarkStart w:id="208" w:name="_Toc311801705"/>
      <w:bookmarkStart w:id="209" w:name="_Toc311801707"/>
      <w:bookmarkStart w:id="210" w:name="_Toc311801708"/>
      <w:bookmarkStart w:id="211" w:name="_Toc311801709"/>
      <w:bookmarkStart w:id="212" w:name="_Toc311801710"/>
      <w:bookmarkStart w:id="213" w:name="_Toc311801711"/>
      <w:bookmarkStart w:id="214" w:name="_Toc311801713"/>
      <w:bookmarkStart w:id="215" w:name="_Toc311801714"/>
      <w:bookmarkStart w:id="216" w:name="_Toc311801720"/>
      <w:bookmarkStart w:id="217" w:name="_Toc311801722"/>
      <w:bookmarkStart w:id="218" w:name="_Toc311801723"/>
      <w:bookmarkStart w:id="219" w:name="_Toc311801724"/>
      <w:bookmarkStart w:id="220" w:name="_Toc311801725"/>
      <w:bookmarkStart w:id="221" w:name="_Toc320622979"/>
      <w:bookmarkStart w:id="222" w:name="_Toc320623024"/>
      <w:bookmarkStart w:id="223" w:name="_Toc320623025"/>
      <w:bookmarkStart w:id="224" w:name="_Toc320623034"/>
      <w:bookmarkStart w:id="225" w:name="_Toc320517202"/>
      <w:bookmarkStart w:id="226" w:name="_Toc320623035"/>
      <w:bookmarkStart w:id="227" w:name="_Toc320517203"/>
      <w:bookmarkStart w:id="228" w:name="_Toc320623036"/>
      <w:bookmarkStart w:id="229" w:name="_Toc320517205"/>
      <w:bookmarkStart w:id="230" w:name="_Toc320623038"/>
      <w:bookmarkStart w:id="231" w:name="_Toc320517206"/>
      <w:bookmarkStart w:id="232" w:name="_Toc320623039"/>
      <w:bookmarkStart w:id="233" w:name="_Toc320517351"/>
      <w:bookmarkStart w:id="234" w:name="_Toc320623184"/>
      <w:bookmarkStart w:id="235" w:name="_Toc320623415"/>
      <w:bookmarkStart w:id="236" w:name="_Toc230691303"/>
      <w:bookmarkStart w:id="237" w:name="_Toc230691401"/>
      <w:bookmarkStart w:id="238" w:name="_Toc230691497"/>
      <w:bookmarkStart w:id="239" w:name="_Toc230693445"/>
      <w:bookmarkStart w:id="240" w:name="_Toc230696621"/>
      <w:bookmarkStart w:id="241" w:name="_Toc230699919"/>
      <w:bookmarkStart w:id="242" w:name="_Toc230700260"/>
      <w:bookmarkEnd w:id="208"/>
      <w:bookmarkEnd w:id="209"/>
      <w:bookmarkEnd w:id="210"/>
      <w:bookmarkEnd w:id="211"/>
      <w:bookmarkEnd w:id="212"/>
      <w:bookmarkEnd w:id="213"/>
      <w:bookmarkEnd w:id="214"/>
      <w:bookmarkEnd w:id="215"/>
      <w:bookmarkEnd w:id="216"/>
      <w:bookmarkEnd w:id="217"/>
      <w:bookmarkEnd w:id="218"/>
      <w:bookmarkEnd w:id="219"/>
      <w:bookmarkEnd w:id="220"/>
      <w:bookmarkEnd w:id="166"/>
      <w:bookmarkEnd w:id="167"/>
      <w:bookmarkEnd w:id="168"/>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sectPr w:rsidR="00404C0D" w:rsidRPr="00844F44" w:rsidSect="007F4E93">
      <w:headerReference w:type="even" r:id="rId22"/>
      <w:headerReference w:type="first" r:id="rId23"/>
      <w:pgSz w:w="11906" w:h="16838" w:code="9"/>
      <w:pgMar w:top="1418" w:right="1276"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2E0" w:rsidRDefault="00E352E0">
      <w:r>
        <w:separator/>
      </w:r>
    </w:p>
  </w:endnote>
  <w:endnote w:type="continuationSeparator" w:id="0">
    <w:p w:rsidR="00E352E0" w:rsidRDefault="00E35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E352E0">
      <w:trPr>
        <w:trHeight w:hRule="exact" w:val="567"/>
      </w:trPr>
      <w:tc>
        <w:tcPr>
          <w:tcW w:w="3629" w:type="dxa"/>
          <w:vAlign w:val="bottom"/>
        </w:tcPr>
        <w:p w:rsidR="00E352E0" w:rsidRPr="00961BA8" w:rsidRDefault="00E352E0">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E352E0" w:rsidRDefault="00E352E0">
          <w:pPr>
            <w:pStyle w:val="FooterPortrait"/>
          </w:pPr>
          <w:r>
            <w:tab/>
          </w:r>
          <w:r>
            <w:fldChar w:fldCharType="begin"/>
          </w:r>
          <w:r>
            <w:instrText xml:space="preserve"> KEYWORDS   \* MERGEFORMAT </w:instrText>
          </w:r>
          <w:r>
            <w:fldChar w:fldCharType="end"/>
          </w:r>
        </w:p>
      </w:tc>
      <w:tc>
        <w:tcPr>
          <w:tcW w:w="1701" w:type="dxa"/>
          <w:vAlign w:val="bottom"/>
        </w:tcPr>
        <w:p w:rsidR="00E352E0" w:rsidRDefault="00E352E0"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r>
  </w:tbl>
  <w:p w:rsidR="00E352E0" w:rsidRPr="004E35EF" w:rsidRDefault="00E352E0"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2E0" w:rsidRPr="009A241C" w:rsidRDefault="00E352E0" w:rsidP="001D6B58">
    <w:pPr>
      <w:pStyle w:val="FooterPortrait"/>
      <w:pBdr>
        <w:top w:val="single" w:sz="4" w:space="1" w:color="auto"/>
      </w:pBdr>
      <w:tabs>
        <w:tab w:val="clear" w:pos="1021"/>
        <w:tab w:val="center" w:pos="4730"/>
        <w:tab w:val="right" w:pos="9360"/>
      </w:tabs>
      <w:rPr>
        <w:color w:val="335876"/>
      </w:rPr>
    </w:pPr>
    <w:r w:rsidRPr="009A241C">
      <w:rPr>
        <w:color w:val="335876"/>
      </w:rPr>
      <w:t xml:space="preserve">Version </w:t>
    </w:r>
    <w:r>
      <w:rPr>
        <w:color w:val="335876"/>
      </w:rPr>
      <w:t>1.0</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910A90">
      <w:rPr>
        <w:noProof/>
        <w:color w:val="335876"/>
      </w:rPr>
      <w:t>2</w:t>
    </w:r>
    <w:r w:rsidRPr="009A241C">
      <w:rPr>
        <w:color w:val="335876"/>
      </w:rPr>
      <w:fldChar w:fldCharType="end"/>
    </w:r>
    <w:r w:rsidRPr="009A241C">
      <w:rPr>
        <w:color w:val="335876"/>
      </w:rPr>
      <w:t xml:space="preserve"> OF </w:t>
    </w:r>
    <w:fldSimple w:instr=" NUMPAGES   \* MERGEFORMAT ">
      <w:r w:rsidR="00910A90">
        <w:rPr>
          <w:noProof/>
        </w:rPr>
        <w:t>8</w:t>
      </w:r>
    </w:fldSimple>
  </w:p>
  <w:p w:rsidR="00E352E0" w:rsidRPr="00607411" w:rsidRDefault="00E352E0"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2E0" w:rsidRDefault="00E352E0">
      <w:r>
        <w:separator/>
      </w:r>
    </w:p>
  </w:footnote>
  <w:footnote w:type="continuationSeparator" w:id="0">
    <w:p w:rsidR="00E352E0" w:rsidRDefault="00E352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E352E0" w:rsidRPr="00BE2B9A">
      <w:trPr>
        <w:trHeight w:hRule="exact" w:val="567"/>
      </w:trPr>
      <w:tc>
        <w:tcPr>
          <w:tcW w:w="3629" w:type="dxa"/>
          <w:shd w:val="clear" w:color="auto" w:fill="auto"/>
        </w:tcPr>
        <w:p w:rsidR="00E352E0" w:rsidRPr="00BE2B9A" w:rsidRDefault="00E352E0"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E352E0" w:rsidRPr="00BE2B9A" w:rsidRDefault="00E352E0" w:rsidP="000E5315">
          <w:pPr>
            <w:pStyle w:val="Header"/>
            <w:spacing w:before="160" w:after="100"/>
            <w:jc w:val="right"/>
            <w:rPr>
              <w:sz w:val="15"/>
            </w:rPr>
          </w:pPr>
          <w:r>
            <w:fldChar w:fldCharType="begin"/>
          </w:r>
          <w:r>
            <w:instrText xml:space="preserve"> TITLE  \* Upper  \* MERGEFORMAT </w:instrText>
          </w:r>
          <w:r>
            <w:fldChar w:fldCharType="end"/>
          </w:r>
        </w:p>
      </w:tc>
    </w:tr>
  </w:tbl>
  <w:p w:rsidR="00E352E0" w:rsidRPr="004E35EF" w:rsidRDefault="00E352E0"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2E0" w:rsidRDefault="00E352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2E0" w:rsidRPr="00607411" w:rsidRDefault="00E352E0" w:rsidP="00D759C2">
    <w:pPr>
      <w:pStyle w:val="Header"/>
      <w:pBdr>
        <w:bottom w:val="single" w:sz="4" w:space="1" w:color="auto"/>
      </w:pBdr>
      <w:tabs>
        <w:tab w:val="right" w:pos="9360"/>
      </w:tabs>
      <w:rPr>
        <w:vanish/>
        <w:sz w:val="2"/>
      </w:rPr>
    </w:pPr>
    <w:r w:rsidRPr="009A241C">
      <w:rPr>
        <w:color w:val="335876"/>
        <w:sz w:val="16"/>
        <w:szCs w:val="16"/>
      </w:rPr>
      <w:t xml:space="preserve">Standard business reporting </w:t>
    </w:r>
    <w:r w:rsidRPr="009A241C">
      <w:rPr>
        <w:color w:val="335876"/>
        <w:sz w:val="16"/>
        <w:szCs w:val="16"/>
      </w:rPr>
      <w:tab/>
    </w:r>
    <w:r>
      <w:rPr>
        <w:color w:val="335876"/>
        <w:sz w:val="16"/>
        <w:szCs w:val="16"/>
      </w:rPr>
      <w:t xml:space="preserve">CGTS 2012 Release Notes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2E0" w:rsidRDefault="00E352E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2E0" w:rsidRDefault="00E352E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2E0" w:rsidRDefault="00E352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4">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8">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5">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7">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8">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9">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3">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5">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8">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2"/>
  </w:num>
  <w:num w:numId="4">
    <w:abstractNumId w:val="43"/>
  </w:num>
  <w:num w:numId="5">
    <w:abstractNumId w:val="88"/>
  </w:num>
  <w:num w:numId="6">
    <w:abstractNumId w:val="74"/>
  </w:num>
  <w:num w:numId="7">
    <w:abstractNumId w:val="34"/>
  </w:num>
  <w:num w:numId="8">
    <w:abstractNumId w:val="67"/>
  </w:num>
  <w:num w:numId="9">
    <w:abstractNumId w:val="55"/>
  </w:num>
  <w:num w:numId="10">
    <w:abstractNumId w:val="1"/>
  </w:num>
  <w:num w:numId="11">
    <w:abstractNumId w:val="47"/>
  </w:num>
  <w:num w:numId="12">
    <w:abstractNumId w:val="76"/>
  </w:num>
  <w:num w:numId="13">
    <w:abstractNumId w:val="32"/>
  </w:num>
  <w:num w:numId="14">
    <w:abstractNumId w:val="49"/>
  </w:num>
  <w:num w:numId="15">
    <w:abstractNumId w:val="0"/>
  </w:num>
  <w:num w:numId="16">
    <w:abstractNumId w:val="63"/>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76"/>
  </w:num>
  <w:num w:numId="22">
    <w:abstractNumId w:val="76"/>
  </w:num>
  <w:num w:numId="23">
    <w:abstractNumId w:val="76"/>
  </w:num>
  <w:num w:numId="24">
    <w:abstractNumId w:val="76"/>
  </w:num>
  <w:num w:numId="25">
    <w:abstractNumId w:val="76"/>
  </w:num>
  <w:num w:numId="26">
    <w:abstractNumId w:val="76"/>
  </w:num>
  <w:num w:numId="27">
    <w:abstractNumId w:val="76"/>
  </w:num>
  <w:num w:numId="28">
    <w:abstractNumId w:val="76"/>
  </w:num>
  <w:num w:numId="29">
    <w:abstractNumId w:val="8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7170">
      <o:colormenu v:ext="edit" fillcolor="silver"/>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10B6A"/>
    <w:rsid w:val="0001171A"/>
    <w:rsid w:val="00016AA8"/>
    <w:rsid w:val="00016DF4"/>
    <w:rsid w:val="000177BD"/>
    <w:rsid w:val="0002033D"/>
    <w:rsid w:val="0002121C"/>
    <w:rsid w:val="00021327"/>
    <w:rsid w:val="00021715"/>
    <w:rsid w:val="00023FC5"/>
    <w:rsid w:val="000241D1"/>
    <w:rsid w:val="0002622B"/>
    <w:rsid w:val="0002748B"/>
    <w:rsid w:val="0003012B"/>
    <w:rsid w:val="000335BA"/>
    <w:rsid w:val="000336CC"/>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7EE3"/>
    <w:rsid w:val="000629C5"/>
    <w:rsid w:val="00062B2B"/>
    <w:rsid w:val="00062DAA"/>
    <w:rsid w:val="00063FFB"/>
    <w:rsid w:val="00064BC5"/>
    <w:rsid w:val="000656D4"/>
    <w:rsid w:val="0006596C"/>
    <w:rsid w:val="00065FDE"/>
    <w:rsid w:val="00066793"/>
    <w:rsid w:val="0006768F"/>
    <w:rsid w:val="00067C80"/>
    <w:rsid w:val="000706F4"/>
    <w:rsid w:val="00071BB8"/>
    <w:rsid w:val="00075D54"/>
    <w:rsid w:val="0008474B"/>
    <w:rsid w:val="00084A87"/>
    <w:rsid w:val="000913C5"/>
    <w:rsid w:val="00091CB1"/>
    <w:rsid w:val="00092EC5"/>
    <w:rsid w:val="00095DCA"/>
    <w:rsid w:val="00095FE3"/>
    <w:rsid w:val="00096214"/>
    <w:rsid w:val="00096D70"/>
    <w:rsid w:val="000A0A4B"/>
    <w:rsid w:val="000A1383"/>
    <w:rsid w:val="000A1754"/>
    <w:rsid w:val="000A1EF9"/>
    <w:rsid w:val="000A28D6"/>
    <w:rsid w:val="000A594E"/>
    <w:rsid w:val="000A5CA0"/>
    <w:rsid w:val="000A63D0"/>
    <w:rsid w:val="000B2E81"/>
    <w:rsid w:val="000B4CF3"/>
    <w:rsid w:val="000B548E"/>
    <w:rsid w:val="000B55A8"/>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76AC"/>
    <w:rsid w:val="000E012E"/>
    <w:rsid w:val="000E1EA8"/>
    <w:rsid w:val="000E1FAF"/>
    <w:rsid w:val="000E210F"/>
    <w:rsid w:val="000E3652"/>
    <w:rsid w:val="000E459D"/>
    <w:rsid w:val="000E5315"/>
    <w:rsid w:val="000F02C2"/>
    <w:rsid w:val="000F04A9"/>
    <w:rsid w:val="000F1055"/>
    <w:rsid w:val="000F2B20"/>
    <w:rsid w:val="000F38D0"/>
    <w:rsid w:val="00102501"/>
    <w:rsid w:val="00103562"/>
    <w:rsid w:val="00104779"/>
    <w:rsid w:val="0010598B"/>
    <w:rsid w:val="00107A8F"/>
    <w:rsid w:val="00113270"/>
    <w:rsid w:val="0011440D"/>
    <w:rsid w:val="00114834"/>
    <w:rsid w:val="00115CD2"/>
    <w:rsid w:val="00116E43"/>
    <w:rsid w:val="00121371"/>
    <w:rsid w:val="00122A8D"/>
    <w:rsid w:val="00124B0E"/>
    <w:rsid w:val="00133DC7"/>
    <w:rsid w:val="001341C8"/>
    <w:rsid w:val="001344D7"/>
    <w:rsid w:val="0013586C"/>
    <w:rsid w:val="00135A2A"/>
    <w:rsid w:val="00135C3F"/>
    <w:rsid w:val="001375BD"/>
    <w:rsid w:val="00137CDF"/>
    <w:rsid w:val="00144B8E"/>
    <w:rsid w:val="001469A6"/>
    <w:rsid w:val="001477A0"/>
    <w:rsid w:val="00150122"/>
    <w:rsid w:val="00150148"/>
    <w:rsid w:val="0015487A"/>
    <w:rsid w:val="0015783B"/>
    <w:rsid w:val="00157EB7"/>
    <w:rsid w:val="00163DBF"/>
    <w:rsid w:val="00166A83"/>
    <w:rsid w:val="00170D1D"/>
    <w:rsid w:val="00171335"/>
    <w:rsid w:val="00171792"/>
    <w:rsid w:val="00172FFC"/>
    <w:rsid w:val="00174661"/>
    <w:rsid w:val="00176952"/>
    <w:rsid w:val="00180524"/>
    <w:rsid w:val="00181712"/>
    <w:rsid w:val="00181779"/>
    <w:rsid w:val="00182BFA"/>
    <w:rsid w:val="00183D65"/>
    <w:rsid w:val="00184BD5"/>
    <w:rsid w:val="00185AF4"/>
    <w:rsid w:val="00186737"/>
    <w:rsid w:val="00191051"/>
    <w:rsid w:val="00191AD0"/>
    <w:rsid w:val="00193AE3"/>
    <w:rsid w:val="00194715"/>
    <w:rsid w:val="00195BA6"/>
    <w:rsid w:val="00195F63"/>
    <w:rsid w:val="00197DAB"/>
    <w:rsid w:val="00197EB0"/>
    <w:rsid w:val="001A02AF"/>
    <w:rsid w:val="001A1002"/>
    <w:rsid w:val="001A4060"/>
    <w:rsid w:val="001B03B1"/>
    <w:rsid w:val="001B12D5"/>
    <w:rsid w:val="001B1FE4"/>
    <w:rsid w:val="001B2A2A"/>
    <w:rsid w:val="001B2D8F"/>
    <w:rsid w:val="001B30DF"/>
    <w:rsid w:val="001B42E7"/>
    <w:rsid w:val="001B634F"/>
    <w:rsid w:val="001B703B"/>
    <w:rsid w:val="001C0625"/>
    <w:rsid w:val="001C121E"/>
    <w:rsid w:val="001C1449"/>
    <w:rsid w:val="001C3D66"/>
    <w:rsid w:val="001C4BD6"/>
    <w:rsid w:val="001C51FC"/>
    <w:rsid w:val="001D21DC"/>
    <w:rsid w:val="001D2213"/>
    <w:rsid w:val="001D333F"/>
    <w:rsid w:val="001D6B58"/>
    <w:rsid w:val="001E168F"/>
    <w:rsid w:val="001E1DE7"/>
    <w:rsid w:val="001E57DB"/>
    <w:rsid w:val="001E5947"/>
    <w:rsid w:val="001E59DC"/>
    <w:rsid w:val="001E5C94"/>
    <w:rsid w:val="001E6CB1"/>
    <w:rsid w:val="001F239F"/>
    <w:rsid w:val="001F470A"/>
    <w:rsid w:val="001F6305"/>
    <w:rsid w:val="00202E70"/>
    <w:rsid w:val="002044A2"/>
    <w:rsid w:val="0020576C"/>
    <w:rsid w:val="002071A1"/>
    <w:rsid w:val="002166B0"/>
    <w:rsid w:val="00216DC8"/>
    <w:rsid w:val="00223303"/>
    <w:rsid w:val="00224E7B"/>
    <w:rsid w:val="0022703D"/>
    <w:rsid w:val="002270F9"/>
    <w:rsid w:val="00227EE8"/>
    <w:rsid w:val="00230330"/>
    <w:rsid w:val="00230D49"/>
    <w:rsid w:val="0023277B"/>
    <w:rsid w:val="00232935"/>
    <w:rsid w:val="0023469D"/>
    <w:rsid w:val="002353BA"/>
    <w:rsid w:val="002361A3"/>
    <w:rsid w:val="00241C0B"/>
    <w:rsid w:val="00245BB9"/>
    <w:rsid w:val="00247769"/>
    <w:rsid w:val="00247E83"/>
    <w:rsid w:val="002502E7"/>
    <w:rsid w:val="00250879"/>
    <w:rsid w:val="00251C68"/>
    <w:rsid w:val="00251F86"/>
    <w:rsid w:val="00254899"/>
    <w:rsid w:val="00257C82"/>
    <w:rsid w:val="0026256C"/>
    <w:rsid w:val="00266459"/>
    <w:rsid w:val="002667A1"/>
    <w:rsid w:val="00266A46"/>
    <w:rsid w:val="0027139B"/>
    <w:rsid w:val="00271A51"/>
    <w:rsid w:val="00272C04"/>
    <w:rsid w:val="00273395"/>
    <w:rsid w:val="0027537A"/>
    <w:rsid w:val="002755A8"/>
    <w:rsid w:val="00275615"/>
    <w:rsid w:val="002764F0"/>
    <w:rsid w:val="00276F42"/>
    <w:rsid w:val="0028009A"/>
    <w:rsid w:val="002813D3"/>
    <w:rsid w:val="002829BB"/>
    <w:rsid w:val="002847D0"/>
    <w:rsid w:val="00290C23"/>
    <w:rsid w:val="00292AC0"/>
    <w:rsid w:val="00295101"/>
    <w:rsid w:val="00296E96"/>
    <w:rsid w:val="002A0382"/>
    <w:rsid w:val="002A5F3D"/>
    <w:rsid w:val="002B01D3"/>
    <w:rsid w:val="002B60C7"/>
    <w:rsid w:val="002B742D"/>
    <w:rsid w:val="002C0E58"/>
    <w:rsid w:val="002C17CB"/>
    <w:rsid w:val="002C37E1"/>
    <w:rsid w:val="002C3BF3"/>
    <w:rsid w:val="002C42F0"/>
    <w:rsid w:val="002C66FD"/>
    <w:rsid w:val="002D023F"/>
    <w:rsid w:val="002D0778"/>
    <w:rsid w:val="002D0822"/>
    <w:rsid w:val="002D2339"/>
    <w:rsid w:val="002D3594"/>
    <w:rsid w:val="002D77E1"/>
    <w:rsid w:val="002D781E"/>
    <w:rsid w:val="002D7ADD"/>
    <w:rsid w:val="002E153E"/>
    <w:rsid w:val="002E2B73"/>
    <w:rsid w:val="002E30EF"/>
    <w:rsid w:val="002E4676"/>
    <w:rsid w:val="002E48A7"/>
    <w:rsid w:val="002E5B34"/>
    <w:rsid w:val="002F08E8"/>
    <w:rsid w:val="002F0E16"/>
    <w:rsid w:val="002F1DD9"/>
    <w:rsid w:val="002F2D54"/>
    <w:rsid w:val="002F36C3"/>
    <w:rsid w:val="002F3B96"/>
    <w:rsid w:val="00300735"/>
    <w:rsid w:val="00302AAC"/>
    <w:rsid w:val="0030311D"/>
    <w:rsid w:val="00303CAE"/>
    <w:rsid w:val="00305BEC"/>
    <w:rsid w:val="0030763F"/>
    <w:rsid w:val="0031192D"/>
    <w:rsid w:val="00320D84"/>
    <w:rsid w:val="00327B9B"/>
    <w:rsid w:val="00330460"/>
    <w:rsid w:val="003306E9"/>
    <w:rsid w:val="00331884"/>
    <w:rsid w:val="00331D15"/>
    <w:rsid w:val="0033283B"/>
    <w:rsid w:val="00332F03"/>
    <w:rsid w:val="00333E4E"/>
    <w:rsid w:val="00333F88"/>
    <w:rsid w:val="003341B2"/>
    <w:rsid w:val="003379C1"/>
    <w:rsid w:val="00340398"/>
    <w:rsid w:val="00341827"/>
    <w:rsid w:val="00342840"/>
    <w:rsid w:val="00347DA8"/>
    <w:rsid w:val="00350A2B"/>
    <w:rsid w:val="003519C7"/>
    <w:rsid w:val="00352913"/>
    <w:rsid w:val="0035356D"/>
    <w:rsid w:val="003545CC"/>
    <w:rsid w:val="00355CE5"/>
    <w:rsid w:val="0035762A"/>
    <w:rsid w:val="00360C2D"/>
    <w:rsid w:val="0036149E"/>
    <w:rsid w:val="0036261B"/>
    <w:rsid w:val="00363889"/>
    <w:rsid w:val="00366806"/>
    <w:rsid w:val="00366A5C"/>
    <w:rsid w:val="00366DC6"/>
    <w:rsid w:val="00370C05"/>
    <w:rsid w:val="00372336"/>
    <w:rsid w:val="00380444"/>
    <w:rsid w:val="00382302"/>
    <w:rsid w:val="003833D6"/>
    <w:rsid w:val="00387ACD"/>
    <w:rsid w:val="00387F81"/>
    <w:rsid w:val="0039121B"/>
    <w:rsid w:val="003931E7"/>
    <w:rsid w:val="003A0634"/>
    <w:rsid w:val="003A0CA9"/>
    <w:rsid w:val="003A3691"/>
    <w:rsid w:val="003A49C2"/>
    <w:rsid w:val="003A701F"/>
    <w:rsid w:val="003A7885"/>
    <w:rsid w:val="003B0180"/>
    <w:rsid w:val="003B0F9F"/>
    <w:rsid w:val="003B1EFE"/>
    <w:rsid w:val="003B2C8E"/>
    <w:rsid w:val="003B391C"/>
    <w:rsid w:val="003C11EB"/>
    <w:rsid w:val="003C23B7"/>
    <w:rsid w:val="003C2FBF"/>
    <w:rsid w:val="003C4B32"/>
    <w:rsid w:val="003C5625"/>
    <w:rsid w:val="003C6B1A"/>
    <w:rsid w:val="003D0FC2"/>
    <w:rsid w:val="003D2914"/>
    <w:rsid w:val="003D2FD8"/>
    <w:rsid w:val="003D35FA"/>
    <w:rsid w:val="003D7BFB"/>
    <w:rsid w:val="003E28BE"/>
    <w:rsid w:val="003E3610"/>
    <w:rsid w:val="003E3E2D"/>
    <w:rsid w:val="003F12EB"/>
    <w:rsid w:val="003F3D57"/>
    <w:rsid w:val="003F5567"/>
    <w:rsid w:val="003F6EEC"/>
    <w:rsid w:val="003F7047"/>
    <w:rsid w:val="00400855"/>
    <w:rsid w:val="004015A2"/>
    <w:rsid w:val="004015DB"/>
    <w:rsid w:val="00402BBF"/>
    <w:rsid w:val="00402E42"/>
    <w:rsid w:val="0040347F"/>
    <w:rsid w:val="00404C0D"/>
    <w:rsid w:val="00406A56"/>
    <w:rsid w:val="004079E0"/>
    <w:rsid w:val="00407AA8"/>
    <w:rsid w:val="00412B88"/>
    <w:rsid w:val="00413634"/>
    <w:rsid w:val="0041376E"/>
    <w:rsid w:val="004147F1"/>
    <w:rsid w:val="00415AC5"/>
    <w:rsid w:val="0041625B"/>
    <w:rsid w:val="00417F75"/>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C77"/>
    <w:rsid w:val="0044219C"/>
    <w:rsid w:val="004435BF"/>
    <w:rsid w:val="00443952"/>
    <w:rsid w:val="0044414E"/>
    <w:rsid w:val="004448A0"/>
    <w:rsid w:val="00445342"/>
    <w:rsid w:val="0045112A"/>
    <w:rsid w:val="00451C2C"/>
    <w:rsid w:val="00456A61"/>
    <w:rsid w:val="00456DF8"/>
    <w:rsid w:val="00457C5E"/>
    <w:rsid w:val="00461CD6"/>
    <w:rsid w:val="00464DFB"/>
    <w:rsid w:val="00466C5C"/>
    <w:rsid w:val="00466E92"/>
    <w:rsid w:val="004706B6"/>
    <w:rsid w:val="00470A3A"/>
    <w:rsid w:val="0047104C"/>
    <w:rsid w:val="00471325"/>
    <w:rsid w:val="00472244"/>
    <w:rsid w:val="004736E0"/>
    <w:rsid w:val="00474A1A"/>
    <w:rsid w:val="004764F3"/>
    <w:rsid w:val="004816BF"/>
    <w:rsid w:val="00486E19"/>
    <w:rsid w:val="004872F0"/>
    <w:rsid w:val="00490423"/>
    <w:rsid w:val="00490D41"/>
    <w:rsid w:val="00492D56"/>
    <w:rsid w:val="0049398E"/>
    <w:rsid w:val="0049509F"/>
    <w:rsid w:val="004975C2"/>
    <w:rsid w:val="004A1108"/>
    <w:rsid w:val="004A65E1"/>
    <w:rsid w:val="004A6F98"/>
    <w:rsid w:val="004A7B23"/>
    <w:rsid w:val="004B019E"/>
    <w:rsid w:val="004B177E"/>
    <w:rsid w:val="004B6049"/>
    <w:rsid w:val="004B695D"/>
    <w:rsid w:val="004B6F52"/>
    <w:rsid w:val="004B718F"/>
    <w:rsid w:val="004C29AA"/>
    <w:rsid w:val="004C2A83"/>
    <w:rsid w:val="004C65D6"/>
    <w:rsid w:val="004C73BC"/>
    <w:rsid w:val="004C7FCF"/>
    <w:rsid w:val="004D09A6"/>
    <w:rsid w:val="004D1D66"/>
    <w:rsid w:val="004D333C"/>
    <w:rsid w:val="004D373F"/>
    <w:rsid w:val="004D4BA9"/>
    <w:rsid w:val="004E1BD9"/>
    <w:rsid w:val="004E259C"/>
    <w:rsid w:val="004E271B"/>
    <w:rsid w:val="004E30F4"/>
    <w:rsid w:val="004E4173"/>
    <w:rsid w:val="004E68F0"/>
    <w:rsid w:val="004E7844"/>
    <w:rsid w:val="004F02C4"/>
    <w:rsid w:val="004F178C"/>
    <w:rsid w:val="004F2BBF"/>
    <w:rsid w:val="004F3AD0"/>
    <w:rsid w:val="004F3CE4"/>
    <w:rsid w:val="004F4408"/>
    <w:rsid w:val="004F5CDA"/>
    <w:rsid w:val="004F75FA"/>
    <w:rsid w:val="004F7F6E"/>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5766"/>
    <w:rsid w:val="005277E8"/>
    <w:rsid w:val="00530506"/>
    <w:rsid w:val="00531DBA"/>
    <w:rsid w:val="00532699"/>
    <w:rsid w:val="0054056D"/>
    <w:rsid w:val="005411F6"/>
    <w:rsid w:val="00542039"/>
    <w:rsid w:val="005427EA"/>
    <w:rsid w:val="0054379B"/>
    <w:rsid w:val="005437B6"/>
    <w:rsid w:val="00546F34"/>
    <w:rsid w:val="0055024B"/>
    <w:rsid w:val="0055060E"/>
    <w:rsid w:val="00550EFD"/>
    <w:rsid w:val="00552325"/>
    <w:rsid w:val="00552399"/>
    <w:rsid w:val="0055382B"/>
    <w:rsid w:val="0055389F"/>
    <w:rsid w:val="00554AE3"/>
    <w:rsid w:val="00564AEC"/>
    <w:rsid w:val="00567573"/>
    <w:rsid w:val="005709D0"/>
    <w:rsid w:val="00573661"/>
    <w:rsid w:val="00576182"/>
    <w:rsid w:val="0058193F"/>
    <w:rsid w:val="0058223A"/>
    <w:rsid w:val="00582B63"/>
    <w:rsid w:val="00582BE3"/>
    <w:rsid w:val="00584AF0"/>
    <w:rsid w:val="00584DB1"/>
    <w:rsid w:val="00586CAE"/>
    <w:rsid w:val="00590805"/>
    <w:rsid w:val="0059300D"/>
    <w:rsid w:val="005959B1"/>
    <w:rsid w:val="005970C6"/>
    <w:rsid w:val="00597F23"/>
    <w:rsid w:val="005A19D3"/>
    <w:rsid w:val="005A1D0F"/>
    <w:rsid w:val="005A2CD0"/>
    <w:rsid w:val="005A4035"/>
    <w:rsid w:val="005A484E"/>
    <w:rsid w:val="005A7AB3"/>
    <w:rsid w:val="005A7DFB"/>
    <w:rsid w:val="005B0091"/>
    <w:rsid w:val="005B1B31"/>
    <w:rsid w:val="005B1F05"/>
    <w:rsid w:val="005B3A69"/>
    <w:rsid w:val="005B4147"/>
    <w:rsid w:val="005B41F7"/>
    <w:rsid w:val="005B6110"/>
    <w:rsid w:val="005B714C"/>
    <w:rsid w:val="005B74FD"/>
    <w:rsid w:val="005C034C"/>
    <w:rsid w:val="005C2CAF"/>
    <w:rsid w:val="005C4BA8"/>
    <w:rsid w:val="005C66E4"/>
    <w:rsid w:val="005C75BF"/>
    <w:rsid w:val="005D0F98"/>
    <w:rsid w:val="005D0FF7"/>
    <w:rsid w:val="005D10A6"/>
    <w:rsid w:val="005D4562"/>
    <w:rsid w:val="005D4980"/>
    <w:rsid w:val="005D561B"/>
    <w:rsid w:val="005D5B49"/>
    <w:rsid w:val="005D72D6"/>
    <w:rsid w:val="005E005F"/>
    <w:rsid w:val="005E130B"/>
    <w:rsid w:val="005E14D1"/>
    <w:rsid w:val="005E33A7"/>
    <w:rsid w:val="005E3DBD"/>
    <w:rsid w:val="005E76FF"/>
    <w:rsid w:val="005E7D2F"/>
    <w:rsid w:val="005F062D"/>
    <w:rsid w:val="005F08AA"/>
    <w:rsid w:val="005F1465"/>
    <w:rsid w:val="005F51C6"/>
    <w:rsid w:val="005F5547"/>
    <w:rsid w:val="006013ED"/>
    <w:rsid w:val="006036D6"/>
    <w:rsid w:val="00604BF8"/>
    <w:rsid w:val="0060789F"/>
    <w:rsid w:val="00613B28"/>
    <w:rsid w:val="00616E71"/>
    <w:rsid w:val="00617068"/>
    <w:rsid w:val="00617C7D"/>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B6C"/>
    <w:rsid w:val="00641F80"/>
    <w:rsid w:val="00644028"/>
    <w:rsid w:val="00645436"/>
    <w:rsid w:val="006472DD"/>
    <w:rsid w:val="00651F84"/>
    <w:rsid w:val="0065449D"/>
    <w:rsid w:val="00657BC5"/>
    <w:rsid w:val="0066125D"/>
    <w:rsid w:val="006623F2"/>
    <w:rsid w:val="00665C28"/>
    <w:rsid w:val="00670611"/>
    <w:rsid w:val="00670D9D"/>
    <w:rsid w:val="00673B14"/>
    <w:rsid w:val="00674ED9"/>
    <w:rsid w:val="00680711"/>
    <w:rsid w:val="00680D12"/>
    <w:rsid w:val="00681ECC"/>
    <w:rsid w:val="00682543"/>
    <w:rsid w:val="0068288F"/>
    <w:rsid w:val="00682EBA"/>
    <w:rsid w:val="006834F5"/>
    <w:rsid w:val="00684F3B"/>
    <w:rsid w:val="00686C89"/>
    <w:rsid w:val="00687069"/>
    <w:rsid w:val="0068797B"/>
    <w:rsid w:val="00692B0D"/>
    <w:rsid w:val="00692EA1"/>
    <w:rsid w:val="00695D5A"/>
    <w:rsid w:val="006A2A89"/>
    <w:rsid w:val="006A3721"/>
    <w:rsid w:val="006A3DD7"/>
    <w:rsid w:val="006A3E94"/>
    <w:rsid w:val="006A4622"/>
    <w:rsid w:val="006A4DA7"/>
    <w:rsid w:val="006A5030"/>
    <w:rsid w:val="006B0513"/>
    <w:rsid w:val="006B0F81"/>
    <w:rsid w:val="006B1A1B"/>
    <w:rsid w:val="006B1D4E"/>
    <w:rsid w:val="006B5C77"/>
    <w:rsid w:val="006C0993"/>
    <w:rsid w:val="006C200D"/>
    <w:rsid w:val="006C2DF7"/>
    <w:rsid w:val="006C2E22"/>
    <w:rsid w:val="006C357E"/>
    <w:rsid w:val="006C3983"/>
    <w:rsid w:val="006D2DA8"/>
    <w:rsid w:val="006D3977"/>
    <w:rsid w:val="006D40AF"/>
    <w:rsid w:val="006D44FB"/>
    <w:rsid w:val="006D67A4"/>
    <w:rsid w:val="006D6A29"/>
    <w:rsid w:val="006D6C02"/>
    <w:rsid w:val="006E2E69"/>
    <w:rsid w:val="006E6C16"/>
    <w:rsid w:val="006E7706"/>
    <w:rsid w:val="006E7953"/>
    <w:rsid w:val="006F2024"/>
    <w:rsid w:val="006F3660"/>
    <w:rsid w:val="006F4B01"/>
    <w:rsid w:val="006F5145"/>
    <w:rsid w:val="006F6BE8"/>
    <w:rsid w:val="006F6F33"/>
    <w:rsid w:val="006F70AB"/>
    <w:rsid w:val="007012DB"/>
    <w:rsid w:val="00701E97"/>
    <w:rsid w:val="0070259F"/>
    <w:rsid w:val="0070354B"/>
    <w:rsid w:val="00703965"/>
    <w:rsid w:val="00703E5C"/>
    <w:rsid w:val="00704060"/>
    <w:rsid w:val="00704610"/>
    <w:rsid w:val="00704842"/>
    <w:rsid w:val="00706A83"/>
    <w:rsid w:val="00707830"/>
    <w:rsid w:val="00710A98"/>
    <w:rsid w:val="0071377E"/>
    <w:rsid w:val="00714DC2"/>
    <w:rsid w:val="00717003"/>
    <w:rsid w:val="007232AB"/>
    <w:rsid w:val="00727A80"/>
    <w:rsid w:val="00732916"/>
    <w:rsid w:val="007344D0"/>
    <w:rsid w:val="007345F6"/>
    <w:rsid w:val="007350C5"/>
    <w:rsid w:val="00735258"/>
    <w:rsid w:val="007362D4"/>
    <w:rsid w:val="00736301"/>
    <w:rsid w:val="00736FE0"/>
    <w:rsid w:val="007405E6"/>
    <w:rsid w:val="00740E8F"/>
    <w:rsid w:val="0074317F"/>
    <w:rsid w:val="00743B71"/>
    <w:rsid w:val="00745FA7"/>
    <w:rsid w:val="00747D29"/>
    <w:rsid w:val="00747F20"/>
    <w:rsid w:val="007519E9"/>
    <w:rsid w:val="00752060"/>
    <w:rsid w:val="00752F59"/>
    <w:rsid w:val="007602FE"/>
    <w:rsid w:val="00760AC3"/>
    <w:rsid w:val="00761A18"/>
    <w:rsid w:val="00763A56"/>
    <w:rsid w:val="0076404A"/>
    <w:rsid w:val="007648D3"/>
    <w:rsid w:val="00765A66"/>
    <w:rsid w:val="0076695D"/>
    <w:rsid w:val="00766DE1"/>
    <w:rsid w:val="00770319"/>
    <w:rsid w:val="00774F0E"/>
    <w:rsid w:val="00776A3C"/>
    <w:rsid w:val="0078061F"/>
    <w:rsid w:val="007813CA"/>
    <w:rsid w:val="007832B6"/>
    <w:rsid w:val="007839A3"/>
    <w:rsid w:val="00787C24"/>
    <w:rsid w:val="00790AB8"/>
    <w:rsid w:val="00791970"/>
    <w:rsid w:val="00793BA3"/>
    <w:rsid w:val="00794664"/>
    <w:rsid w:val="00796D92"/>
    <w:rsid w:val="007A0F1E"/>
    <w:rsid w:val="007A31B5"/>
    <w:rsid w:val="007A3DC2"/>
    <w:rsid w:val="007A5CDD"/>
    <w:rsid w:val="007A5CEF"/>
    <w:rsid w:val="007A6587"/>
    <w:rsid w:val="007A7BC8"/>
    <w:rsid w:val="007B1B42"/>
    <w:rsid w:val="007B1C12"/>
    <w:rsid w:val="007B1EF2"/>
    <w:rsid w:val="007B2F25"/>
    <w:rsid w:val="007B5209"/>
    <w:rsid w:val="007B61F6"/>
    <w:rsid w:val="007B6231"/>
    <w:rsid w:val="007B6665"/>
    <w:rsid w:val="007B6D68"/>
    <w:rsid w:val="007B78DC"/>
    <w:rsid w:val="007B7F05"/>
    <w:rsid w:val="007C068C"/>
    <w:rsid w:val="007C09B8"/>
    <w:rsid w:val="007C3A22"/>
    <w:rsid w:val="007C3CA1"/>
    <w:rsid w:val="007C4701"/>
    <w:rsid w:val="007D062D"/>
    <w:rsid w:val="007D117C"/>
    <w:rsid w:val="007D2FDA"/>
    <w:rsid w:val="007D64EE"/>
    <w:rsid w:val="007D71AA"/>
    <w:rsid w:val="007E237F"/>
    <w:rsid w:val="007E256E"/>
    <w:rsid w:val="007E32DF"/>
    <w:rsid w:val="007F082B"/>
    <w:rsid w:val="007F0E24"/>
    <w:rsid w:val="007F161E"/>
    <w:rsid w:val="007F2F82"/>
    <w:rsid w:val="007F4E93"/>
    <w:rsid w:val="007F505E"/>
    <w:rsid w:val="007F5160"/>
    <w:rsid w:val="008013EC"/>
    <w:rsid w:val="00802FB0"/>
    <w:rsid w:val="00803ED7"/>
    <w:rsid w:val="008045C8"/>
    <w:rsid w:val="00805036"/>
    <w:rsid w:val="00805F9B"/>
    <w:rsid w:val="008069EB"/>
    <w:rsid w:val="008076A7"/>
    <w:rsid w:val="00810DB2"/>
    <w:rsid w:val="008118B5"/>
    <w:rsid w:val="00811C01"/>
    <w:rsid w:val="008123A3"/>
    <w:rsid w:val="008138ED"/>
    <w:rsid w:val="008155B2"/>
    <w:rsid w:val="00815FD8"/>
    <w:rsid w:val="008165AD"/>
    <w:rsid w:val="008171A2"/>
    <w:rsid w:val="00820DAB"/>
    <w:rsid w:val="00821ED8"/>
    <w:rsid w:val="00822107"/>
    <w:rsid w:val="0082237D"/>
    <w:rsid w:val="008240FF"/>
    <w:rsid w:val="0082451C"/>
    <w:rsid w:val="008252CA"/>
    <w:rsid w:val="0083299B"/>
    <w:rsid w:val="00835D6B"/>
    <w:rsid w:val="008361E8"/>
    <w:rsid w:val="00836DD4"/>
    <w:rsid w:val="00836F93"/>
    <w:rsid w:val="008415BD"/>
    <w:rsid w:val="008421EE"/>
    <w:rsid w:val="00844F44"/>
    <w:rsid w:val="008501CD"/>
    <w:rsid w:val="00851D6E"/>
    <w:rsid w:val="00852B6A"/>
    <w:rsid w:val="00853AF5"/>
    <w:rsid w:val="00854D7D"/>
    <w:rsid w:val="00855D2C"/>
    <w:rsid w:val="00860200"/>
    <w:rsid w:val="008608FD"/>
    <w:rsid w:val="0086178A"/>
    <w:rsid w:val="00862A60"/>
    <w:rsid w:val="00862FB3"/>
    <w:rsid w:val="008630F2"/>
    <w:rsid w:val="008630FC"/>
    <w:rsid w:val="00863C9C"/>
    <w:rsid w:val="0086662F"/>
    <w:rsid w:val="00866657"/>
    <w:rsid w:val="00867D1F"/>
    <w:rsid w:val="008716EF"/>
    <w:rsid w:val="00873CDD"/>
    <w:rsid w:val="00876BFF"/>
    <w:rsid w:val="00880EF6"/>
    <w:rsid w:val="00881F12"/>
    <w:rsid w:val="00883B23"/>
    <w:rsid w:val="00886549"/>
    <w:rsid w:val="00887574"/>
    <w:rsid w:val="0088782C"/>
    <w:rsid w:val="0089131C"/>
    <w:rsid w:val="008915CB"/>
    <w:rsid w:val="008919E9"/>
    <w:rsid w:val="00892E28"/>
    <w:rsid w:val="00893E68"/>
    <w:rsid w:val="0089762A"/>
    <w:rsid w:val="008A06C4"/>
    <w:rsid w:val="008A074D"/>
    <w:rsid w:val="008A0C8E"/>
    <w:rsid w:val="008A18DB"/>
    <w:rsid w:val="008A1E19"/>
    <w:rsid w:val="008A1F33"/>
    <w:rsid w:val="008A2883"/>
    <w:rsid w:val="008A3D00"/>
    <w:rsid w:val="008A3E9D"/>
    <w:rsid w:val="008A4955"/>
    <w:rsid w:val="008A61D9"/>
    <w:rsid w:val="008A707F"/>
    <w:rsid w:val="008A71CE"/>
    <w:rsid w:val="008B0DA3"/>
    <w:rsid w:val="008B396B"/>
    <w:rsid w:val="008B4ADA"/>
    <w:rsid w:val="008B50B4"/>
    <w:rsid w:val="008B596D"/>
    <w:rsid w:val="008B6A4B"/>
    <w:rsid w:val="008C0AA8"/>
    <w:rsid w:val="008C2733"/>
    <w:rsid w:val="008C3B72"/>
    <w:rsid w:val="008C3C52"/>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4A1A"/>
    <w:rsid w:val="008F0AD7"/>
    <w:rsid w:val="008F0CA2"/>
    <w:rsid w:val="008F10A5"/>
    <w:rsid w:val="008F24E0"/>
    <w:rsid w:val="008F30A9"/>
    <w:rsid w:val="008F30E1"/>
    <w:rsid w:val="008F4975"/>
    <w:rsid w:val="008F54E5"/>
    <w:rsid w:val="008F6B6C"/>
    <w:rsid w:val="008F733D"/>
    <w:rsid w:val="0090068F"/>
    <w:rsid w:val="00900B03"/>
    <w:rsid w:val="009018BE"/>
    <w:rsid w:val="00901C6F"/>
    <w:rsid w:val="00904D91"/>
    <w:rsid w:val="00905A0A"/>
    <w:rsid w:val="00906980"/>
    <w:rsid w:val="00910A90"/>
    <w:rsid w:val="00914853"/>
    <w:rsid w:val="0091665C"/>
    <w:rsid w:val="0091732C"/>
    <w:rsid w:val="00921D3D"/>
    <w:rsid w:val="00925DA0"/>
    <w:rsid w:val="00927438"/>
    <w:rsid w:val="00931F84"/>
    <w:rsid w:val="00935CA1"/>
    <w:rsid w:val="00941A85"/>
    <w:rsid w:val="009433CF"/>
    <w:rsid w:val="00943E25"/>
    <w:rsid w:val="0094641E"/>
    <w:rsid w:val="00947400"/>
    <w:rsid w:val="009515ED"/>
    <w:rsid w:val="00951608"/>
    <w:rsid w:val="00952C42"/>
    <w:rsid w:val="0095363D"/>
    <w:rsid w:val="00954A28"/>
    <w:rsid w:val="00954E5A"/>
    <w:rsid w:val="00957502"/>
    <w:rsid w:val="009578DE"/>
    <w:rsid w:val="00960F89"/>
    <w:rsid w:val="00961393"/>
    <w:rsid w:val="009623E1"/>
    <w:rsid w:val="009626F8"/>
    <w:rsid w:val="0096422F"/>
    <w:rsid w:val="00964D14"/>
    <w:rsid w:val="00970A98"/>
    <w:rsid w:val="00970B93"/>
    <w:rsid w:val="00971FFC"/>
    <w:rsid w:val="009734C8"/>
    <w:rsid w:val="00973C9D"/>
    <w:rsid w:val="009752C8"/>
    <w:rsid w:val="0098090F"/>
    <w:rsid w:val="00982177"/>
    <w:rsid w:val="00983949"/>
    <w:rsid w:val="009847A1"/>
    <w:rsid w:val="00986D06"/>
    <w:rsid w:val="00990207"/>
    <w:rsid w:val="00992062"/>
    <w:rsid w:val="00994810"/>
    <w:rsid w:val="00996151"/>
    <w:rsid w:val="0099718D"/>
    <w:rsid w:val="009A14B3"/>
    <w:rsid w:val="009A5BBE"/>
    <w:rsid w:val="009A7D20"/>
    <w:rsid w:val="009B06E0"/>
    <w:rsid w:val="009B5E33"/>
    <w:rsid w:val="009C0697"/>
    <w:rsid w:val="009C08D3"/>
    <w:rsid w:val="009C0AA6"/>
    <w:rsid w:val="009C1EC8"/>
    <w:rsid w:val="009C20C9"/>
    <w:rsid w:val="009C24DA"/>
    <w:rsid w:val="009C5104"/>
    <w:rsid w:val="009C6F29"/>
    <w:rsid w:val="009D0C78"/>
    <w:rsid w:val="009D11EF"/>
    <w:rsid w:val="009D177D"/>
    <w:rsid w:val="009D18FA"/>
    <w:rsid w:val="009D1D80"/>
    <w:rsid w:val="009D43C5"/>
    <w:rsid w:val="009D6419"/>
    <w:rsid w:val="009E1815"/>
    <w:rsid w:val="009E2402"/>
    <w:rsid w:val="009E2744"/>
    <w:rsid w:val="009E3638"/>
    <w:rsid w:val="009E3EB4"/>
    <w:rsid w:val="009E43DD"/>
    <w:rsid w:val="009E4BBF"/>
    <w:rsid w:val="009E67EF"/>
    <w:rsid w:val="009E6A7C"/>
    <w:rsid w:val="009E77CF"/>
    <w:rsid w:val="009E79B8"/>
    <w:rsid w:val="009E7E0C"/>
    <w:rsid w:val="009F17E2"/>
    <w:rsid w:val="009F22F4"/>
    <w:rsid w:val="009F437F"/>
    <w:rsid w:val="009F599F"/>
    <w:rsid w:val="009F636F"/>
    <w:rsid w:val="009F7F09"/>
    <w:rsid w:val="00A00D04"/>
    <w:rsid w:val="00A02524"/>
    <w:rsid w:val="00A0636E"/>
    <w:rsid w:val="00A0716F"/>
    <w:rsid w:val="00A071E7"/>
    <w:rsid w:val="00A0729A"/>
    <w:rsid w:val="00A104FE"/>
    <w:rsid w:val="00A1186A"/>
    <w:rsid w:val="00A11BBC"/>
    <w:rsid w:val="00A11E14"/>
    <w:rsid w:val="00A12694"/>
    <w:rsid w:val="00A15118"/>
    <w:rsid w:val="00A162F8"/>
    <w:rsid w:val="00A205F7"/>
    <w:rsid w:val="00A23D04"/>
    <w:rsid w:val="00A25FA7"/>
    <w:rsid w:val="00A277FF"/>
    <w:rsid w:val="00A30C44"/>
    <w:rsid w:val="00A329CA"/>
    <w:rsid w:val="00A335A4"/>
    <w:rsid w:val="00A36BD8"/>
    <w:rsid w:val="00A377A1"/>
    <w:rsid w:val="00A3780D"/>
    <w:rsid w:val="00A37FDC"/>
    <w:rsid w:val="00A420FA"/>
    <w:rsid w:val="00A44DFF"/>
    <w:rsid w:val="00A46054"/>
    <w:rsid w:val="00A46204"/>
    <w:rsid w:val="00A479BB"/>
    <w:rsid w:val="00A50059"/>
    <w:rsid w:val="00A51CDB"/>
    <w:rsid w:val="00A522B9"/>
    <w:rsid w:val="00A53482"/>
    <w:rsid w:val="00A537EF"/>
    <w:rsid w:val="00A5392D"/>
    <w:rsid w:val="00A53F1A"/>
    <w:rsid w:val="00A55605"/>
    <w:rsid w:val="00A55F06"/>
    <w:rsid w:val="00A55FC4"/>
    <w:rsid w:val="00A56100"/>
    <w:rsid w:val="00A57317"/>
    <w:rsid w:val="00A61532"/>
    <w:rsid w:val="00A6203D"/>
    <w:rsid w:val="00A62631"/>
    <w:rsid w:val="00A637C5"/>
    <w:rsid w:val="00A6460E"/>
    <w:rsid w:val="00A65FF2"/>
    <w:rsid w:val="00A67D97"/>
    <w:rsid w:val="00A7481D"/>
    <w:rsid w:val="00A808C6"/>
    <w:rsid w:val="00A81693"/>
    <w:rsid w:val="00A81A20"/>
    <w:rsid w:val="00A82113"/>
    <w:rsid w:val="00A82751"/>
    <w:rsid w:val="00A82B4E"/>
    <w:rsid w:val="00A84113"/>
    <w:rsid w:val="00A84BF5"/>
    <w:rsid w:val="00A85E0C"/>
    <w:rsid w:val="00A86D8E"/>
    <w:rsid w:val="00A87CC5"/>
    <w:rsid w:val="00A9154C"/>
    <w:rsid w:val="00A91FDC"/>
    <w:rsid w:val="00A92AEE"/>
    <w:rsid w:val="00A92F39"/>
    <w:rsid w:val="00A93955"/>
    <w:rsid w:val="00A94D35"/>
    <w:rsid w:val="00A952A8"/>
    <w:rsid w:val="00A96CD8"/>
    <w:rsid w:val="00AA04E4"/>
    <w:rsid w:val="00AA3DD7"/>
    <w:rsid w:val="00AB1B0D"/>
    <w:rsid w:val="00AB2CF5"/>
    <w:rsid w:val="00AC0E66"/>
    <w:rsid w:val="00AC1406"/>
    <w:rsid w:val="00AC2C4F"/>
    <w:rsid w:val="00AC3B0E"/>
    <w:rsid w:val="00AC44BC"/>
    <w:rsid w:val="00AC55EA"/>
    <w:rsid w:val="00AC5779"/>
    <w:rsid w:val="00AC78C0"/>
    <w:rsid w:val="00AD1B30"/>
    <w:rsid w:val="00AD25A8"/>
    <w:rsid w:val="00AD3348"/>
    <w:rsid w:val="00AD3A60"/>
    <w:rsid w:val="00AE0F10"/>
    <w:rsid w:val="00AE2778"/>
    <w:rsid w:val="00AE49B9"/>
    <w:rsid w:val="00AE5820"/>
    <w:rsid w:val="00AE5CFB"/>
    <w:rsid w:val="00AF103A"/>
    <w:rsid w:val="00AF1BD3"/>
    <w:rsid w:val="00AF3EEE"/>
    <w:rsid w:val="00AF56B9"/>
    <w:rsid w:val="00AF6208"/>
    <w:rsid w:val="00AF6462"/>
    <w:rsid w:val="00B02596"/>
    <w:rsid w:val="00B02A77"/>
    <w:rsid w:val="00B05402"/>
    <w:rsid w:val="00B0556A"/>
    <w:rsid w:val="00B06297"/>
    <w:rsid w:val="00B106EC"/>
    <w:rsid w:val="00B11E21"/>
    <w:rsid w:val="00B13FE2"/>
    <w:rsid w:val="00B1460F"/>
    <w:rsid w:val="00B14EBA"/>
    <w:rsid w:val="00B21572"/>
    <w:rsid w:val="00B261B6"/>
    <w:rsid w:val="00B26F46"/>
    <w:rsid w:val="00B3521D"/>
    <w:rsid w:val="00B364F8"/>
    <w:rsid w:val="00B37770"/>
    <w:rsid w:val="00B37B92"/>
    <w:rsid w:val="00B4175D"/>
    <w:rsid w:val="00B41AC5"/>
    <w:rsid w:val="00B42707"/>
    <w:rsid w:val="00B42999"/>
    <w:rsid w:val="00B42E63"/>
    <w:rsid w:val="00B43A65"/>
    <w:rsid w:val="00B4487E"/>
    <w:rsid w:val="00B45AF8"/>
    <w:rsid w:val="00B47801"/>
    <w:rsid w:val="00B5104B"/>
    <w:rsid w:val="00B536D2"/>
    <w:rsid w:val="00B546BD"/>
    <w:rsid w:val="00B548FF"/>
    <w:rsid w:val="00B54B33"/>
    <w:rsid w:val="00B5695A"/>
    <w:rsid w:val="00B56A81"/>
    <w:rsid w:val="00B57BC6"/>
    <w:rsid w:val="00B60FFD"/>
    <w:rsid w:val="00B627F1"/>
    <w:rsid w:val="00B6700E"/>
    <w:rsid w:val="00B67537"/>
    <w:rsid w:val="00B72F52"/>
    <w:rsid w:val="00B73801"/>
    <w:rsid w:val="00B739FE"/>
    <w:rsid w:val="00B7415C"/>
    <w:rsid w:val="00B80866"/>
    <w:rsid w:val="00B808AB"/>
    <w:rsid w:val="00B830EC"/>
    <w:rsid w:val="00B83C55"/>
    <w:rsid w:val="00B84D9D"/>
    <w:rsid w:val="00B84E2B"/>
    <w:rsid w:val="00B85D3B"/>
    <w:rsid w:val="00B866D6"/>
    <w:rsid w:val="00B875B9"/>
    <w:rsid w:val="00B87C5A"/>
    <w:rsid w:val="00B9068B"/>
    <w:rsid w:val="00B9271F"/>
    <w:rsid w:val="00B92A5C"/>
    <w:rsid w:val="00B934BE"/>
    <w:rsid w:val="00B9355B"/>
    <w:rsid w:val="00B94E58"/>
    <w:rsid w:val="00B959C4"/>
    <w:rsid w:val="00B95BAE"/>
    <w:rsid w:val="00B960F7"/>
    <w:rsid w:val="00B961BA"/>
    <w:rsid w:val="00B97E0D"/>
    <w:rsid w:val="00BA0E89"/>
    <w:rsid w:val="00BA20CD"/>
    <w:rsid w:val="00BA34FB"/>
    <w:rsid w:val="00BA3C03"/>
    <w:rsid w:val="00BA43CC"/>
    <w:rsid w:val="00BB1D98"/>
    <w:rsid w:val="00BB232F"/>
    <w:rsid w:val="00BB38C3"/>
    <w:rsid w:val="00BB3D15"/>
    <w:rsid w:val="00BB3D7D"/>
    <w:rsid w:val="00BB428F"/>
    <w:rsid w:val="00BB6217"/>
    <w:rsid w:val="00BB6A2F"/>
    <w:rsid w:val="00BC4FB8"/>
    <w:rsid w:val="00BC577B"/>
    <w:rsid w:val="00BC5A86"/>
    <w:rsid w:val="00BC7248"/>
    <w:rsid w:val="00BC724C"/>
    <w:rsid w:val="00BD2542"/>
    <w:rsid w:val="00BE14C5"/>
    <w:rsid w:val="00BE1B77"/>
    <w:rsid w:val="00BE2097"/>
    <w:rsid w:val="00BE57EE"/>
    <w:rsid w:val="00BE65FE"/>
    <w:rsid w:val="00BE7CAD"/>
    <w:rsid w:val="00BF3124"/>
    <w:rsid w:val="00BF3872"/>
    <w:rsid w:val="00BF56CF"/>
    <w:rsid w:val="00BF5740"/>
    <w:rsid w:val="00BF733F"/>
    <w:rsid w:val="00C00908"/>
    <w:rsid w:val="00C00A91"/>
    <w:rsid w:val="00C0178B"/>
    <w:rsid w:val="00C05CCA"/>
    <w:rsid w:val="00C117E7"/>
    <w:rsid w:val="00C14B08"/>
    <w:rsid w:val="00C15B37"/>
    <w:rsid w:val="00C16008"/>
    <w:rsid w:val="00C20420"/>
    <w:rsid w:val="00C209F6"/>
    <w:rsid w:val="00C21961"/>
    <w:rsid w:val="00C24BB6"/>
    <w:rsid w:val="00C2520E"/>
    <w:rsid w:val="00C27CB2"/>
    <w:rsid w:val="00C31BE2"/>
    <w:rsid w:val="00C322D3"/>
    <w:rsid w:val="00C32400"/>
    <w:rsid w:val="00C3293F"/>
    <w:rsid w:val="00C33AD4"/>
    <w:rsid w:val="00C35011"/>
    <w:rsid w:val="00C35896"/>
    <w:rsid w:val="00C37261"/>
    <w:rsid w:val="00C37373"/>
    <w:rsid w:val="00C40740"/>
    <w:rsid w:val="00C44952"/>
    <w:rsid w:val="00C47CB8"/>
    <w:rsid w:val="00C52E7F"/>
    <w:rsid w:val="00C53059"/>
    <w:rsid w:val="00C53F82"/>
    <w:rsid w:val="00C55C1D"/>
    <w:rsid w:val="00C55DB7"/>
    <w:rsid w:val="00C6379E"/>
    <w:rsid w:val="00C63C96"/>
    <w:rsid w:val="00C643FD"/>
    <w:rsid w:val="00C654D6"/>
    <w:rsid w:val="00C65B24"/>
    <w:rsid w:val="00C70666"/>
    <w:rsid w:val="00C70BE6"/>
    <w:rsid w:val="00C71BC6"/>
    <w:rsid w:val="00C72132"/>
    <w:rsid w:val="00C75750"/>
    <w:rsid w:val="00C759ED"/>
    <w:rsid w:val="00C7630D"/>
    <w:rsid w:val="00C76A49"/>
    <w:rsid w:val="00C7792C"/>
    <w:rsid w:val="00C77B5E"/>
    <w:rsid w:val="00C80581"/>
    <w:rsid w:val="00C85B2D"/>
    <w:rsid w:val="00C86EF0"/>
    <w:rsid w:val="00C9274B"/>
    <w:rsid w:val="00C93A86"/>
    <w:rsid w:val="00C94238"/>
    <w:rsid w:val="00C949B9"/>
    <w:rsid w:val="00C959B6"/>
    <w:rsid w:val="00C95E93"/>
    <w:rsid w:val="00C97871"/>
    <w:rsid w:val="00CA1CD2"/>
    <w:rsid w:val="00CA1DC5"/>
    <w:rsid w:val="00CA21DD"/>
    <w:rsid w:val="00CA3553"/>
    <w:rsid w:val="00CA36BA"/>
    <w:rsid w:val="00CA4E74"/>
    <w:rsid w:val="00CB0485"/>
    <w:rsid w:val="00CB2918"/>
    <w:rsid w:val="00CB4327"/>
    <w:rsid w:val="00CB6802"/>
    <w:rsid w:val="00CB7CC2"/>
    <w:rsid w:val="00CC01D4"/>
    <w:rsid w:val="00CC036E"/>
    <w:rsid w:val="00CC2143"/>
    <w:rsid w:val="00CC2BBA"/>
    <w:rsid w:val="00CC2E56"/>
    <w:rsid w:val="00CC4882"/>
    <w:rsid w:val="00CC5031"/>
    <w:rsid w:val="00CC7CCF"/>
    <w:rsid w:val="00CD0B0B"/>
    <w:rsid w:val="00CD128E"/>
    <w:rsid w:val="00CD1E5A"/>
    <w:rsid w:val="00CD313B"/>
    <w:rsid w:val="00CD49D9"/>
    <w:rsid w:val="00CD6FDA"/>
    <w:rsid w:val="00CE1FA2"/>
    <w:rsid w:val="00CE2D8B"/>
    <w:rsid w:val="00CE46CD"/>
    <w:rsid w:val="00CE4931"/>
    <w:rsid w:val="00CE70FA"/>
    <w:rsid w:val="00CF0FFD"/>
    <w:rsid w:val="00CF4032"/>
    <w:rsid w:val="00CF4B0D"/>
    <w:rsid w:val="00CF5D40"/>
    <w:rsid w:val="00CF5E13"/>
    <w:rsid w:val="00CF62EC"/>
    <w:rsid w:val="00CF658C"/>
    <w:rsid w:val="00CF728A"/>
    <w:rsid w:val="00D0032C"/>
    <w:rsid w:val="00D029F6"/>
    <w:rsid w:val="00D02A97"/>
    <w:rsid w:val="00D04AB5"/>
    <w:rsid w:val="00D070C1"/>
    <w:rsid w:val="00D103CC"/>
    <w:rsid w:val="00D12735"/>
    <w:rsid w:val="00D13234"/>
    <w:rsid w:val="00D146EB"/>
    <w:rsid w:val="00D1601E"/>
    <w:rsid w:val="00D206AC"/>
    <w:rsid w:val="00D20A3B"/>
    <w:rsid w:val="00D22303"/>
    <w:rsid w:val="00D234EC"/>
    <w:rsid w:val="00D25D5C"/>
    <w:rsid w:val="00D26861"/>
    <w:rsid w:val="00D26ADC"/>
    <w:rsid w:val="00D26EE4"/>
    <w:rsid w:val="00D27C5C"/>
    <w:rsid w:val="00D30F0D"/>
    <w:rsid w:val="00D350EC"/>
    <w:rsid w:val="00D3571A"/>
    <w:rsid w:val="00D3651B"/>
    <w:rsid w:val="00D36E8E"/>
    <w:rsid w:val="00D37823"/>
    <w:rsid w:val="00D403E5"/>
    <w:rsid w:val="00D43589"/>
    <w:rsid w:val="00D53E79"/>
    <w:rsid w:val="00D54399"/>
    <w:rsid w:val="00D55904"/>
    <w:rsid w:val="00D60D62"/>
    <w:rsid w:val="00D70522"/>
    <w:rsid w:val="00D7188D"/>
    <w:rsid w:val="00D72DBB"/>
    <w:rsid w:val="00D74C6A"/>
    <w:rsid w:val="00D759C2"/>
    <w:rsid w:val="00D813F5"/>
    <w:rsid w:val="00D8419A"/>
    <w:rsid w:val="00D85E5D"/>
    <w:rsid w:val="00D86A80"/>
    <w:rsid w:val="00D879DD"/>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B05CD"/>
    <w:rsid w:val="00DB10DC"/>
    <w:rsid w:val="00DB128F"/>
    <w:rsid w:val="00DB2013"/>
    <w:rsid w:val="00DB2429"/>
    <w:rsid w:val="00DB3AD1"/>
    <w:rsid w:val="00DB3E22"/>
    <w:rsid w:val="00DC01D0"/>
    <w:rsid w:val="00DC297C"/>
    <w:rsid w:val="00DC4ABA"/>
    <w:rsid w:val="00DC548B"/>
    <w:rsid w:val="00DC5A57"/>
    <w:rsid w:val="00DC6B27"/>
    <w:rsid w:val="00DD1841"/>
    <w:rsid w:val="00DD6C05"/>
    <w:rsid w:val="00DD7A1D"/>
    <w:rsid w:val="00DE0DD4"/>
    <w:rsid w:val="00DE1EF1"/>
    <w:rsid w:val="00DE2A2F"/>
    <w:rsid w:val="00DE3BEF"/>
    <w:rsid w:val="00DE4397"/>
    <w:rsid w:val="00DF02AE"/>
    <w:rsid w:val="00DF3CC5"/>
    <w:rsid w:val="00DF4497"/>
    <w:rsid w:val="00DF62D8"/>
    <w:rsid w:val="00DF63EA"/>
    <w:rsid w:val="00E00C5A"/>
    <w:rsid w:val="00E04C5E"/>
    <w:rsid w:val="00E052E9"/>
    <w:rsid w:val="00E06050"/>
    <w:rsid w:val="00E10471"/>
    <w:rsid w:val="00E10488"/>
    <w:rsid w:val="00E11AA6"/>
    <w:rsid w:val="00E12154"/>
    <w:rsid w:val="00E21A3F"/>
    <w:rsid w:val="00E2200C"/>
    <w:rsid w:val="00E22991"/>
    <w:rsid w:val="00E26365"/>
    <w:rsid w:val="00E278D1"/>
    <w:rsid w:val="00E279AC"/>
    <w:rsid w:val="00E33B8C"/>
    <w:rsid w:val="00E35167"/>
    <w:rsid w:val="00E352E0"/>
    <w:rsid w:val="00E360C8"/>
    <w:rsid w:val="00E370F7"/>
    <w:rsid w:val="00E41A94"/>
    <w:rsid w:val="00E46EEA"/>
    <w:rsid w:val="00E5228E"/>
    <w:rsid w:val="00E533B8"/>
    <w:rsid w:val="00E53895"/>
    <w:rsid w:val="00E548A0"/>
    <w:rsid w:val="00E551D0"/>
    <w:rsid w:val="00E55B4C"/>
    <w:rsid w:val="00E61816"/>
    <w:rsid w:val="00E70545"/>
    <w:rsid w:val="00E74A22"/>
    <w:rsid w:val="00E75478"/>
    <w:rsid w:val="00E7646D"/>
    <w:rsid w:val="00E8056E"/>
    <w:rsid w:val="00E813BA"/>
    <w:rsid w:val="00E82E84"/>
    <w:rsid w:val="00E85CAA"/>
    <w:rsid w:val="00E85FB7"/>
    <w:rsid w:val="00E86EFE"/>
    <w:rsid w:val="00E8732F"/>
    <w:rsid w:val="00E91C14"/>
    <w:rsid w:val="00E91EE0"/>
    <w:rsid w:val="00E953B4"/>
    <w:rsid w:val="00E96C08"/>
    <w:rsid w:val="00E97983"/>
    <w:rsid w:val="00EA195F"/>
    <w:rsid w:val="00EA3117"/>
    <w:rsid w:val="00EA4201"/>
    <w:rsid w:val="00EA46A9"/>
    <w:rsid w:val="00EA46B3"/>
    <w:rsid w:val="00EA5179"/>
    <w:rsid w:val="00EA713C"/>
    <w:rsid w:val="00EB1C44"/>
    <w:rsid w:val="00EB3078"/>
    <w:rsid w:val="00EB307A"/>
    <w:rsid w:val="00EB3FA4"/>
    <w:rsid w:val="00EB4D48"/>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7AA8"/>
    <w:rsid w:val="00EE2124"/>
    <w:rsid w:val="00EE3CE0"/>
    <w:rsid w:val="00EE596F"/>
    <w:rsid w:val="00EE5E28"/>
    <w:rsid w:val="00EF0AB1"/>
    <w:rsid w:val="00EF0E24"/>
    <w:rsid w:val="00EF3C0A"/>
    <w:rsid w:val="00EF5A5F"/>
    <w:rsid w:val="00EF64B3"/>
    <w:rsid w:val="00F01EC3"/>
    <w:rsid w:val="00F03009"/>
    <w:rsid w:val="00F045B8"/>
    <w:rsid w:val="00F050EA"/>
    <w:rsid w:val="00F063AA"/>
    <w:rsid w:val="00F070A9"/>
    <w:rsid w:val="00F108A2"/>
    <w:rsid w:val="00F12719"/>
    <w:rsid w:val="00F15042"/>
    <w:rsid w:val="00F15C10"/>
    <w:rsid w:val="00F20365"/>
    <w:rsid w:val="00F247A0"/>
    <w:rsid w:val="00F25E70"/>
    <w:rsid w:val="00F26BCB"/>
    <w:rsid w:val="00F27B11"/>
    <w:rsid w:val="00F30425"/>
    <w:rsid w:val="00F325BB"/>
    <w:rsid w:val="00F32D29"/>
    <w:rsid w:val="00F410B0"/>
    <w:rsid w:val="00F4324B"/>
    <w:rsid w:val="00F45099"/>
    <w:rsid w:val="00F45AFA"/>
    <w:rsid w:val="00F46454"/>
    <w:rsid w:val="00F46BC3"/>
    <w:rsid w:val="00F478A8"/>
    <w:rsid w:val="00F50C44"/>
    <w:rsid w:val="00F51E97"/>
    <w:rsid w:val="00F53FF2"/>
    <w:rsid w:val="00F5484E"/>
    <w:rsid w:val="00F551DC"/>
    <w:rsid w:val="00F57EB5"/>
    <w:rsid w:val="00F643C2"/>
    <w:rsid w:val="00F667C4"/>
    <w:rsid w:val="00F729C0"/>
    <w:rsid w:val="00F73125"/>
    <w:rsid w:val="00F73677"/>
    <w:rsid w:val="00F747E9"/>
    <w:rsid w:val="00F74B36"/>
    <w:rsid w:val="00F74C3A"/>
    <w:rsid w:val="00F7617D"/>
    <w:rsid w:val="00F76986"/>
    <w:rsid w:val="00F76A1F"/>
    <w:rsid w:val="00F81861"/>
    <w:rsid w:val="00F81F83"/>
    <w:rsid w:val="00F81FC6"/>
    <w:rsid w:val="00F856C9"/>
    <w:rsid w:val="00F86B04"/>
    <w:rsid w:val="00F86ECB"/>
    <w:rsid w:val="00F872FA"/>
    <w:rsid w:val="00F873B8"/>
    <w:rsid w:val="00F907AE"/>
    <w:rsid w:val="00F916F8"/>
    <w:rsid w:val="00F934A2"/>
    <w:rsid w:val="00F93A30"/>
    <w:rsid w:val="00F9432F"/>
    <w:rsid w:val="00FA3D44"/>
    <w:rsid w:val="00FA4289"/>
    <w:rsid w:val="00FA5773"/>
    <w:rsid w:val="00FA6780"/>
    <w:rsid w:val="00FB002E"/>
    <w:rsid w:val="00FB0CD6"/>
    <w:rsid w:val="00FB267E"/>
    <w:rsid w:val="00FB3A65"/>
    <w:rsid w:val="00FB6DE2"/>
    <w:rsid w:val="00FC0C28"/>
    <w:rsid w:val="00FC1885"/>
    <w:rsid w:val="00FC440F"/>
    <w:rsid w:val="00FC4C0A"/>
    <w:rsid w:val="00FC67BF"/>
    <w:rsid w:val="00FC7A25"/>
    <w:rsid w:val="00FD23E9"/>
    <w:rsid w:val="00FD3D1D"/>
    <w:rsid w:val="00FD509C"/>
    <w:rsid w:val="00FD5F48"/>
    <w:rsid w:val="00FE3B9D"/>
    <w:rsid w:val="00FE3EA1"/>
    <w:rsid w:val="00FE3F68"/>
    <w:rsid w:val="00FE4475"/>
    <w:rsid w:val="00FE69AB"/>
    <w:rsid w:val="00FE6A99"/>
    <w:rsid w:val="00FE7FBE"/>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GivenName"/>
  <w:smartTagType w:namespaceuri="urn:schemas-microsoft-com:office:smarttags" w:name="PersonName"/>
  <w:smartTagType w:namespaceuri="urn:schemas:contacts" w:name="Sn"/>
  <w:smartTagType w:namespaceuri="urn:schemas-microsoft-com:office:smarttags" w:name="country-region"/>
  <w:smartTagType w:namespaceuri="urn:schemas-microsoft-com:office:smarttags" w:name="place"/>
  <w:shapeDefaults>
    <o:shapedefaults v:ext="edit" spidmax="7170">
      <o:colormenu v:ext="edit" fillcolor="silver"/>
    </o:shapedefaults>
    <o:shapelayout v:ext="edit">
      <o:idmap v:ext="edit" data="1"/>
    </o:shapelayout>
  </w:shapeDefaults>
  <w:decimalSymbol w:val="."/>
  <w:listSeparator w:val=","/>
  <w14:docId w14:val="63CDF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basedOn w:val="bannertop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basedOn w:val="DefaultParagraphFont"/>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basedOn w:val="DefaultParagraphFont"/>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basedOn w:val="DefaultParagraphFont"/>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basedOn w:val="DefaultParagraphFont"/>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basedOn w:val="DefaultParagraphFont"/>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basedOn w:val="DefaultParagraphFont"/>
    <w:link w:val="TOC2"/>
    <w:rsid w:val="005E33A7"/>
    <w:rPr>
      <w:rFonts w:ascii="Arial" w:hAnsi="Arial" w:cs="Arial"/>
      <w:sz w:val="22"/>
      <w:szCs w:val="22"/>
      <w:lang w:val="en-AU" w:eastAsia="en-AU" w:bidi="ar-SA"/>
    </w:rPr>
  </w:style>
  <w:style w:type="character" w:customStyle="1" w:styleId="TOC3Char">
    <w:name w:val="TOC 3 Char"/>
    <w:basedOn w:val="DefaultParagraphFont"/>
    <w:link w:val="TOC3"/>
    <w:rsid w:val="005E33A7"/>
    <w:rPr>
      <w:rFonts w:ascii="Arial" w:hAnsi="Arial" w:cs="Arial"/>
      <w:noProof/>
      <w:sz w:val="22"/>
      <w:szCs w:val="22"/>
      <w:lang w:val="en-AU" w:eastAsia="en-AU" w:bidi="ar-SA"/>
    </w:rPr>
  </w:style>
  <w:style w:type="character" w:customStyle="1" w:styleId="TOC4Char">
    <w:name w:val="TOC 4 Char"/>
    <w:basedOn w:val="DefaultParagraphFont"/>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basedOn w:val="DefaultParagraphFont"/>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basedOn w:val="DefaultParagraphFont"/>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basedOn w:val="DefaultParagraphFont"/>
    <w:link w:val="Head1"/>
    <w:rsid w:val="007B7F05"/>
    <w:rPr>
      <w:rFonts w:ascii="Arial" w:hAnsi="Arial" w:cs="Arial"/>
      <w:caps/>
      <w:kern w:val="36"/>
      <w:sz w:val="36"/>
      <w:szCs w:val="36"/>
      <w:lang w:val="en-AU" w:eastAsia="en-AU" w:bidi="ar-SA"/>
    </w:rPr>
  </w:style>
  <w:style w:type="character" w:styleId="CommentReference">
    <w:name w:val="annotation reference"/>
    <w:basedOn w:val="DefaultParagraphFont"/>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basedOn w:val="DefaultParagraphFont"/>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basedOn w:val="DefaultParagraphFont"/>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basedOn w:val="DefaultParagraphFont"/>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basedOn w:val="DefaultParagraphFont"/>
    <w:rsid w:val="005E33A7"/>
    <w:rPr>
      <w:color w:val="0000FF"/>
    </w:rPr>
  </w:style>
  <w:style w:type="character" w:customStyle="1" w:styleId="pi1">
    <w:name w:val="pi1"/>
    <w:basedOn w:val="DefaultParagraphFont"/>
    <w:rsid w:val="005E33A7"/>
    <w:rPr>
      <w:color w:val="0000FF"/>
    </w:rPr>
  </w:style>
  <w:style w:type="character" w:customStyle="1" w:styleId="ci1">
    <w:name w:val="ci1"/>
    <w:basedOn w:val="DefaultParagraphFont"/>
    <w:rsid w:val="005E33A7"/>
    <w:rPr>
      <w:rFonts w:ascii="Courier" w:hAnsi="Courier" w:hint="default"/>
      <w:color w:val="888888"/>
      <w:sz w:val="24"/>
      <w:szCs w:val="24"/>
    </w:rPr>
  </w:style>
  <w:style w:type="character" w:customStyle="1" w:styleId="b1">
    <w:name w:val="b1"/>
    <w:basedOn w:val="DefaultParagraphFont"/>
    <w:rsid w:val="005E33A7"/>
    <w:rPr>
      <w:rFonts w:ascii="Courier New" w:hAnsi="Courier New" w:cs="Courier New" w:hint="default"/>
      <w:b/>
      <w:bCs/>
      <w:strike w:val="0"/>
      <w:dstrike w:val="0"/>
      <w:color w:val="FF0000"/>
      <w:u w:val="none"/>
      <w:effect w:val="none"/>
    </w:rPr>
  </w:style>
  <w:style w:type="character" w:customStyle="1" w:styleId="t1">
    <w:name w:val="t1"/>
    <w:basedOn w:val="DefaultParagraphFont"/>
    <w:rsid w:val="005E33A7"/>
    <w:rPr>
      <w:color w:val="990000"/>
    </w:rPr>
  </w:style>
  <w:style w:type="character" w:customStyle="1" w:styleId="ns1">
    <w:name w:val="ns1"/>
    <w:basedOn w:val="DefaultParagraphFont"/>
    <w:rsid w:val="005E33A7"/>
    <w:rPr>
      <w:color w:val="FF0000"/>
    </w:rPr>
  </w:style>
  <w:style w:type="character" w:customStyle="1" w:styleId="tx1">
    <w:name w:val="tx1"/>
    <w:basedOn w:val="DefaultParagraphFont"/>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basedOn w:val="DefaultParagraphFont"/>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basedOn w:val="DefaultParagraphFont"/>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basedOn w:val="MaintextChar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basedOn w:val="DefaultParagraphFont"/>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basedOn w:val="DefaultParagraphFont"/>
    <w:link w:val="Heading5"/>
    <w:rsid w:val="00245BB9"/>
    <w:rPr>
      <w:rFonts w:ascii="Arial" w:hAnsi="Arial"/>
      <w:b/>
      <w:bCs/>
      <w:i/>
      <w:iCs/>
      <w:szCs w:val="26"/>
      <w:lang w:val="en-AU" w:eastAsia="en-AU" w:bidi="ar-SA"/>
    </w:rPr>
  </w:style>
  <w:style w:type="character" w:customStyle="1" w:styleId="FooterChar">
    <w:name w:val="Footer Char"/>
    <w:basedOn w:val="DefaultParagraphFont"/>
    <w:link w:val="Footer"/>
    <w:rsid w:val="00FB6DE2"/>
    <w:rPr>
      <w:rFonts w:ascii="Arial" w:hAnsi="Arial" w:cs="Arial"/>
      <w:caps/>
      <w:sz w:val="15"/>
      <w:szCs w:val="15"/>
      <w:lang w:val="en-AU" w:eastAsia="en-AU"/>
    </w:rPr>
  </w:style>
  <w:style w:type="character" w:customStyle="1" w:styleId="HeaderChar">
    <w:name w:val="Header Char"/>
    <w:basedOn w:val="DefaultParagraphFont"/>
    <w:link w:val="Header"/>
    <w:semiHidden/>
    <w:rsid w:val="00FB6DE2"/>
    <w:rPr>
      <w:rFonts w:ascii="Arial" w:hAnsi="Arial" w:cs="Arial"/>
      <w:caps/>
      <w:lang w:val="en-AU" w:eastAsia="en-AU"/>
    </w:rPr>
  </w:style>
  <w:style w:type="character" w:customStyle="1" w:styleId="Heading1Char">
    <w:name w:val="Heading 1 Char"/>
    <w:basedOn w:val="DefaultParagraphFont"/>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311102357">
      <w:bodyDiv w:val="1"/>
      <w:marLeft w:val="0"/>
      <w:marRight w:val="0"/>
      <w:marTop w:val="0"/>
      <w:marBottom w:val="0"/>
      <w:divBdr>
        <w:top w:val="none" w:sz="0" w:space="0" w:color="auto"/>
        <w:left w:val="none" w:sz="0" w:space="0" w:color="auto"/>
        <w:bottom w:val="none" w:sz="0" w:space="0" w:color="auto"/>
        <w:right w:val="none" w:sz="0" w:space="0" w:color="auto"/>
      </w:divBdr>
    </w:div>
    <w:div w:id="386759466">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68083621">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53958780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BRServiceDesk@sbr.gov.a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sbr.gov.au/content/myhome/softwaredevelopers/downloads/ato"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6.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B53075FF-48A8-4C13-8977-40F4FB95E222}"/>
</file>

<file path=customXml/itemProps2.xml><?xml version="1.0" encoding="utf-8"?>
<ds:datastoreItem xmlns:ds="http://schemas.openxmlformats.org/officeDocument/2006/customXml" ds:itemID="{841FE128-9951-4383-A8D5-E9473D933978}"/>
</file>

<file path=customXml/itemProps3.xml><?xml version="1.0" encoding="utf-8"?>
<ds:datastoreItem xmlns:ds="http://schemas.openxmlformats.org/officeDocument/2006/customXml" ds:itemID="{0DF96781-A342-449C-9031-726AFE8DE1BA}"/>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8</Pages>
  <Words>1328</Words>
  <Characters>7573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Australian Taxation Office</Company>
  <LinksUpToDate>false</LinksUpToDate>
  <CharactersWithSpaces>8884</CharactersWithSpaces>
  <SharedDoc>false</SharedDoc>
  <HLinks>
    <vt:vector size="144" baseType="variant">
      <vt:variant>
        <vt:i4>7208997</vt:i4>
      </vt:variant>
      <vt:variant>
        <vt:i4>138</vt:i4>
      </vt:variant>
      <vt:variant>
        <vt:i4>0</vt:i4>
      </vt:variant>
      <vt:variant>
        <vt:i4>5</vt:i4>
      </vt:variant>
      <vt:variant>
        <vt:lpwstr>https://www.sbr.gov.au/content/myhome/softwaredevelopers/downloads/ato</vt:lpwstr>
      </vt:variant>
      <vt:variant>
        <vt:lpwstr/>
      </vt:variant>
      <vt:variant>
        <vt:i4>1048624</vt:i4>
      </vt:variant>
      <vt:variant>
        <vt:i4>131</vt:i4>
      </vt:variant>
      <vt:variant>
        <vt:i4>0</vt:i4>
      </vt:variant>
      <vt:variant>
        <vt:i4>5</vt:i4>
      </vt:variant>
      <vt:variant>
        <vt:lpwstr/>
      </vt:variant>
      <vt:variant>
        <vt:lpwstr>_Toc322522322</vt:lpwstr>
      </vt:variant>
      <vt:variant>
        <vt:i4>1048624</vt:i4>
      </vt:variant>
      <vt:variant>
        <vt:i4>125</vt:i4>
      </vt:variant>
      <vt:variant>
        <vt:i4>0</vt:i4>
      </vt:variant>
      <vt:variant>
        <vt:i4>5</vt:i4>
      </vt:variant>
      <vt:variant>
        <vt:lpwstr/>
      </vt:variant>
      <vt:variant>
        <vt:lpwstr>_Toc322522321</vt:lpwstr>
      </vt:variant>
      <vt:variant>
        <vt:i4>1048624</vt:i4>
      </vt:variant>
      <vt:variant>
        <vt:i4>119</vt:i4>
      </vt:variant>
      <vt:variant>
        <vt:i4>0</vt:i4>
      </vt:variant>
      <vt:variant>
        <vt:i4>5</vt:i4>
      </vt:variant>
      <vt:variant>
        <vt:lpwstr/>
      </vt:variant>
      <vt:variant>
        <vt:lpwstr>_Toc322522320</vt:lpwstr>
      </vt:variant>
      <vt:variant>
        <vt:i4>1245232</vt:i4>
      </vt:variant>
      <vt:variant>
        <vt:i4>113</vt:i4>
      </vt:variant>
      <vt:variant>
        <vt:i4>0</vt:i4>
      </vt:variant>
      <vt:variant>
        <vt:i4>5</vt:i4>
      </vt:variant>
      <vt:variant>
        <vt:lpwstr/>
      </vt:variant>
      <vt:variant>
        <vt:lpwstr>_Toc322522319</vt:lpwstr>
      </vt:variant>
      <vt:variant>
        <vt:i4>1245232</vt:i4>
      </vt:variant>
      <vt:variant>
        <vt:i4>107</vt:i4>
      </vt:variant>
      <vt:variant>
        <vt:i4>0</vt:i4>
      </vt:variant>
      <vt:variant>
        <vt:i4>5</vt:i4>
      </vt:variant>
      <vt:variant>
        <vt:lpwstr/>
      </vt:variant>
      <vt:variant>
        <vt:lpwstr>_Toc322522318</vt:lpwstr>
      </vt:variant>
      <vt:variant>
        <vt:i4>1245232</vt:i4>
      </vt:variant>
      <vt:variant>
        <vt:i4>101</vt:i4>
      </vt:variant>
      <vt:variant>
        <vt:i4>0</vt:i4>
      </vt:variant>
      <vt:variant>
        <vt:i4>5</vt:i4>
      </vt:variant>
      <vt:variant>
        <vt:lpwstr/>
      </vt:variant>
      <vt:variant>
        <vt:lpwstr>_Toc322522317</vt:lpwstr>
      </vt:variant>
      <vt:variant>
        <vt:i4>1245232</vt:i4>
      </vt:variant>
      <vt:variant>
        <vt:i4>95</vt:i4>
      </vt:variant>
      <vt:variant>
        <vt:i4>0</vt:i4>
      </vt:variant>
      <vt:variant>
        <vt:i4>5</vt:i4>
      </vt:variant>
      <vt:variant>
        <vt:lpwstr/>
      </vt:variant>
      <vt:variant>
        <vt:lpwstr>_Toc322522316</vt:lpwstr>
      </vt:variant>
      <vt:variant>
        <vt:i4>1245232</vt:i4>
      </vt:variant>
      <vt:variant>
        <vt:i4>89</vt:i4>
      </vt:variant>
      <vt:variant>
        <vt:i4>0</vt:i4>
      </vt:variant>
      <vt:variant>
        <vt:i4>5</vt:i4>
      </vt:variant>
      <vt:variant>
        <vt:lpwstr/>
      </vt:variant>
      <vt:variant>
        <vt:lpwstr>_Toc322522315</vt:lpwstr>
      </vt:variant>
      <vt:variant>
        <vt:i4>1245232</vt:i4>
      </vt:variant>
      <vt:variant>
        <vt:i4>83</vt:i4>
      </vt:variant>
      <vt:variant>
        <vt:i4>0</vt:i4>
      </vt:variant>
      <vt:variant>
        <vt:i4>5</vt:i4>
      </vt:variant>
      <vt:variant>
        <vt:lpwstr/>
      </vt:variant>
      <vt:variant>
        <vt:lpwstr>_Toc322522314</vt:lpwstr>
      </vt:variant>
      <vt:variant>
        <vt:i4>1245232</vt:i4>
      </vt:variant>
      <vt:variant>
        <vt:i4>77</vt:i4>
      </vt:variant>
      <vt:variant>
        <vt:i4>0</vt:i4>
      </vt:variant>
      <vt:variant>
        <vt:i4>5</vt:i4>
      </vt:variant>
      <vt:variant>
        <vt:lpwstr/>
      </vt:variant>
      <vt:variant>
        <vt:lpwstr>_Toc322522313</vt:lpwstr>
      </vt:variant>
      <vt:variant>
        <vt:i4>1245232</vt:i4>
      </vt:variant>
      <vt:variant>
        <vt:i4>71</vt:i4>
      </vt:variant>
      <vt:variant>
        <vt:i4>0</vt:i4>
      </vt:variant>
      <vt:variant>
        <vt:i4>5</vt:i4>
      </vt:variant>
      <vt:variant>
        <vt:lpwstr/>
      </vt:variant>
      <vt:variant>
        <vt:lpwstr>_Toc322522312</vt:lpwstr>
      </vt:variant>
      <vt:variant>
        <vt:i4>1245232</vt:i4>
      </vt:variant>
      <vt:variant>
        <vt:i4>65</vt:i4>
      </vt:variant>
      <vt:variant>
        <vt:i4>0</vt:i4>
      </vt:variant>
      <vt:variant>
        <vt:i4>5</vt:i4>
      </vt:variant>
      <vt:variant>
        <vt:lpwstr/>
      </vt:variant>
      <vt:variant>
        <vt:lpwstr>_Toc322522311</vt:lpwstr>
      </vt:variant>
      <vt:variant>
        <vt:i4>1245232</vt:i4>
      </vt:variant>
      <vt:variant>
        <vt:i4>59</vt:i4>
      </vt:variant>
      <vt:variant>
        <vt:i4>0</vt:i4>
      </vt:variant>
      <vt:variant>
        <vt:i4>5</vt:i4>
      </vt:variant>
      <vt:variant>
        <vt:lpwstr/>
      </vt:variant>
      <vt:variant>
        <vt:lpwstr>_Toc322522310</vt:lpwstr>
      </vt:variant>
      <vt:variant>
        <vt:i4>1179696</vt:i4>
      </vt:variant>
      <vt:variant>
        <vt:i4>53</vt:i4>
      </vt:variant>
      <vt:variant>
        <vt:i4>0</vt:i4>
      </vt:variant>
      <vt:variant>
        <vt:i4>5</vt:i4>
      </vt:variant>
      <vt:variant>
        <vt:lpwstr/>
      </vt:variant>
      <vt:variant>
        <vt:lpwstr>_Toc322522309</vt:lpwstr>
      </vt:variant>
      <vt:variant>
        <vt:i4>1179696</vt:i4>
      </vt:variant>
      <vt:variant>
        <vt:i4>47</vt:i4>
      </vt:variant>
      <vt:variant>
        <vt:i4>0</vt:i4>
      </vt:variant>
      <vt:variant>
        <vt:i4>5</vt:i4>
      </vt:variant>
      <vt:variant>
        <vt:lpwstr/>
      </vt:variant>
      <vt:variant>
        <vt:lpwstr>_Toc322522308</vt:lpwstr>
      </vt:variant>
      <vt:variant>
        <vt:i4>1179696</vt:i4>
      </vt:variant>
      <vt:variant>
        <vt:i4>41</vt:i4>
      </vt:variant>
      <vt:variant>
        <vt:i4>0</vt:i4>
      </vt:variant>
      <vt:variant>
        <vt:i4>5</vt:i4>
      </vt:variant>
      <vt:variant>
        <vt:lpwstr/>
      </vt:variant>
      <vt:variant>
        <vt:lpwstr>_Toc322522307</vt:lpwstr>
      </vt:variant>
      <vt:variant>
        <vt:i4>1179696</vt:i4>
      </vt:variant>
      <vt:variant>
        <vt:i4>35</vt:i4>
      </vt:variant>
      <vt:variant>
        <vt:i4>0</vt:i4>
      </vt:variant>
      <vt:variant>
        <vt:i4>5</vt:i4>
      </vt:variant>
      <vt:variant>
        <vt:lpwstr/>
      </vt:variant>
      <vt:variant>
        <vt:lpwstr>_Toc322522306</vt:lpwstr>
      </vt:variant>
      <vt:variant>
        <vt:i4>1179696</vt:i4>
      </vt:variant>
      <vt:variant>
        <vt:i4>29</vt:i4>
      </vt:variant>
      <vt:variant>
        <vt:i4>0</vt:i4>
      </vt:variant>
      <vt:variant>
        <vt:i4>5</vt:i4>
      </vt:variant>
      <vt:variant>
        <vt:lpwstr/>
      </vt:variant>
      <vt:variant>
        <vt:lpwstr>_Toc322522305</vt:lpwstr>
      </vt:variant>
      <vt:variant>
        <vt:i4>1179696</vt:i4>
      </vt:variant>
      <vt:variant>
        <vt:i4>23</vt:i4>
      </vt:variant>
      <vt:variant>
        <vt:i4>0</vt:i4>
      </vt:variant>
      <vt:variant>
        <vt:i4>5</vt:i4>
      </vt:variant>
      <vt:variant>
        <vt:lpwstr/>
      </vt:variant>
      <vt:variant>
        <vt:lpwstr>_Toc322522304</vt:lpwstr>
      </vt:variant>
      <vt:variant>
        <vt:i4>1179696</vt:i4>
      </vt:variant>
      <vt:variant>
        <vt:i4>17</vt:i4>
      </vt:variant>
      <vt:variant>
        <vt:i4>0</vt:i4>
      </vt:variant>
      <vt:variant>
        <vt:i4>5</vt:i4>
      </vt:variant>
      <vt:variant>
        <vt:lpwstr/>
      </vt:variant>
      <vt:variant>
        <vt:lpwstr>_Toc322522303</vt:lpwstr>
      </vt:variant>
      <vt:variant>
        <vt:i4>1179696</vt:i4>
      </vt:variant>
      <vt:variant>
        <vt:i4>11</vt:i4>
      </vt:variant>
      <vt:variant>
        <vt:i4>0</vt:i4>
      </vt:variant>
      <vt:variant>
        <vt:i4>5</vt:i4>
      </vt:variant>
      <vt:variant>
        <vt:lpwstr/>
      </vt:variant>
      <vt:variant>
        <vt:lpwstr>_Toc322522302</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CGTS.0002 2012 Release Notes</dc:title>
  <dc:creator>uanme</dc:creator>
  <dc:description/>
  <cp:lastModifiedBy>uanme</cp:lastModifiedBy>
  <cp:revision>2</cp:revision>
  <cp:lastPrinted>2012-03-30T04:45:00Z</cp:lastPrinted>
  <dcterms:created xsi:type="dcterms:W3CDTF">2014-12-03T02:49:00Z</dcterms:created>
  <dcterms:modified xsi:type="dcterms:W3CDTF">2014-12-03T02:49:00Z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-28539446</vt:i4>
  </property>
  <property fmtid="{D5CDD505-2E9C-101B-9397-08002B2CF9AE}" pid="3" name="_NewReviewCycle">
    <vt:lpwstr/>
  </property>
  <property fmtid="{D5CDD505-2E9C-101B-9397-08002B2CF9AE}" pid="4" name="ContentType">
    <vt:lpwstr>Document</vt:lpwstr>
  </property>
  <property fmtid="{D5CDD505-2E9C-101B-9397-08002B2CF9AE}" pid="5" name="_ReviewingToolsShownOnce">
    <vt:lpwstr/>
  </property>
  <property fmtid="{D5CDD505-2E9C-101B-9397-08002B2CF9AE}" pid="6" name="URL">
    <vt:lpwstr/>
  </property>
</Properties>
</file>