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78" w:rsidRPr="00AA2F9E" w:rsidRDefault="00A82B78" w:rsidP="001B2F5C">
      <w:pPr>
        <w:spacing w:after="120" w:line="240" w:lineRule="auto"/>
        <w:rPr>
          <w:b/>
          <w:bCs/>
          <w:color w:val="595959" w:themeColor="text1" w:themeTint="A6"/>
          <w:sz w:val="24"/>
          <w:szCs w:val="24"/>
        </w:rPr>
      </w:pPr>
      <w:bookmarkStart w:id="0" w:name="page-content"/>
      <w:r w:rsidRPr="001B2F5C">
        <w:rPr>
          <w:b/>
          <w:bCs/>
          <w:color w:val="595959" w:themeColor="text1" w:themeTint="A6"/>
          <w:sz w:val="40"/>
          <w:szCs w:val="40"/>
        </w:rPr>
        <w:t xml:space="preserve">ATO </w:t>
      </w:r>
      <w:r w:rsidR="00A2485D">
        <w:rPr>
          <w:b/>
          <w:bCs/>
          <w:color w:val="595959" w:themeColor="text1" w:themeTint="A6"/>
          <w:sz w:val="40"/>
          <w:szCs w:val="40"/>
        </w:rPr>
        <w:t>Previous C</w:t>
      </w:r>
      <w:r w:rsidRPr="001B2F5C">
        <w:rPr>
          <w:b/>
          <w:bCs/>
          <w:color w:val="595959" w:themeColor="text1" w:themeTint="A6"/>
          <w:sz w:val="40"/>
          <w:szCs w:val="40"/>
        </w:rPr>
        <w:t xml:space="preserve">ontent </w:t>
      </w:r>
      <w:r w:rsidR="00A2485D">
        <w:rPr>
          <w:b/>
          <w:bCs/>
          <w:color w:val="595959" w:themeColor="text1" w:themeTint="A6"/>
          <w:sz w:val="40"/>
          <w:szCs w:val="40"/>
        </w:rPr>
        <w:t>R</w:t>
      </w:r>
      <w:r w:rsidRPr="001B2F5C">
        <w:rPr>
          <w:b/>
          <w:bCs/>
          <w:color w:val="595959" w:themeColor="text1" w:themeTint="A6"/>
          <w:sz w:val="40"/>
          <w:szCs w:val="40"/>
        </w:rPr>
        <w:t>estructure</w:t>
      </w:r>
      <w:r w:rsidR="00AA2F9E">
        <w:rPr>
          <w:b/>
          <w:bCs/>
          <w:color w:val="595959" w:themeColor="text1" w:themeTint="A6"/>
          <w:sz w:val="40"/>
          <w:szCs w:val="40"/>
        </w:rPr>
        <w:t xml:space="preserve"> </w:t>
      </w:r>
      <w:r w:rsidR="00AA2F9E" w:rsidRPr="00AA2F9E">
        <w:rPr>
          <w:b/>
          <w:bCs/>
          <w:color w:val="595959" w:themeColor="text1" w:themeTint="A6"/>
          <w:sz w:val="24"/>
          <w:szCs w:val="24"/>
        </w:rPr>
        <w:t xml:space="preserve">(originally published on </w:t>
      </w:r>
      <w:r w:rsidR="00AA2F9E">
        <w:rPr>
          <w:b/>
          <w:bCs/>
          <w:color w:val="595959" w:themeColor="text1" w:themeTint="A6"/>
          <w:sz w:val="24"/>
          <w:szCs w:val="24"/>
        </w:rPr>
        <w:t xml:space="preserve">sbr.gov.au </w:t>
      </w:r>
      <w:r w:rsidR="00CB5B77">
        <w:rPr>
          <w:b/>
          <w:bCs/>
          <w:color w:val="595959" w:themeColor="text1" w:themeTint="A6"/>
          <w:sz w:val="24"/>
          <w:szCs w:val="24"/>
        </w:rPr>
        <w:t>28.02.2015)</w:t>
      </w:r>
      <w:bookmarkStart w:id="1" w:name="_GoBack"/>
      <w:bookmarkEnd w:id="1"/>
    </w:p>
    <w:bookmarkEnd w:id="0"/>
    <w:p w:rsidR="00A82B78" w:rsidRPr="001B2F5C" w:rsidRDefault="00A82B78" w:rsidP="00123CCE">
      <w:pPr>
        <w:spacing w:line="240" w:lineRule="auto"/>
        <w:rPr>
          <w:color w:val="595959" w:themeColor="text1" w:themeTint="A6"/>
        </w:rPr>
      </w:pPr>
      <w:r w:rsidRPr="001B2F5C">
        <w:rPr>
          <w:color w:val="595959" w:themeColor="text1" w:themeTint="A6"/>
        </w:rPr>
        <w:t>The ATO pages initially setup in 2009 catered for the deployment of information in a structure that appeared logical and maintainable. Over time, the volume of information and change in the early years has led to a very complex document management presentation.</w:t>
      </w:r>
    </w:p>
    <w:p w:rsidR="00A82B78" w:rsidRPr="001B2F5C" w:rsidRDefault="00A82B78" w:rsidP="00123CCE">
      <w:pPr>
        <w:spacing w:line="240" w:lineRule="auto"/>
        <w:rPr>
          <w:color w:val="595959" w:themeColor="text1" w:themeTint="A6"/>
        </w:rPr>
      </w:pPr>
      <w:r w:rsidRPr="001B2F5C">
        <w:rPr>
          <w:color w:val="595959" w:themeColor="text1" w:themeTint="A6"/>
        </w:rPr>
        <w:t>The restructure is to primarily address the following:</w:t>
      </w:r>
    </w:p>
    <w:p w:rsidR="00A82B78" w:rsidRPr="001B2F5C" w:rsidRDefault="00A82B78" w:rsidP="00053588">
      <w:pPr>
        <w:numPr>
          <w:ilvl w:val="0"/>
          <w:numId w:val="1"/>
        </w:numPr>
        <w:spacing w:after="60" w:line="240" w:lineRule="auto"/>
        <w:ind w:left="714" w:hanging="357"/>
        <w:rPr>
          <w:color w:val="595959" w:themeColor="text1" w:themeTint="A6"/>
        </w:rPr>
      </w:pPr>
      <w:r w:rsidRPr="001B2F5C">
        <w:rPr>
          <w:color w:val="595959" w:themeColor="text1" w:themeTint="A6"/>
        </w:rPr>
        <w:t>mitigate the risk of obtaining irrelevant or superseded information, and</w:t>
      </w:r>
    </w:p>
    <w:p w:rsidR="00A82B78" w:rsidRPr="001B2F5C" w:rsidRDefault="00A82B78" w:rsidP="00123CCE">
      <w:pPr>
        <w:numPr>
          <w:ilvl w:val="0"/>
          <w:numId w:val="1"/>
        </w:numPr>
        <w:spacing w:line="240" w:lineRule="auto"/>
        <w:rPr>
          <w:color w:val="595959" w:themeColor="text1" w:themeTint="A6"/>
        </w:rPr>
      </w:pPr>
      <w:r w:rsidRPr="001B2F5C">
        <w:rPr>
          <w:color w:val="595959" w:themeColor="text1" w:themeTint="A6"/>
        </w:rPr>
        <w:t>minimise the navigation through multiple pages to obtain a suite of relevant information.</w:t>
      </w:r>
    </w:p>
    <w:p w:rsidR="00A82B78" w:rsidRPr="001B2F5C" w:rsidRDefault="00A82B78" w:rsidP="00123CCE">
      <w:pPr>
        <w:spacing w:line="240" w:lineRule="auto"/>
        <w:rPr>
          <w:color w:val="595959" w:themeColor="text1" w:themeTint="A6"/>
        </w:rPr>
      </w:pPr>
      <w:r w:rsidRPr="001B2F5C">
        <w:rPr>
          <w:color w:val="595959" w:themeColor="text1" w:themeTint="A6"/>
        </w:rPr>
        <w:t>The ATO recognises that most services naturally sit within information domains based on the audience that products are catering for. The domains of information have been developed using ATO websites (such as ato.gov.au and SILU) and feedback from previous consultations with business'/software developers.</w:t>
      </w:r>
    </w:p>
    <w:p w:rsidR="00A82B78" w:rsidRPr="001B2F5C" w:rsidRDefault="00A82B78" w:rsidP="00123CCE">
      <w:pPr>
        <w:spacing w:line="240" w:lineRule="auto"/>
        <w:rPr>
          <w:color w:val="595959" w:themeColor="text1" w:themeTint="A6"/>
        </w:rPr>
      </w:pPr>
      <w:r w:rsidRPr="001B2F5C">
        <w:rPr>
          <w:color w:val="595959" w:themeColor="text1" w:themeTint="A6"/>
        </w:rPr>
        <w:t>The information domains (to date) are:</w:t>
      </w:r>
    </w:p>
    <w:p w:rsidR="00A82B78" w:rsidRPr="001B2F5C" w:rsidRDefault="00A82B78" w:rsidP="00123CCE">
      <w:pPr>
        <w:numPr>
          <w:ilvl w:val="0"/>
          <w:numId w:val="2"/>
        </w:numPr>
        <w:spacing w:after="60" w:line="240" w:lineRule="auto"/>
        <w:ind w:left="714" w:hanging="357"/>
        <w:rPr>
          <w:color w:val="595959" w:themeColor="text1" w:themeTint="A6"/>
        </w:rPr>
      </w:pPr>
      <w:r w:rsidRPr="001B2F5C">
        <w:rPr>
          <w:b/>
          <w:bCs/>
          <w:color w:val="595959" w:themeColor="text1" w:themeTint="A6"/>
        </w:rPr>
        <w:t xml:space="preserve">Activity Statements (AS) - </w:t>
      </w:r>
      <w:r w:rsidRPr="001B2F5C">
        <w:rPr>
          <w:color w:val="595959" w:themeColor="text1" w:themeTint="A6"/>
        </w:rPr>
        <w:t>This page contains information for the AS service.</w:t>
      </w:r>
    </w:p>
    <w:p w:rsidR="00A82B78" w:rsidRPr="001B2F5C" w:rsidRDefault="00A82B78" w:rsidP="00123CCE">
      <w:pPr>
        <w:numPr>
          <w:ilvl w:val="0"/>
          <w:numId w:val="2"/>
        </w:numPr>
        <w:spacing w:after="60" w:line="240" w:lineRule="auto"/>
        <w:ind w:left="714" w:hanging="357"/>
        <w:rPr>
          <w:color w:val="595959" w:themeColor="text1" w:themeTint="A6"/>
        </w:rPr>
      </w:pPr>
      <w:r w:rsidRPr="001B2F5C">
        <w:rPr>
          <w:b/>
          <w:bCs/>
          <w:color w:val="595959" w:themeColor="text1" w:themeTint="A6"/>
        </w:rPr>
        <w:t xml:space="preserve">Employer Obligations (EO) - </w:t>
      </w:r>
      <w:r w:rsidRPr="001B2F5C">
        <w:rPr>
          <w:color w:val="595959" w:themeColor="text1" w:themeTint="A6"/>
        </w:rPr>
        <w:t xml:space="preserve">This page contains service information for business' </w:t>
      </w:r>
      <w:r w:rsidR="00123CCE" w:rsidRPr="001B2F5C">
        <w:rPr>
          <w:color w:val="595959" w:themeColor="text1" w:themeTint="A6"/>
        </w:rPr>
        <w:t>that</w:t>
      </w:r>
      <w:r w:rsidRPr="001B2F5C">
        <w:rPr>
          <w:color w:val="595959" w:themeColor="text1" w:themeTint="A6"/>
        </w:rPr>
        <w:t xml:space="preserve"> employ people and may have an obligation to lodge information to the ATO (such as payment summaries and tax file number declarations). This can be done by the business them</w:t>
      </w:r>
      <w:r w:rsidR="00123CCE">
        <w:rPr>
          <w:color w:val="595959" w:themeColor="text1" w:themeTint="A6"/>
        </w:rPr>
        <w:t xml:space="preserve"> </w:t>
      </w:r>
      <w:r w:rsidRPr="001B2F5C">
        <w:rPr>
          <w:color w:val="595959" w:themeColor="text1" w:themeTint="A6"/>
        </w:rPr>
        <w:t>self, a registered intermediary or a Payroll Service Provider (PSP).  </w:t>
      </w:r>
      <w:r w:rsidRPr="001B2F5C">
        <w:rPr>
          <w:b/>
          <w:bCs/>
          <w:color w:val="595959" w:themeColor="text1" w:themeTint="A6"/>
        </w:rPr>
        <w:t> </w:t>
      </w:r>
    </w:p>
    <w:p w:rsidR="00A82B78" w:rsidRPr="001B2F5C" w:rsidRDefault="00A82B78" w:rsidP="00123CCE">
      <w:pPr>
        <w:numPr>
          <w:ilvl w:val="0"/>
          <w:numId w:val="2"/>
        </w:numPr>
        <w:spacing w:after="60" w:line="240" w:lineRule="auto"/>
        <w:ind w:left="714" w:hanging="357"/>
        <w:rPr>
          <w:color w:val="595959" w:themeColor="text1" w:themeTint="A6"/>
        </w:rPr>
      </w:pPr>
      <w:r w:rsidRPr="001B2F5C">
        <w:rPr>
          <w:b/>
          <w:bCs/>
          <w:color w:val="595959" w:themeColor="text1" w:themeTint="A6"/>
        </w:rPr>
        <w:t xml:space="preserve">Income Tax Returns (ITR) - </w:t>
      </w:r>
      <w:r w:rsidRPr="001B2F5C">
        <w:rPr>
          <w:color w:val="595959" w:themeColor="text1" w:themeTint="A6"/>
        </w:rPr>
        <w:t>This page contains links to Individual Income Tax Returns (IITR) and Non-individual Income Tax Returns (NITR). Information will be structured by the reporting year. Unlike the previous structure, FBT can be found under NITR.</w:t>
      </w:r>
      <w:r w:rsidRPr="001B2F5C">
        <w:rPr>
          <w:b/>
          <w:bCs/>
          <w:color w:val="595959" w:themeColor="text1" w:themeTint="A6"/>
        </w:rPr>
        <w:t> </w:t>
      </w:r>
    </w:p>
    <w:p w:rsidR="00A82B78" w:rsidRPr="001B2F5C" w:rsidRDefault="00A82B78" w:rsidP="00123CCE">
      <w:pPr>
        <w:numPr>
          <w:ilvl w:val="0"/>
          <w:numId w:val="2"/>
        </w:numPr>
        <w:spacing w:after="60" w:line="240" w:lineRule="auto"/>
        <w:ind w:left="714" w:hanging="357"/>
        <w:rPr>
          <w:color w:val="595959" w:themeColor="text1" w:themeTint="A6"/>
        </w:rPr>
      </w:pPr>
      <w:r w:rsidRPr="001B2F5C">
        <w:rPr>
          <w:b/>
          <w:bCs/>
          <w:color w:val="595959" w:themeColor="text1" w:themeTint="A6"/>
        </w:rPr>
        <w:t xml:space="preserve">Client Management (CM) - </w:t>
      </w:r>
      <w:r w:rsidRPr="001B2F5C">
        <w:rPr>
          <w:color w:val="595959" w:themeColor="text1" w:themeTint="A6"/>
        </w:rPr>
        <w:t>This page contains information and artefacts for web services that enable a business or their intermediary to manage their obligation information with the ATO (such as updating Client address). The services for Client Management (CM) are only deployed on the SBR ebMS3 platform.  </w:t>
      </w:r>
      <w:r w:rsidRPr="001B2F5C">
        <w:rPr>
          <w:b/>
          <w:bCs/>
          <w:color w:val="595959" w:themeColor="text1" w:themeTint="A6"/>
        </w:rPr>
        <w:t> </w:t>
      </w:r>
    </w:p>
    <w:p w:rsidR="00A82B78" w:rsidRPr="001B2F5C" w:rsidRDefault="00A82B78" w:rsidP="00123CCE">
      <w:pPr>
        <w:numPr>
          <w:ilvl w:val="0"/>
          <w:numId w:val="2"/>
        </w:numPr>
        <w:spacing w:after="60" w:line="240" w:lineRule="auto"/>
        <w:ind w:left="714" w:hanging="357"/>
        <w:rPr>
          <w:color w:val="595959" w:themeColor="text1" w:themeTint="A6"/>
        </w:rPr>
      </w:pPr>
      <w:r w:rsidRPr="001B2F5C">
        <w:rPr>
          <w:b/>
          <w:bCs/>
          <w:color w:val="595959" w:themeColor="text1" w:themeTint="A6"/>
        </w:rPr>
        <w:t xml:space="preserve">Tax Practitioner – Practice Management (TPPM) - </w:t>
      </w:r>
      <w:r w:rsidRPr="001B2F5C">
        <w:rPr>
          <w:color w:val="595959" w:themeColor="text1" w:themeTint="A6"/>
        </w:rPr>
        <w:t>This page contains information and artefacts for web services that enable a Tax Practitioner (TP) to manage their practice information with the ATO.</w:t>
      </w:r>
      <w:r w:rsidRPr="001B2F5C">
        <w:rPr>
          <w:b/>
          <w:bCs/>
          <w:color w:val="595959" w:themeColor="text1" w:themeTint="A6"/>
        </w:rPr>
        <w:t> </w:t>
      </w:r>
    </w:p>
    <w:p w:rsidR="00A82B78" w:rsidRPr="001B2F5C" w:rsidRDefault="00A82B78" w:rsidP="00123CCE">
      <w:pPr>
        <w:numPr>
          <w:ilvl w:val="0"/>
          <w:numId w:val="2"/>
        </w:numPr>
        <w:spacing w:line="240" w:lineRule="auto"/>
        <w:rPr>
          <w:color w:val="595959" w:themeColor="text1" w:themeTint="A6"/>
        </w:rPr>
      </w:pPr>
      <w:r w:rsidRPr="001B2F5C">
        <w:rPr>
          <w:b/>
          <w:bCs/>
          <w:color w:val="595959" w:themeColor="text1" w:themeTint="A6"/>
        </w:rPr>
        <w:t>Superannuation (SPR)</w:t>
      </w:r>
    </w:p>
    <w:p w:rsidR="00A82B78" w:rsidRPr="000F69FA" w:rsidRDefault="00A82B78" w:rsidP="000F69FA">
      <w:pPr>
        <w:spacing w:after="120" w:line="240" w:lineRule="auto"/>
        <w:rPr>
          <w:b/>
          <w:bCs/>
          <w:color w:val="215868" w:themeColor="accent5" w:themeShade="80"/>
          <w:sz w:val="40"/>
          <w:szCs w:val="40"/>
        </w:rPr>
      </w:pPr>
      <w:r w:rsidRPr="000F69FA">
        <w:rPr>
          <w:b/>
          <w:bCs/>
          <w:color w:val="215868" w:themeColor="accent5" w:themeShade="80"/>
          <w:sz w:val="40"/>
          <w:szCs w:val="40"/>
        </w:rPr>
        <w:t>ATO packaging and artefact suites</w:t>
      </w:r>
    </w:p>
    <w:p w:rsidR="00A82B78" w:rsidRPr="001B2F5C" w:rsidRDefault="00A82B78" w:rsidP="00123CCE">
      <w:pPr>
        <w:spacing w:line="240" w:lineRule="auto"/>
        <w:rPr>
          <w:color w:val="595959" w:themeColor="text1" w:themeTint="A6"/>
        </w:rPr>
      </w:pPr>
      <w:r w:rsidRPr="001B2F5C">
        <w:rPr>
          <w:color w:val="595959" w:themeColor="text1" w:themeTint="A6"/>
        </w:rPr>
        <w:t xml:space="preserve">Artefacts will now be published into zip files for ease of use. The packaging is done on a service type basis (which will include multiple services where they naturally have a relationship such as Client Update and/or NITR). </w:t>
      </w:r>
    </w:p>
    <w:p w:rsidR="00A82B78" w:rsidRPr="001B2F5C" w:rsidRDefault="00A82B78" w:rsidP="00123CCE">
      <w:pPr>
        <w:spacing w:line="240" w:lineRule="auto"/>
        <w:rPr>
          <w:color w:val="595959" w:themeColor="text1" w:themeTint="A6"/>
        </w:rPr>
      </w:pPr>
      <w:r w:rsidRPr="001B2F5C">
        <w:rPr>
          <w:color w:val="595959" w:themeColor="text1" w:themeTint="A6"/>
        </w:rPr>
        <w:t>NITR has been packaged as a complete suite by income tax year due to the relationships between parent services and child messages (schedules). Artefacts within a 2014 zip may have some of the same content in a 2015 zip where there was no change to artefact, thus ensuring a zip file for a year is a complete view. The package release notes will have a comment against artefacts in this situation.</w:t>
      </w:r>
    </w:p>
    <w:p w:rsidR="00A82B78" w:rsidRPr="001B2F5C" w:rsidRDefault="00A82B78" w:rsidP="00123CCE">
      <w:pPr>
        <w:spacing w:line="240" w:lineRule="auto"/>
        <w:rPr>
          <w:color w:val="595959" w:themeColor="text1" w:themeTint="A6"/>
        </w:rPr>
      </w:pPr>
      <w:r w:rsidRPr="001B2F5C">
        <w:rPr>
          <w:color w:val="595959" w:themeColor="text1" w:themeTint="A6"/>
        </w:rPr>
        <w:t>ATO artefacts published prior to December 2014 are being packaged as per above information domains.  Artefacts that were not converted to the new MIG suite deployed in 2014 have had file names and extensions changed – without any functional change to the service. These packages and any new packages will only appear in the new page structure, meaning the old website structure will not be updated, 'retired' over a short period and no longer viewable.</w:t>
      </w:r>
    </w:p>
    <w:p w:rsidR="009A4E2E" w:rsidRDefault="00A82B78" w:rsidP="00123CCE">
      <w:pPr>
        <w:spacing w:line="240" w:lineRule="auto"/>
        <w:rPr>
          <w:color w:val="595959" w:themeColor="text1" w:themeTint="A6"/>
        </w:rPr>
        <w:sectPr w:rsidR="009A4E2E" w:rsidSect="00053588">
          <w:pgSz w:w="11906" w:h="16838"/>
          <w:pgMar w:top="1135" w:right="1440" w:bottom="851" w:left="1440" w:header="708" w:footer="708" w:gutter="0"/>
          <w:cols w:space="708"/>
          <w:docGrid w:linePitch="360"/>
        </w:sectPr>
      </w:pPr>
      <w:r w:rsidRPr="001B2F5C">
        <w:rPr>
          <w:color w:val="595959" w:themeColor="text1" w:themeTint="A6"/>
        </w:rPr>
        <w:t xml:space="preserve">For artefact suites from 2014, view the </w:t>
      </w:r>
      <w:r w:rsidRPr="00053588">
        <w:rPr>
          <w:color w:val="595959" w:themeColor="text1" w:themeTint="A6"/>
        </w:rPr>
        <w:t>high level diagram</w:t>
      </w:r>
      <w:r w:rsidRPr="001B2F5C">
        <w:rPr>
          <w:color w:val="595959" w:themeColor="text1" w:themeTint="A6"/>
        </w:rPr>
        <w:t>, which also shows the relationships.</w:t>
      </w:r>
    </w:p>
    <w:p w:rsidR="00CB5B77" w:rsidRDefault="009A4E2E" w:rsidP="00123CCE">
      <w:pPr>
        <w:spacing w:line="240" w:lineRule="auto"/>
        <w:rPr>
          <w:color w:val="595959" w:themeColor="text1" w:themeTint="A6"/>
        </w:rPr>
      </w:pPr>
      <w:r w:rsidRPr="001B2F5C">
        <w:rPr>
          <w:b/>
          <w:bCs/>
          <w:color w:val="595959" w:themeColor="text1" w:themeTint="A6"/>
          <w:sz w:val="40"/>
          <w:szCs w:val="40"/>
        </w:rPr>
        <w:lastRenderedPageBreak/>
        <w:t xml:space="preserve">ATO </w:t>
      </w:r>
      <w:r>
        <w:rPr>
          <w:b/>
          <w:bCs/>
          <w:color w:val="595959" w:themeColor="text1" w:themeTint="A6"/>
          <w:sz w:val="40"/>
          <w:szCs w:val="40"/>
        </w:rPr>
        <w:t xml:space="preserve">High Level Document Map </w:t>
      </w:r>
      <w:r w:rsidRPr="00AA2F9E">
        <w:rPr>
          <w:b/>
          <w:bCs/>
          <w:color w:val="595959" w:themeColor="text1" w:themeTint="A6"/>
          <w:sz w:val="24"/>
          <w:szCs w:val="24"/>
        </w:rPr>
        <w:t xml:space="preserve">(originally published on </w:t>
      </w:r>
      <w:r>
        <w:rPr>
          <w:b/>
          <w:bCs/>
          <w:color w:val="595959" w:themeColor="text1" w:themeTint="A6"/>
          <w:sz w:val="24"/>
          <w:szCs w:val="24"/>
        </w:rPr>
        <w:t xml:space="preserve">sbr.gov.au </w:t>
      </w:r>
      <w:r w:rsidR="00513C27">
        <w:rPr>
          <w:b/>
          <w:bCs/>
          <w:color w:val="595959" w:themeColor="text1" w:themeTint="A6"/>
          <w:sz w:val="24"/>
          <w:szCs w:val="24"/>
        </w:rPr>
        <w:t>03.03.2016 as a PDF</w:t>
      </w:r>
      <w:r>
        <w:rPr>
          <w:b/>
          <w:bCs/>
          <w:color w:val="595959" w:themeColor="text1" w:themeTint="A6"/>
          <w:sz w:val="24"/>
          <w:szCs w:val="24"/>
        </w:rPr>
        <w:t>)</w:t>
      </w:r>
    </w:p>
    <w:p w:rsidR="00103A77" w:rsidRDefault="00CD3F2A" w:rsidP="00CD3F2A">
      <w:pPr>
        <w:ind w:left="567"/>
      </w:pPr>
      <w:r>
        <w:rPr>
          <w:noProof/>
          <w:lang w:eastAsia="en-AU"/>
        </w:rPr>
        <w:drawing>
          <wp:inline distT="0" distB="0" distL="0" distR="0" wp14:anchorId="6E3F772A">
            <wp:extent cx="8382000" cy="624663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3734" cy="6247927"/>
                    </a:xfrm>
                    <a:prstGeom prst="rect">
                      <a:avLst/>
                    </a:prstGeom>
                    <a:noFill/>
                  </pic:spPr>
                </pic:pic>
              </a:graphicData>
            </a:graphic>
          </wp:inline>
        </w:drawing>
      </w:r>
    </w:p>
    <w:sectPr w:rsidR="00103A77" w:rsidSect="00CD3F2A">
      <w:pgSz w:w="16838" w:h="11906" w:orient="landscape"/>
      <w:pgMar w:top="709" w:right="1135"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415DB"/>
    <w:multiLevelType w:val="multilevel"/>
    <w:tmpl w:val="3DB2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A11C8C"/>
    <w:multiLevelType w:val="multilevel"/>
    <w:tmpl w:val="9E2A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78"/>
    <w:rsid w:val="000479F9"/>
    <w:rsid w:val="00053588"/>
    <w:rsid w:val="000F69FA"/>
    <w:rsid w:val="00123CCE"/>
    <w:rsid w:val="001B2F5C"/>
    <w:rsid w:val="002850D0"/>
    <w:rsid w:val="00513C27"/>
    <w:rsid w:val="00657ABD"/>
    <w:rsid w:val="006760B1"/>
    <w:rsid w:val="009A4E2E"/>
    <w:rsid w:val="00A2485D"/>
    <w:rsid w:val="00A82B78"/>
    <w:rsid w:val="00AA2F9E"/>
    <w:rsid w:val="00AD64A7"/>
    <w:rsid w:val="00B341C1"/>
    <w:rsid w:val="00BB0AF8"/>
    <w:rsid w:val="00CB5B77"/>
    <w:rsid w:val="00CD3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B78"/>
    <w:rPr>
      <w:color w:val="0000FF" w:themeColor="hyperlink"/>
      <w:u w:val="single"/>
    </w:rPr>
  </w:style>
  <w:style w:type="paragraph" w:styleId="BalloonText">
    <w:name w:val="Balloon Text"/>
    <w:basedOn w:val="Normal"/>
    <w:link w:val="BalloonTextChar"/>
    <w:uiPriority w:val="99"/>
    <w:semiHidden/>
    <w:unhideWhenUsed/>
    <w:rsid w:val="00676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B78"/>
    <w:rPr>
      <w:color w:val="0000FF" w:themeColor="hyperlink"/>
      <w:u w:val="single"/>
    </w:rPr>
  </w:style>
  <w:style w:type="paragraph" w:styleId="BalloonText">
    <w:name w:val="Balloon Text"/>
    <w:basedOn w:val="Normal"/>
    <w:link w:val="BalloonTextChar"/>
    <w:uiPriority w:val="99"/>
    <w:semiHidden/>
    <w:unhideWhenUsed/>
    <w:rsid w:val="00676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3476">
      <w:bodyDiv w:val="1"/>
      <w:marLeft w:val="0"/>
      <w:marRight w:val="0"/>
      <w:marTop w:val="0"/>
      <w:marBottom w:val="0"/>
      <w:divBdr>
        <w:top w:val="none" w:sz="0" w:space="0" w:color="auto"/>
        <w:left w:val="none" w:sz="0" w:space="0" w:color="auto"/>
        <w:bottom w:val="none" w:sz="0" w:space="0" w:color="auto"/>
        <w:right w:val="none" w:sz="0" w:space="0" w:color="auto"/>
      </w:divBdr>
      <w:divsChild>
        <w:div w:id="1068722918">
          <w:marLeft w:val="0"/>
          <w:marRight w:val="0"/>
          <w:marTop w:val="0"/>
          <w:marBottom w:val="0"/>
          <w:divBdr>
            <w:top w:val="none" w:sz="0" w:space="0" w:color="auto"/>
            <w:left w:val="none" w:sz="0" w:space="0" w:color="auto"/>
            <w:bottom w:val="none" w:sz="0" w:space="0" w:color="auto"/>
            <w:right w:val="none" w:sz="0" w:space="0" w:color="auto"/>
          </w:divBdr>
        </w:div>
      </w:divsChild>
    </w:div>
    <w:div w:id="720715112">
      <w:bodyDiv w:val="1"/>
      <w:marLeft w:val="0"/>
      <w:marRight w:val="0"/>
      <w:marTop w:val="0"/>
      <w:marBottom w:val="0"/>
      <w:divBdr>
        <w:top w:val="none" w:sz="0" w:space="0" w:color="auto"/>
        <w:left w:val="none" w:sz="0" w:space="0" w:color="auto"/>
        <w:bottom w:val="none" w:sz="0" w:space="0" w:color="auto"/>
        <w:right w:val="none" w:sz="0" w:space="0" w:color="auto"/>
      </w:divBdr>
      <w:divsChild>
        <w:div w:id="101569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5bfcce809603ee082dbe2dbe7f5e2b50">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45cde61278082b677cb5bf1d16c3d972"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Publication_x0020_Date xmlns="cc39bfff-4eb3-44ee-9aa3-3b7b0b294d37" xsi:nil="true"/>
    <Publication_x0020_Site xmlns="cc39bfff-4eb3-44ee-9aa3-3b7b0b294d37" xsi:nil="true"/>
    <Document_x0020_Status xmlns="cc39bfff-4eb3-44ee-9aa3-3b7b0b294d37">Draft</Document_x0020_Status>
    <Project xmlns="cc39bfff-4eb3-44ee-9aa3-3b7b0b294d37" xsi:nil="true"/>
    <Document_x0020_Type xmlns="cc39bfff-4eb3-44ee-9aa3-3b7b0b294d37">AP360</Document_x0020_Type>
  </documentManagement>
</p:properties>
</file>

<file path=customXml/itemProps1.xml><?xml version="1.0" encoding="utf-8"?>
<ds:datastoreItem xmlns:ds="http://schemas.openxmlformats.org/officeDocument/2006/customXml" ds:itemID="{1A186EF8-3025-49E9-8AD4-C5488C4ECBDC}"/>
</file>

<file path=customXml/itemProps2.xml><?xml version="1.0" encoding="utf-8"?>
<ds:datastoreItem xmlns:ds="http://schemas.openxmlformats.org/officeDocument/2006/customXml" ds:itemID="{92F77521-AC71-4399-A324-D341A0E86C68}"/>
</file>

<file path=customXml/itemProps3.xml><?xml version="1.0" encoding="utf-8"?>
<ds:datastoreItem xmlns:ds="http://schemas.openxmlformats.org/officeDocument/2006/customXml" ds:itemID="{E3365D3C-5528-4F92-9513-58940701DBA9}"/>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uanme</dc:creator>
  <cp:lastModifiedBy>uanme</cp:lastModifiedBy>
  <cp:revision>2</cp:revision>
  <dcterms:created xsi:type="dcterms:W3CDTF">2016-09-11T10:23:00Z</dcterms:created>
  <dcterms:modified xsi:type="dcterms:W3CDTF">2016-09-11T10:23:00Z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0x0101005054467B8C92A14AB21B7CF1DA554242</vt:lpwstr>
  </property>
</Properties>
</file>