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9A6" w:rsidRDefault="00092F95">
      <w:pPr>
        <w:pStyle w:val="Pagetitle"/>
      </w:pPr>
      <w:proofErr w:type="spellStart"/>
      <w:r>
        <w:t>SuperStream</w:t>
      </w:r>
      <w:proofErr w:type="spellEnd"/>
      <w:r>
        <w:t xml:space="preserve"> Benchmarking Report (SRF711.0) quarterly report</w:t>
      </w:r>
    </w:p>
    <w:p w:rsidR="005C0977" w:rsidRPr="005C0977" w:rsidRDefault="005C0977" w:rsidP="003E5C6C">
      <w:pPr>
        <w:pStyle w:val="DocInfoLocked"/>
      </w:pPr>
      <w:sdt>
        <w:sdtPr>
          <w:alias w:val="Label"/>
          <w:tag w:val="Label"/>
          <w:id w:val="1295176533"/>
          <w:lock w:val="sdtContentLocked"/>
          <w:placeholder>
            <w:docPart w:val="FD5680080FD54DAD89B04DD688D359E5"/>
          </w:placeholder>
          <w:text/>
        </w:sdtPr>
        <w:sdtContent>
          <w:r w:rsidRPr="00832F41">
            <w:t xml:space="preserve">QC: </w:t>
          </w:r>
        </w:sdtContent>
      </w:sdt>
      <w:sdt>
        <w:sdtPr>
          <w:alias w:val="QC"/>
          <w:tag w:val="QC"/>
          <w:id w:val="-686676410"/>
          <w:lock w:val="sdtContentLocked"/>
          <w:placeholder>
            <w:docPart w:val="C2663934989F49C7A01F9ED30242D794"/>
          </w:placeholder>
        </w:sdtPr>
        <w:sdtContent>
          <w:r>
            <w:t>56074</w:t>
          </w:r>
        </w:sdtContent>
      </w:sdt>
      <w:r w:rsidRPr="005C0977">
        <w:tab/>
      </w:r>
      <w:sdt>
        <w:sdtPr>
          <w:alias w:val="Label"/>
          <w:tag w:val="Label"/>
          <w:id w:val="-1911458674"/>
          <w:lock w:val="sdtContentLocked"/>
          <w:placeholder>
            <w:docPart w:val="FD5680080FD54DAD89B04DD688D359E5"/>
          </w:placeholder>
          <w:text/>
        </w:sdtPr>
        <w:sdtContent>
          <w:r w:rsidRPr="00832F41">
            <w:t xml:space="preserve">Content revised: </w:t>
          </w:r>
        </w:sdtContent>
      </w:sdt>
      <w:sdt>
        <w:sdtPr>
          <w:alias w:val="Content Rev"/>
          <w:tag w:val="Content Rev"/>
          <w:id w:val="-787823637"/>
          <w:lock w:val="sdtContentLocked"/>
          <w:placeholder>
            <w:docPart w:val="FD5680080FD54DAD89B04DD688D359E5"/>
          </w:placeholder>
          <w:text/>
        </w:sdtPr>
        <w:sdtContent>
          <w:r>
            <w:t>No</w:t>
          </w:r>
        </w:sdtContent>
      </w:sdt>
      <w:r w:rsidRPr="005C0977">
        <w:tab/>
      </w:r>
      <w:sdt>
        <w:sdtPr>
          <w:alias w:val="Label"/>
          <w:tag w:val="Label"/>
          <w:id w:val="-2040890640"/>
          <w:lock w:val="sdtContentLocked"/>
          <w:placeholder>
            <w:docPart w:val="FD5680080FD54DAD89B04DD688D359E5"/>
          </w:placeholder>
          <w:text/>
        </w:sdtPr>
        <w:sdtContent>
          <w:r w:rsidRPr="00832F41">
            <w:t xml:space="preserve">Abstract revised: </w:t>
          </w:r>
        </w:sdtContent>
      </w:sdt>
      <w:sdt>
        <w:sdtPr>
          <w:alias w:val="Abstract Rev"/>
          <w:tag w:val="Abstract Rev"/>
          <w:id w:val="-1426718313"/>
          <w:lock w:val="sdtContentLocked"/>
          <w:placeholder>
            <w:docPart w:val="FD5680080FD54DAD89B04DD688D359E5"/>
          </w:placeholder>
          <w:text/>
        </w:sdtPr>
        <w:sdtContent>
          <w:r>
            <w:t>No</w:t>
          </w:r>
        </w:sdtContent>
      </w:sdt>
    </w:p>
    <w:p w:rsidR="005C0977" w:rsidRPr="005C0977" w:rsidRDefault="005C0977" w:rsidP="003E5C6C">
      <w:pPr>
        <w:pStyle w:val="DocInfoLocked"/>
      </w:pPr>
      <w:sdt>
        <w:sdtPr>
          <w:alias w:val="Label"/>
          <w:tag w:val="Label"/>
          <w:id w:val="-1801215540"/>
          <w:lock w:val="sdtContentLocked"/>
          <w:placeholder>
            <w:docPart w:val="FD5680080FD54DAD89B04DD688D359E5"/>
          </w:placeholder>
          <w:text/>
        </w:sdtPr>
        <w:sdtContent>
          <w:r w:rsidRPr="00F6334C">
            <w:t xml:space="preserve">Abstract: </w:t>
          </w:r>
        </w:sdtContent>
      </w:sdt>
    </w:p>
    <w:sdt>
      <w:sdtPr>
        <w:alias w:val="Abstract"/>
        <w:tag w:val="Abstract"/>
        <w:id w:val="-2101944383"/>
        <w:lock w:val="sdtLocked"/>
        <w:placeholder>
          <w:docPart w:val="0236877D218B4C44AA9B148742630EAC"/>
        </w:placeholder>
      </w:sdtPr>
      <w:sdtContent>
        <w:p w:rsidR="005C0977" w:rsidRPr="005C0977" w:rsidRDefault="005C0977" w:rsidP="004F253F">
          <w:pPr>
            <w:pStyle w:val="DocInfo"/>
          </w:pPr>
          <w:proofErr w:type="spellStart"/>
          <w:r>
            <w:t>SuperStream</w:t>
          </w:r>
          <w:proofErr w:type="spellEnd"/>
          <w:r>
            <w:t xml:space="preserve"> Benchmarking Report (SRF711.0) quarterly report: Status and trends in contributions processing by superannuation entities (1 January 2018 – 31 March 2018).</w:t>
          </w:r>
        </w:p>
      </w:sdtContent>
    </w:sdt>
    <w:p w:rsidR="003F39A6" w:rsidRDefault="00092F95">
      <w:pPr>
        <w:pStyle w:val="Heading1"/>
      </w:pPr>
      <w:r>
        <w:t>Quarterly report 1 January 2018 – 31 March 2018</w:t>
      </w:r>
    </w:p>
    <w:p w:rsidR="003F39A6" w:rsidRDefault="00092F95">
      <w:proofErr w:type="spellStart"/>
      <w:r>
        <w:t>SuperStream’s</w:t>
      </w:r>
      <w:proofErr w:type="spellEnd"/>
      <w:r>
        <w:t xml:space="preserve"> goal is to enhance the productivity and efficiency of the superannuation system, especially business processes associated with contributions, rollovers and the consolidation of accounts. Industry improvements are intended to lower fees and im</w:t>
      </w:r>
      <w:r>
        <w:t>proved processing flows.</w:t>
      </w:r>
    </w:p>
    <w:p w:rsidR="003F39A6" w:rsidRDefault="00092F95">
      <w:r>
        <w:t xml:space="preserve">We measure </w:t>
      </w:r>
      <w:proofErr w:type="spellStart"/>
      <w:r>
        <w:t>SuperStream's</w:t>
      </w:r>
      <w:proofErr w:type="spellEnd"/>
      <w:r>
        <w:t xml:space="preserve"> success by tracking its compliance with:</w:t>
      </w:r>
    </w:p>
    <w:p w:rsidR="003F39A6" w:rsidRDefault="00092F95">
      <w:pPr>
        <w:pStyle w:val="Bulletedlist1"/>
      </w:pPr>
      <w:r>
        <w:rPr>
          <w:rStyle w:val="StyleItalic"/>
        </w:rPr>
        <w:t>The Superannuation Data and Payment Standards 2012</w:t>
      </w:r>
    </w:p>
    <w:p w:rsidR="003F39A6" w:rsidRDefault="00092F95">
      <w:pPr>
        <w:pStyle w:val="Bulletedlist1"/>
      </w:pPr>
      <w:r>
        <w:t>rates of straight through processing</w:t>
      </w:r>
    </w:p>
    <w:p w:rsidR="003F39A6" w:rsidRDefault="00092F95">
      <w:pPr>
        <w:pStyle w:val="Bulletedlist1"/>
      </w:pPr>
      <w:r>
        <w:t>reduction in processing cost</w:t>
      </w:r>
    </w:p>
    <w:p w:rsidR="003F39A6" w:rsidRDefault="00092F95">
      <w:pPr>
        <w:pStyle w:val="Bulletedlist1"/>
      </w:pPr>
      <w:proofErr w:type="gramStart"/>
      <w:r>
        <w:t>improved</w:t>
      </w:r>
      <w:proofErr w:type="gramEnd"/>
      <w:r>
        <w:t xml:space="preserve"> data quality.</w:t>
      </w:r>
    </w:p>
    <w:p w:rsidR="003F39A6" w:rsidRDefault="00092F95">
      <w:pPr>
        <w:pStyle w:val="Heading1"/>
      </w:pPr>
      <w:bookmarkStart w:id="0" w:name="BenchmarkingandevaluationofSuperStream"/>
      <w:r>
        <w:t>Benchmarking and evaluati</w:t>
      </w:r>
      <w:r>
        <w:t xml:space="preserve">on of </w:t>
      </w:r>
      <w:proofErr w:type="spellStart"/>
      <w:r>
        <w:t>SuperStream</w:t>
      </w:r>
      <w:bookmarkEnd w:id="0"/>
      <w:proofErr w:type="spellEnd"/>
    </w:p>
    <w:p w:rsidR="003F39A6" w:rsidRDefault="00092F95">
      <w:r>
        <w:t>The ATO, APRA and Treasury consulted with industry in early 2013 to:</w:t>
      </w:r>
    </w:p>
    <w:p w:rsidR="003F39A6" w:rsidRDefault="00092F95">
      <w:pPr>
        <w:pStyle w:val="Bulletedlist1"/>
      </w:pPr>
      <w:r>
        <w:t xml:space="preserve">develop a broad approach to </w:t>
      </w:r>
      <w:proofErr w:type="spellStart"/>
      <w:r>
        <w:t>SuperStream</w:t>
      </w:r>
      <w:proofErr w:type="spellEnd"/>
      <w:r>
        <w:t xml:space="preserve"> benchmarking and evaluation</w:t>
      </w:r>
    </w:p>
    <w:p w:rsidR="003F39A6" w:rsidRDefault="00092F95">
      <w:pPr>
        <w:pStyle w:val="Bulletedlist1"/>
      </w:pPr>
      <w:proofErr w:type="gramStart"/>
      <w:r>
        <w:t>identify</w:t>
      </w:r>
      <w:proofErr w:type="gramEnd"/>
      <w:r>
        <w:t xml:space="preserve"> which key outcomes have been achieved.</w:t>
      </w:r>
    </w:p>
    <w:p w:rsidR="003F39A6" w:rsidRDefault="00092F95">
      <w:r>
        <w:t>Wherever possible, these items were sourced from exis</w:t>
      </w:r>
      <w:r>
        <w:t>ting collections; in particular:</w:t>
      </w:r>
    </w:p>
    <w:p w:rsidR="003F39A6" w:rsidRDefault="00092F95">
      <w:pPr>
        <w:pStyle w:val="Bulletedlist1"/>
      </w:pPr>
      <w:r>
        <w:t>APRA’s regular quarterly and annual reporting forms released on 28 March 2013</w:t>
      </w:r>
    </w:p>
    <w:p w:rsidR="003F39A6" w:rsidRDefault="00092F95">
      <w:pPr>
        <w:pStyle w:val="Bulletedlist1"/>
      </w:pPr>
      <w:r>
        <w:t>Super member contributions statement</w:t>
      </w:r>
    </w:p>
    <w:p w:rsidR="003F39A6" w:rsidRDefault="00092F95">
      <w:pPr>
        <w:pStyle w:val="Bulletedlist1"/>
      </w:pPr>
      <w:proofErr w:type="gramStart"/>
      <w:r>
        <w:t>other</w:t>
      </w:r>
      <w:proofErr w:type="gramEnd"/>
      <w:r>
        <w:t xml:space="preserve"> industry collections such as the ASFA VEDA Core Member Details Benchmark.</w:t>
      </w:r>
    </w:p>
    <w:p w:rsidR="003F39A6" w:rsidRDefault="00092F95">
      <w:r>
        <w:t>During consultation there we</w:t>
      </w:r>
      <w:r>
        <w:t>re a small number of data items that were not yet collected, which would give insight to the rate of take-up of the Standard and direct consequences of its adoption.</w:t>
      </w:r>
    </w:p>
    <w:p w:rsidR="003F39A6" w:rsidRDefault="00092F95">
      <w:r>
        <w:rPr>
          <w:rStyle w:val="StyleBold"/>
        </w:rPr>
        <w:t>See also:</w:t>
      </w:r>
    </w:p>
    <w:p w:rsidR="003F39A6" w:rsidRDefault="00092F95">
      <w:pPr>
        <w:pStyle w:val="Bulletedlist1"/>
      </w:pPr>
      <w:hyperlink r:id="rId9" w:history="1">
        <w:proofErr w:type="spellStart"/>
        <w:r>
          <w:rPr>
            <w:rStyle w:val="Link-Internal"/>
          </w:rPr>
          <w:t>SuperStream</w:t>
        </w:r>
        <w:proofErr w:type="spellEnd"/>
        <w:r>
          <w:rPr>
            <w:rStyle w:val="Link-Internal"/>
          </w:rPr>
          <w:t xml:space="preserve"> legislation, standards and schedules</w:t>
        </w:r>
      </w:hyperlink>
    </w:p>
    <w:p w:rsidR="003F39A6" w:rsidRDefault="00092F95">
      <w:pPr>
        <w:pStyle w:val="Bulletedlist1"/>
      </w:pPr>
      <w:hyperlink r:id="rId10" w:history="1">
        <w:r>
          <w:rPr>
            <w:rStyle w:val="Link-External"/>
          </w:rPr>
          <w:t xml:space="preserve">Reporting Standard SRS 711.0 </w:t>
        </w:r>
        <w:proofErr w:type="spellStart"/>
        <w:r>
          <w:rPr>
            <w:rStyle w:val="Link-External"/>
          </w:rPr>
          <w:t>Super</w:t>
        </w:r>
        <w:r>
          <w:rPr>
            <w:rStyle w:val="Link-External"/>
          </w:rPr>
          <w:t>Stream</w:t>
        </w:r>
        <w:proofErr w:type="spellEnd"/>
        <w:r>
          <w:rPr>
            <w:rStyle w:val="Link-External"/>
          </w:rPr>
          <w:t xml:space="preserve"> Benchmarking Measures legislation</w:t>
        </w:r>
      </w:hyperlink>
    </w:p>
    <w:p w:rsidR="003F39A6" w:rsidRDefault="00092F95">
      <w:pPr>
        <w:pStyle w:val="Heading2"/>
      </w:pPr>
      <w:bookmarkStart w:id="1" w:name="TheSRF7110collection"/>
      <w:r>
        <w:t>The SRF711.0 collection</w:t>
      </w:r>
      <w:bookmarkEnd w:id="1"/>
    </w:p>
    <w:p w:rsidR="003F39A6" w:rsidRDefault="00092F95">
      <w:r>
        <w:t xml:space="preserve">The </w:t>
      </w:r>
      <w:proofErr w:type="spellStart"/>
      <w:r>
        <w:t>SuperStream</w:t>
      </w:r>
      <w:proofErr w:type="spellEnd"/>
      <w:r>
        <w:t xml:space="preserve"> benchmarking data is designed to focus on contributions processing by APRA-regulated funds and Exempt Public Sector Superannuation Schemes (EPSSS). It will be conducted quarterly from the September quarter 2015 until the June quarter 2019.</w:t>
      </w:r>
    </w:p>
    <w:p w:rsidR="003F39A6" w:rsidRDefault="00092F95">
      <w:r>
        <w:t>SRF 711.0 is collected by APRA for use by the ATO. This report contains ATO analysis and interpretation of the data reported on SRF 711.0 for the period from 1 January 2018 to 31 March 2018. It includes some reporting entities which have a different financ</w:t>
      </w:r>
      <w:r>
        <w:t>ial year end.</w:t>
      </w:r>
    </w:p>
    <w:p w:rsidR="003F39A6" w:rsidRDefault="00092F95">
      <w:pPr>
        <w:pStyle w:val="Heading1"/>
      </w:pPr>
      <w:bookmarkStart w:id="2" w:name="Keyconcepts"/>
      <w:r>
        <w:t>Key concepts</w:t>
      </w:r>
      <w:bookmarkEnd w:id="2"/>
    </w:p>
    <w:p w:rsidR="003F39A6" w:rsidRDefault="00092F95">
      <w:r>
        <w:t>The data tracks the volume and cost of member contributions sent by employers to APRA-regulated super funds and a small number of other super entities.</w:t>
      </w:r>
    </w:p>
    <w:p w:rsidR="003F39A6" w:rsidRDefault="00092F95">
      <w:pPr>
        <w:pStyle w:val="Heading2"/>
      </w:pPr>
      <w:bookmarkStart w:id="3" w:name="Reportingentities"/>
      <w:r>
        <w:t>Reporting entities</w:t>
      </w:r>
      <w:bookmarkEnd w:id="3"/>
    </w:p>
    <w:p w:rsidR="003F39A6" w:rsidRDefault="00092F95">
      <w:r>
        <w:t>Reporting entities include:</w:t>
      </w:r>
    </w:p>
    <w:p w:rsidR="003F39A6" w:rsidRDefault="00092F95">
      <w:pPr>
        <w:pStyle w:val="Bulletedlist1"/>
      </w:pPr>
      <w:r>
        <w:t xml:space="preserve">APRA-regulated superannuation </w:t>
      </w:r>
      <w:r>
        <w:t>entities (RSEs) with more than four members (except as noted below)</w:t>
      </w:r>
    </w:p>
    <w:p w:rsidR="003F39A6" w:rsidRDefault="00092F95">
      <w:pPr>
        <w:pStyle w:val="Bulletedlist1"/>
      </w:pPr>
      <w:proofErr w:type="gramStart"/>
      <w:r>
        <w:t>a</w:t>
      </w:r>
      <w:proofErr w:type="gramEnd"/>
      <w:r>
        <w:t xml:space="preserve"> number of EPSSS that report to APRA under a heads of government agreement between the Commonwealth and each of the state and territory governments.</w:t>
      </w:r>
    </w:p>
    <w:p w:rsidR="003F39A6" w:rsidRDefault="00092F95">
      <w:r>
        <w:t xml:space="preserve">SRF 711.0 is not reported by eligible </w:t>
      </w:r>
      <w:r>
        <w:t>rollover funds, pooled superannuation trusts or single member approved deposit funds.</w:t>
      </w:r>
    </w:p>
    <w:p w:rsidR="003F39A6" w:rsidRDefault="00092F95">
      <w:pPr>
        <w:pStyle w:val="Heading2"/>
      </w:pPr>
      <w:bookmarkStart w:id="4" w:name="Employers"/>
      <w:r>
        <w:t>Employers</w:t>
      </w:r>
      <w:bookmarkEnd w:id="4"/>
    </w:p>
    <w:p w:rsidR="003F39A6" w:rsidRDefault="00092F95">
      <w:r>
        <w:t xml:space="preserve">Employers are required under the </w:t>
      </w:r>
      <w:r>
        <w:rPr>
          <w:rStyle w:val="StyleItalic"/>
        </w:rPr>
        <w:t>Superannuation Guarantee (Administration) Act</w:t>
      </w:r>
      <w:r>
        <w:t xml:space="preserve"> </w:t>
      </w:r>
      <w:r>
        <w:rPr>
          <w:rStyle w:val="StyleItalic"/>
        </w:rPr>
        <w:t>1992</w:t>
      </w:r>
      <w:r>
        <w:t xml:space="preserve"> to send contributions on behalf of their employees at least quarterly, but m</w:t>
      </w:r>
      <w:r>
        <w:t>any report more frequently. Monthly reporting is now the most common frequency.</w:t>
      </w:r>
    </w:p>
    <w:p w:rsidR="003F39A6" w:rsidRDefault="00092F95">
      <w:pPr>
        <w:pStyle w:val="Heading3"/>
      </w:pPr>
      <w:bookmarkStart w:id="5" w:name="SuperStreamstandardcontributions"/>
      <w:proofErr w:type="spellStart"/>
      <w:r>
        <w:t>SuperStream</w:t>
      </w:r>
      <w:proofErr w:type="spellEnd"/>
      <w:r>
        <w:t xml:space="preserve"> standard – contributions</w:t>
      </w:r>
      <w:bookmarkEnd w:id="5"/>
    </w:p>
    <w:p w:rsidR="003F39A6" w:rsidRDefault="00092F95">
      <w:r>
        <w:t xml:space="preserve">The </w:t>
      </w:r>
      <w:proofErr w:type="spellStart"/>
      <w:r>
        <w:t>SuperStream</w:t>
      </w:r>
      <w:proofErr w:type="spellEnd"/>
      <w:r>
        <w:t xml:space="preserve"> standard requires an employer to send – and a fund to accept – contributions in a specified electronic format with a minimu</w:t>
      </w:r>
      <w:r>
        <w:t>m data set and an agreed set of identifiers (for example a tax file number for each member).</w:t>
      </w:r>
    </w:p>
    <w:p w:rsidR="003F39A6" w:rsidRDefault="00092F95">
      <w:r>
        <w:t>Both data and money must be sent electronically and linked by a payment reference number to enable rapid straight-through processing by the receiving fund into a m</w:t>
      </w:r>
      <w:r>
        <w:t>ember’s account.</w:t>
      </w:r>
    </w:p>
    <w:p w:rsidR="003F39A6" w:rsidRDefault="00092F95">
      <w:r>
        <w:t xml:space="preserve">Some alternative electronic methods are allowed under the standard (these are referred in the reporting of this data series as Channel B). These include pre-existing </w:t>
      </w:r>
      <w:r>
        <w:lastRenderedPageBreak/>
        <w:t>electronic portals operated by some funds which must meet certain minimum</w:t>
      </w:r>
      <w:r>
        <w:t xml:space="preserve"> operational standards to be considered compliant.</w:t>
      </w:r>
    </w:p>
    <w:p w:rsidR="003F39A6" w:rsidRDefault="00092F95">
      <w:pPr>
        <w:pStyle w:val="Heading3"/>
      </w:pPr>
      <w:bookmarkStart w:id="6" w:name="Nonconformingcontributions"/>
      <w:r>
        <w:t>Non-conforming contributions</w:t>
      </w:r>
      <w:bookmarkEnd w:id="6"/>
    </w:p>
    <w:p w:rsidR="003F39A6" w:rsidRDefault="00092F95">
      <w:r>
        <w:t xml:space="preserve">Non-conforming contributions refer to a mix of paper-based, electronic and hybrid processes which don't satisfy the requirements of the </w:t>
      </w:r>
      <w:proofErr w:type="spellStart"/>
      <w:r>
        <w:t>SuperStream</w:t>
      </w:r>
      <w:proofErr w:type="spellEnd"/>
      <w:r>
        <w:t xml:space="preserve"> standard. These are often re</w:t>
      </w:r>
      <w:r>
        <w:t>ferred to as Channel C contributions although they are not a uniform grouping.</w:t>
      </w:r>
    </w:p>
    <w:p w:rsidR="003F39A6" w:rsidRDefault="00092F95">
      <w:r>
        <w:t>For example, contribution information may be forwarded by an employer on a form by mail with a cheque, some components of data and money may be electronic (for example a BPAY pa</w:t>
      </w:r>
      <w:r>
        <w:t>yment), or a digital channel may be in use but falls short of the minimum requirements under the standard.</w:t>
      </w:r>
    </w:p>
    <w:p w:rsidR="003F39A6" w:rsidRDefault="00092F95">
      <w:r>
        <w:t xml:space="preserve">Typically these types of contributions add cost, time delays, errors or complexity to the processing pipeline with adverse longer-term effects on members. The </w:t>
      </w:r>
      <w:proofErr w:type="spellStart"/>
      <w:r>
        <w:t>SuperStream</w:t>
      </w:r>
      <w:proofErr w:type="spellEnd"/>
      <w:r>
        <w:t xml:space="preserve"> standard aims to reduce contributions coming through these channels to as close to ze</w:t>
      </w:r>
      <w:r>
        <w:t>ro as possible.</w:t>
      </w:r>
    </w:p>
    <w:p w:rsidR="003F39A6" w:rsidRDefault="00092F95">
      <w:r>
        <w:rPr>
          <w:rStyle w:val="StyleBold"/>
        </w:rPr>
        <w:t>Note:</w:t>
      </w:r>
      <w:r>
        <w:t xml:space="preserve"> This report does not include personal contributions made by members in their own right.</w:t>
      </w:r>
    </w:p>
    <w:p w:rsidR="003F39A6" w:rsidRDefault="00092F95">
      <w:pPr>
        <w:pStyle w:val="Heading3"/>
      </w:pPr>
      <w:bookmarkStart w:id="7" w:name="RSEsandYTDreporting"/>
      <w:r>
        <w:t>RSEs and YTD reporting</w:t>
      </w:r>
      <w:bookmarkEnd w:id="7"/>
    </w:p>
    <w:p w:rsidR="003F39A6" w:rsidRDefault="00092F95">
      <w:r>
        <w:t>Some RSEs operate with non-standard financial years, meaning that any data reported by these entities on a year-to-date (YT</w:t>
      </w:r>
      <w:r>
        <w:t>D) basis will not be in line with the rest of the reporting population.</w:t>
      </w:r>
    </w:p>
    <w:p w:rsidR="003F39A6" w:rsidRDefault="00092F95">
      <w:r>
        <w:t>For example, in the March quarter most entities will be reporting their combined first, second and third quarter results on an YTD basis. Entities with a December year end will be star</w:t>
      </w:r>
      <w:r>
        <w:t>ting a new financial year and will only report the current quarter results.</w:t>
      </w:r>
    </w:p>
    <w:p w:rsidR="003F39A6" w:rsidRDefault="00092F95">
      <w:r>
        <w:t>To avoid confusion in interpreting the data series, we've relied on discrete quarterly results for each entity and verified that these reconcile with respective YTD reports. A cumu</w:t>
      </w:r>
      <w:r>
        <w:t>lative YTD and annual view has been built from these quarterly results.</w:t>
      </w:r>
    </w:p>
    <w:p w:rsidR="003F39A6" w:rsidRDefault="00092F95">
      <w:r>
        <w:rPr>
          <w:rStyle w:val="StyleBold"/>
        </w:rPr>
        <w:t>Note:</w:t>
      </w:r>
      <w:r>
        <w:t xml:space="preserve"> All figures are rounded to the nearest decimal point. Prior quarter figures are revised in later quarters where reporting errors are uncovered or entities have resubmitted data. </w:t>
      </w:r>
      <w:r>
        <w:t>These refinements are unlikely to have a material impact on the overall picture.</w:t>
      </w:r>
    </w:p>
    <w:p w:rsidR="003F39A6" w:rsidRDefault="00092F95">
      <w:pPr>
        <w:pStyle w:val="Heading1"/>
      </w:pPr>
      <w:bookmarkStart w:id="8" w:name="Keyfindings"/>
      <w:r>
        <w:t>Key findings</w:t>
      </w:r>
      <w:bookmarkEnd w:id="8"/>
    </w:p>
    <w:p w:rsidR="003F39A6" w:rsidRDefault="00092F95">
      <w:r>
        <w:t xml:space="preserve">The overall rate of employer contributions complying with the </w:t>
      </w:r>
      <w:proofErr w:type="spellStart"/>
      <w:r>
        <w:t>SuperStream</w:t>
      </w:r>
      <w:proofErr w:type="spellEnd"/>
      <w:r>
        <w:t xml:space="preserve"> standard remains high.</w:t>
      </w:r>
    </w:p>
    <w:p w:rsidR="003F39A6" w:rsidRDefault="00092F95">
      <w:r>
        <w:t xml:space="preserve">By the end of the March quarter 2018, over 94.5% of all employer contributions were being received electronically and in conformance with the </w:t>
      </w:r>
      <w:proofErr w:type="spellStart"/>
      <w:r>
        <w:t>SuperStream</w:t>
      </w:r>
      <w:proofErr w:type="spellEnd"/>
      <w:r>
        <w:t xml:space="preserve"> standard (includes the combined impact of Channel A and B volumes) a slight increase from the previous</w:t>
      </w:r>
      <w:r>
        <w:t xml:space="preserve"> quarter which was 94.2%.</w:t>
      </w:r>
    </w:p>
    <w:p w:rsidR="003F39A6" w:rsidRDefault="00092F95">
      <w:r>
        <w:t>When exempt funds are removed from the reporting data, the conformance rate is even higher at 97%.</w:t>
      </w:r>
    </w:p>
    <w:p w:rsidR="003F39A6" w:rsidRDefault="00092F95">
      <w:pPr>
        <w:pStyle w:val="Tablecaption"/>
      </w:pPr>
      <w:r>
        <w:lastRenderedPageBreak/>
        <w:t xml:space="preserve">Table 1: Channel </w:t>
      </w:r>
      <w:proofErr w:type="gramStart"/>
      <w:r>
        <w:t>A</w:t>
      </w:r>
      <w:proofErr w:type="gramEnd"/>
      <w:r>
        <w:t xml:space="preserve"> conforming contribution transactions – quarterly, September 2015 to March 2018</w:t>
      </w:r>
    </w:p>
    <w:tbl>
      <w:tblPr>
        <w:tblStyle w:val="Tablewithborder"/>
        <w:tblW w:w="0" w:type="auto"/>
        <w:tblLook w:val="04A0" w:firstRow="1" w:lastRow="0" w:firstColumn="1" w:lastColumn="0" w:noHBand="0" w:noVBand="1"/>
      </w:tblPr>
      <w:tblGrid>
        <w:gridCol w:w="5020"/>
        <w:gridCol w:w="1537"/>
        <w:gridCol w:w="1206"/>
      </w:tblGrid>
      <w:tr w:rsidR="003F39A6">
        <w:tc>
          <w:tcPr>
            <w:tcW w:w="0" w:type="auto"/>
          </w:tcPr>
          <w:p w:rsidR="003F39A6" w:rsidRDefault="00092F95">
            <w:pPr>
              <w:pStyle w:val="Tableheading"/>
            </w:pPr>
            <w:r>
              <w:t xml:space="preserve">Channel A quarterly contribution </w:t>
            </w:r>
            <w:r>
              <w:t>transactions</w:t>
            </w:r>
          </w:p>
        </w:tc>
        <w:tc>
          <w:tcPr>
            <w:tcW w:w="0" w:type="auto"/>
          </w:tcPr>
          <w:p w:rsidR="003F39A6" w:rsidRDefault="00092F95">
            <w:pPr>
              <w:pStyle w:val="Tableheading"/>
            </w:pPr>
            <w:r>
              <w:t>Volumes (m)</w:t>
            </w:r>
          </w:p>
        </w:tc>
        <w:tc>
          <w:tcPr>
            <w:tcW w:w="0" w:type="auto"/>
          </w:tcPr>
          <w:p w:rsidR="003F39A6" w:rsidRDefault="00092F95">
            <w:pPr>
              <w:pStyle w:val="Tableheading"/>
            </w:pPr>
            <w:r>
              <w:t>% of total</w:t>
            </w:r>
          </w:p>
        </w:tc>
      </w:tr>
      <w:tr w:rsidR="003F39A6">
        <w:tc>
          <w:tcPr>
            <w:tcW w:w="0" w:type="auto"/>
          </w:tcPr>
          <w:p w:rsidR="003F39A6" w:rsidRDefault="00092F95">
            <w:pPr>
              <w:pStyle w:val="Tableheading"/>
            </w:pPr>
            <w:r>
              <w:t>September quarter 2015</w:t>
            </w:r>
          </w:p>
        </w:tc>
        <w:tc>
          <w:tcPr>
            <w:tcW w:w="0" w:type="auto"/>
          </w:tcPr>
          <w:p w:rsidR="003F39A6" w:rsidRDefault="00092F95">
            <w:pPr>
              <w:pStyle w:val="Normalright"/>
            </w:pPr>
            <w:r>
              <w:t>12.4</w:t>
            </w:r>
          </w:p>
        </w:tc>
        <w:tc>
          <w:tcPr>
            <w:tcW w:w="0" w:type="auto"/>
          </w:tcPr>
          <w:p w:rsidR="003F39A6" w:rsidRDefault="00092F95">
            <w:pPr>
              <w:pStyle w:val="Normalright"/>
            </w:pPr>
            <w:r>
              <w:t>39.7%</w:t>
            </w:r>
          </w:p>
        </w:tc>
      </w:tr>
      <w:tr w:rsidR="003F39A6">
        <w:tc>
          <w:tcPr>
            <w:tcW w:w="0" w:type="auto"/>
          </w:tcPr>
          <w:p w:rsidR="003F39A6" w:rsidRDefault="00092F95">
            <w:pPr>
              <w:pStyle w:val="Tableheading"/>
            </w:pPr>
            <w:r>
              <w:t>December quarter 2015</w:t>
            </w:r>
          </w:p>
        </w:tc>
        <w:tc>
          <w:tcPr>
            <w:tcW w:w="0" w:type="auto"/>
          </w:tcPr>
          <w:p w:rsidR="003F39A6" w:rsidRDefault="00092F95">
            <w:pPr>
              <w:pStyle w:val="Normalright"/>
            </w:pPr>
            <w:r>
              <w:t>16.2</w:t>
            </w:r>
          </w:p>
        </w:tc>
        <w:tc>
          <w:tcPr>
            <w:tcW w:w="0" w:type="auto"/>
          </w:tcPr>
          <w:p w:rsidR="003F39A6" w:rsidRDefault="00092F95">
            <w:pPr>
              <w:pStyle w:val="Normalright"/>
            </w:pPr>
            <w:r>
              <w:t>49.8%</w:t>
            </w:r>
          </w:p>
        </w:tc>
      </w:tr>
      <w:tr w:rsidR="003F39A6">
        <w:tc>
          <w:tcPr>
            <w:tcW w:w="0" w:type="auto"/>
          </w:tcPr>
          <w:p w:rsidR="003F39A6" w:rsidRDefault="00092F95">
            <w:pPr>
              <w:pStyle w:val="Tableheading"/>
            </w:pPr>
            <w:r>
              <w:t>March quarter 2016</w:t>
            </w:r>
          </w:p>
        </w:tc>
        <w:tc>
          <w:tcPr>
            <w:tcW w:w="0" w:type="auto"/>
          </w:tcPr>
          <w:p w:rsidR="003F39A6" w:rsidRDefault="00092F95">
            <w:pPr>
              <w:pStyle w:val="Normalright"/>
            </w:pPr>
            <w:r>
              <w:t>18.1</w:t>
            </w:r>
          </w:p>
        </w:tc>
        <w:tc>
          <w:tcPr>
            <w:tcW w:w="0" w:type="auto"/>
          </w:tcPr>
          <w:p w:rsidR="003F39A6" w:rsidRDefault="00092F95">
            <w:pPr>
              <w:pStyle w:val="Normalright"/>
            </w:pPr>
            <w:r>
              <w:t>57.2%</w:t>
            </w:r>
          </w:p>
        </w:tc>
      </w:tr>
      <w:tr w:rsidR="003F39A6">
        <w:tc>
          <w:tcPr>
            <w:tcW w:w="0" w:type="auto"/>
          </w:tcPr>
          <w:p w:rsidR="003F39A6" w:rsidRDefault="00092F95">
            <w:pPr>
              <w:pStyle w:val="Tableheading"/>
            </w:pPr>
            <w:r>
              <w:t>June quarter 2016</w:t>
            </w:r>
          </w:p>
        </w:tc>
        <w:tc>
          <w:tcPr>
            <w:tcW w:w="0" w:type="auto"/>
          </w:tcPr>
          <w:p w:rsidR="003F39A6" w:rsidRDefault="00092F95">
            <w:pPr>
              <w:pStyle w:val="Normalright"/>
            </w:pPr>
            <w:r>
              <w:t>20.1</w:t>
            </w:r>
          </w:p>
        </w:tc>
        <w:tc>
          <w:tcPr>
            <w:tcW w:w="0" w:type="auto"/>
          </w:tcPr>
          <w:p w:rsidR="003F39A6" w:rsidRDefault="00092F95">
            <w:pPr>
              <w:pStyle w:val="Normalright"/>
            </w:pPr>
            <w:r>
              <w:t>57.9%</w:t>
            </w:r>
          </w:p>
        </w:tc>
      </w:tr>
      <w:tr w:rsidR="003F39A6">
        <w:tc>
          <w:tcPr>
            <w:tcW w:w="0" w:type="auto"/>
          </w:tcPr>
          <w:p w:rsidR="003F39A6" w:rsidRDefault="00092F95">
            <w:pPr>
              <w:pStyle w:val="Tableheading"/>
            </w:pPr>
            <w:r>
              <w:t>September quarter 2016</w:t>
            </w:r>
          </w:p>
        </w:tc>
        <w:tc>
          <w:tcPr>
            <w:tcW w:w="0" w:type="auto"/>
          </w:tcPr>
          <w:p w:rsidR="003F39A6" w:rsidRDefault="00092F95">
            <w:pPr>
              <w:pStyle w:val="Normalright"/>
            </w:pPr>
            <w:r>
              <w:t>19.4</w:t>
            </w:r>
          </w:p>
        </w:tc>
        <w:tc>
          <w:tcPr>
            <w:tcW w:w="0" w:type="auto"/>
          </w:tcPr>
          <w:p w:rsidR="003F39A6" w:rsidRDefault="00092F95">
            <w:pPr>
              <w:pStyle w:val="Normalright"/>
            </w:pPr>
            <w:r>
              <w:t>60.2%</w:t>
            </w:r>
          </w:p>
        </w:tc>
      </w:tr>
      <w:tr w:rsidR="003F39A6">
        <w:tc>
          <w:tcPr>
            <w:tcW w:w="0" w:type="auto"/>
          </w:tcPr>
          <w:p w:rsidR="003F39A6" w:rsidRDefault="00092F95">
            <w:pPr>
              <w:pStyle w:val="Tableheading"/>
            </w:pPr>
            <w:r>
              <w:t>December quarter 2016</w:t>
            </w:r>
          </w:p>
        </w:tc>
        <w:tc>
          <w:tcPr>
            <w:tcW w:w="0" w:type="auto"/>
          </w:tcPr>
          <w:p w:rsidR="003F39A6" w:rsidRDefault="00092F95">
            <w:pPr>
              <w:pStyle w:val="Normalright"/>
            </w:pPr>
            <w:r>
              <w:t>21.7</w:t>
            </w:r>
          </w:p>
        </w:tc>
        <w:tc>
          <w:tcPr>
            <w:tcW w:w="0" w:type="auto"/>
          </w:tcPr>
          <w:p w:rsidR="003F39A6" w:rsidRDefault="00092F95">
            <w:pPr>
              <w:pStyle w:val="Normalright"/>
            </w:pPr>
            <w:r>
              <w:t>63.7%</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22.1</w:t>
            </w:r>
          </w:p>
        </w:tc>
        <w:tc>
          <w:tcPr>
            <w:tcW w:w="0" w:type="auto"/>
          </w:tcPr>
          <w:p w:rsidR="003F39A6" w:rsidRDefault="00092F95">
            <w:pPr>
              <w:pStyle w:val="Normalright"/>
            </w:pPr>
            <w:r>
              <w:t>67.6%</w:t>
            </w:r>
          </w:p>
        </w:tc>
      </w:tr>
      <w:tr w:rsidR="003F39A6">
        <w:tc>
          <w:tcPr>
            <w:tcW w:w="0" w:type="auto"/>
          </w:tcPr>
          <w:p w:rsidR="003F39A6" w:rsidRDefault="00092F95">
            <w:pPr>
              <w:pStyle w:val="Tableheading"/>
            </w:pPr>
            <w:r>
              <w:t>June quarter 2017</w:t>
            </w:r>
          </w:p>
        </w:tc>
        <w:tc>
          <w:tcPr>
            <w:tcW w:w="0" w:type="auto"/>
          </w:tcPr>
          <w:p w:rsidR="003F39A6" w:rsidRDefault="00092F95">
            <w:pPr>
              <w:pStyle w:val="Normalright"/>
            </w:pPr>
            <w:r>
              <w:t>25.8</w:t>
            </w:r>
          </w:p>
        </w:tc>
        <w:tc>
          <w:tcPr>
            <w:tcW w:w="0" w:type="auto"/>
          </w:tcPr>
          <w:p w:rsidR="003F39A6" w:rsidRDefault="00092F95">
            <w:pPr>
              <w:pStyle w:val="Normalright"/>
            </w:pPr>
            <w:r>
              <w:t>71.7%</w:t>
            </w:r>
          </w:p>
        </w:tc>
      </w:tr>
      <w:tr w:rsidR="003F39A6">
        <w:tc>
          <w:tcPr>
            <w:tcW w:w="0" w:type="auto"/>
          </w:tcPr>
          <w:p w:rsidR="003F39A6" w:rsidRDefault="00092F95">
            <w:pPr>
              <w:pStyle w:val="Tableheading"/>
            </w:pPr>
            <w:r>
              <w:t>September quarter 2017</w:t>
            </w:r>
          </w:p>
        </w:tc>
        <w:tc>
          <w:tcPr>
            <w:tcW w:w="0" w:type="auto"/>
          </w:tcPr>
          <w:p w:rsidR="003F39A6" w:rsidRDefault="00092F95">
            <w:pPr>
              <w:pStyle w:val="Normalright"/>
            </w:pPr>
            <w:r>
              <w:t>24.3</w:t>
            </w:r>
          </w:p>
        </w:tc>
        <w:tc>
          <w:tcPr>
            <w:tcW w:w="0" w:type="auto"/>
          </w:tcPr>
          <w:p w:rsidR="003F39A6" w:rsidRDefault="00092F95">
            <w:pPr>
              <w:pStyle w:val="Normalright"/>
            </w:pPr>
            <w:r>
              <w:t>74.6%</w:t>
            </w:r>
          </w:p>
        </w:tc>
      </w:tr>
      <w:tr w:rsidR="003F39A6">
        <w:tc>
          <w:tcPr>
            <w:tcW w:w="0" w:type="auto"/>
          </w:tcPr>
          <w:p w:rsidR="003F39A6" w:rsidRDefault="00092F95">
            <w:pPr>
              <w:pStyle w:val="Tableheading"/>
            </w:pPr>
            <w:r>
              <w:t>December quarter 2017</w:t>
            </w:r>
          </w:p>
        </w:tc>
        <w:tc>
          <w:tcPr>
            <w:tcW w:w="0" w:type="auto"/>
          </w:tcPr>
          <w:p w:rsidR="003F39A6" w:rsidRDefault="00092F95">
            <w:pPr>
              <w:pStyle w:val="Normalright"/>
            </w:pPr>
            <w:r>
              <w:t>26.1</w:t>
            </w:r>
          </w:p>
        </w:tc>
        <w:tc>
          <w:tcPr>
            <w:tcW w:w="0" w:type="auto"/>
          </w:tcPr>
          <w:p w:rsidR="003F39A6" w:rsidRDefault="00092F95">
            <w:pPr>
              <w:pStyle w:val="Normalright"/>
            </w:pPr>
            <w:r>
              <w:t>75.1%</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25.6</w:t>
            </w:r>
          </w:p>
        </w:tc>
        <w:tc>
          <w:tcPr>
            <w:tcW w:w="0" w:type="auto"/>
          </w:tcPr>
          <w:p w:rsidR="003F39A6" w:rsidRDefault="00092F95">
            <w:pPr>
              <w:pStyle w:val="Normalright"/>
            </w:pPr>
            <w:r>
              <w:t>75.9%</w:t>
            </w:r>
          </w:p>
        </w:tc>
      </w:tr>
      <w:tr w:rsidR="003F39A6">
        <w:tc>
          <w:tcPr>
            <w:tcW w:w="0" w:type="auto"/>
          </w:tcPr>
          <w:p w:rsidR="003F39A6" w:rsidRDefault="00092F95">
            <w:pPr>
              <w:pStyle w:val="Tableheading"/>
            </w:pPr>
            <w:r>
              <w:t>Total for the quarters in this period</w:t>
            </w:r>
          </w:p>
        </w:tc>
        <w:tc>
          <w:tcPr>
            <w:tcW w:w="0" w:type="auto"/>
          </w:tcPr>
          <w:p w:rsidR="003F39A6" w:rsidRDefault="00092F95">
            <w:pPr>
              <w:pStyle w:val="Normalright"/>
            </w:pPr>
            <w:r>
              <w:t>231.9</w:t>
            </w:r>
          </w:p>
        </w:tc>
        <w:tc>
          <w:tcPr>
            <w:tcW w:w="0" w:type="auto"/>
          </w:tcPr>
          <w:p w:rsidR="003F39A6" w:rsidRDefault="00092F95">
            <w:pPr>
              <w:pStyle w:val="Normalright"/>
            </w:pPr>
            <w:r>
              <w:t>63.3%</w:t>
            </w:r>
          </w:p>
        </w:tc>
      </w:tr>
    </w:tbl>
    <w:p w:rsidR="003F39A6" w:rsidRDefault="00092F95">
      <w:pPr>
        <w:pStyle w:val="Tablecaption"/>
      </w:pPr>
      <w:r>
        <w:t xml:space="preserve">Table 2: Channel B </w:t>
      </w:r>
      <w:proofErr w:type="gramStart"/>
      <w:r>
        <w:t>conforming</w:t>
      </w:r>
      <w:proofErr w:type="gramEnd"/>
      <w:r>
        <w:t xml:space="preserve"> contribution transactions – quarterly, September 2015 to March 2018</w:t>
      </w:r>
    </w:p>
    <w:tbl>
      <w:tblPr>
        <w:tblStyle w:val="Tablewithborder"/>
        <w:tblW w:w="0" w:type="auto"/>
        <w:tblLook w:val="04A0" w:firstRow="1" w:lastRow="0" w:firstColumn="1" w:lastColumn="0" w:noHBand="0" w:noVBand="1"/>
      </w:tblPr>
      <w:tblGrid>
        <w:gridCol w:w="5020"/>
        <w:gridCol w:w="1537"/>
        <w:gridCol w:w="1206"/>
      </w:tblGrid>
      <w:tr w:rsidR="003F39A6">
        <w:tc>
          <w:tcPr>
            <w:tcW w:w="0" w:type="auto"/>
          </w:tcPr>
          <w:p w:rsidR="003F39A6" w:rsidRDefault="00092F95">
            <w:pPr>
              <w:pStyle w:val="Tableheading"/>
            </w:pPr>
            <w:r>
              <w:t>Channel B quarterly contribution transactions</w:t>
            </w:r>
          </w:p>
        </w:tc>
        <w:tc>
          <w:tcPr>
            <w:tcW w:w="0" w:type="auto"/>
          </w:tcPr>
          <w:p w:rsidR="003F39A6" w:rsidRDefault="00092F95">
            <w:pPr>
              <w:pStyle w:val="Tableheading"/>
            </w:pPr>
            <w:r>
              <w:t>Volumes (m)</w:t>
            </w:r>
          </w:p>
        </w:tc>
        <w:tc>
          <w:tcPr>
            <w:tcW w:w="0" w:type="auto"/>
          </w:tcPr>
          <w:p w:rsidR="003F39A6" w:rsidRDefault="00092F95">
            <w:pPr>
              <w:pStyle w:val="Tableheading"/>
            </w:pPr>
            <w:r>
              <w:t>% of total</w:t>
            </w:r>
          </w:p>
        </w:tc>
      </w:tr>
      <w:tr w:rsidR="003F39A6">
        <w:tc>
          <w:tcPr>
            <w:tcW w:w="0" w:type="auto"/>
          </w:tcPr>
          <w:p w:rsidR="003F39A6" w:rsidRDefault="00092F95">
            <w:pPr>
              <w:pStyle w:val="Tableheading"/>
            </w:pPr>
            <w:r>
              <w:t>September quarter 2015</w:t>
            </w:r>
          </w:p>
        </w:tc>
        <w:tc>
          <w:tcPr>
            <w:tcW w:w="0" w:type="auto"/>
          </w:tcPr>
          <w:p w:rsidR="003F39A6" w:rsidRDefault="00092F95">
            <w:pPr>
              <w:pStyle w:val="Normalright"/>
            </w:pPr>
            <w:r>
              <w:t>12.3</w:t>
            </w:r>
          </w:p>
        </w:tc>
        <w:tc>
          <w:tcPr>
            <w:tcW w:w="0" w:type="auto"/>
          </w:tcPr>
          <w:p w:rsidR="003F39A6" w:rsidRDefault="00092F95">
            <w:pPr>
              <w:pStyle w:val="Normalright"/>
            </w:pPr>
            <w:r>
              <w:t>39.2%</w:t>
            </w:r>
          </w:p>
        </w:tc>
      </w:tr>
      <w:tr w:rsidR="003F39A6">
        <w:tc>
          <w:tcPr>
            <w:tcW w:w="0" w:type="auto"/>
          </w:tcPr>
          <w:p w:rsidR="003F39A6" w:rsidRDefault="00092F95">
            <w:pPr>
              <w:pStyle w:val="Tableheading"/>
            </w:pPr>
            <w:r>
              <w:t>December quarter 2015</w:t>
            </w:r>
          </w:p>
        </w:tc>
        <w:tc>
          <w:tcPr>
            <w:tcW w:w="0" w:type="auto"/>
          </w:tcPr>
          <w:p w:rsidR="003F39A6" w:rsidRDefault="00092F95">
            <w:pPr>
              <w:pStyle w:val="Normalright"/>
            </w:pPr>
            <w:r>
              <w:t>11.3</w:t>
            </w:r>
          </w:p>
        </w:tc>
        <w:tc>
          <w:tcPr>
            <w:tcW w:w="0" w:type="auto"/>
          </w:tcPr>
          <w:p w:rsidR="003F39A6" w:rsidRDefault="00092F95">
            <w:pPr>
              <w:pStyle w:val="Normalright"/>
            </w:pPr>
            <w:r>
              <w:t>34.6%</w:t>
            </w:r>
          </w:p>
        </w:tc>
      </w:tr>
      <w:tr w:rsidR="003F39A6">
        <w:tc>
          <w:tcPr>
            <w:tcW w:w="0" w:type="auto"/>
          </w:tcPr>
          <w:p w:rsidR="003F39A6" w:rsidRDefault="00092F95">
            <w:pPr>
              <w:pStyle w:val="Tableheading"/>
            </w:pPr>
            <w:r>
              <w:t>March quarter 2016</w:t>
            </w:r>
          </w:p>
        </w:tc>
        <w:tc>
          <w:tcPr>
            <w:tcW w:w="0" w:type="auto"/>
          </w:tcPr>
          <w:p w:rsidR="003F39A6" w:rsidRDefault="00092F95">
            <w:pPr>
              <w:pStyle w:val="Normalright"/>
            </w:pPr>
            <w:r>
              <w:t>9.9</w:t>
            </w:r>
          </w:p>
        </w:tc>
        <w:tc>
          <w:tcPr>
            <w:tcW w:w="0" w:type="auto"/>
          </w:tcPr>
          <w:p w:rsidR="003F39A6" w:rsidRDefault="00092F95">
            <w:pPr>
              <w:pStyle w:val="Normalright"/>
            </w:pPr>
            <w:r>
              <w:t>31.4%</w:t>
            </w:r>
          </w:p>
        </w:tc>
      </w:tr>
      <w:tr w:rsidR="003F39A6">
        <w:tc>
          <w:tcPr>
            <w:tcW w:w="0" w:type="auto"/>
          </w:tcPr>
          <w:p w:rsidR="003F39A6" w:rsidRDefault="00092F95">
            <w:pPr>
              <w:pStyle w:val="Tableheading"/>
            </w:pPr>
            <w:r>
              <w:t>June quarter 2016</w:t>
            </w:r>
          </w:p>
        </w:tc>
        <w:tc>
          <w:tcPr>
            <w:tcW w:w="0" w:type="auto"/>
          </w:tcPr>
          <w:p w:rsidR="003F39A6" w:rsidRDefault="00092F95">
            <w:pPr>
              <w:pStyle w:val="Normalright"/>
            </w:pPr>
            <w:r>
              <w:t>11.0</w:t>
            </w:r>
          </w:p>
        </w:tc>
        <w:tc>
          <w:tcPr>
            <w:tcW w:w="0" w:type="auto"/>
          </w:tcPr>
          <w:p w:rsidR="003F39A6" w:rsidRDefault="00092F95">
            <w:pPr>
              <w:pStyle w:val="Normalright"/>
            </w:pPr>
            <w:r>
              <w:t>31.5%</w:t>
            </w:r>
          </w:p>
        </w:tc>
      </w:tr>
      <w:tr w:rsidR="003F39A6">
        <w:tc>
          <w:tcPr>
            <w:tcW w:w="0" w:type="auto"/>
          </w:tcPr>
          <w:p w:rsidR="003F39A6" w:rsidRDefault="00092F95">
            <w:pPr>
              <w:pStyle w:val="Tableheading"/>
            </w:pPr>
            <w:r>
              <w:t>September quarter 2016</w:t>
            </w:r>
          </w:p>
        </w:tc>
        <w:tc>
          <w:tcPr>
            <w:tcW w:w="0" w:type="auto"/>
          </w:tcPr>
          <w:p w:rsidR="003F39A6" w:rsidRDefault="00092F95">
            <w:pPr>
              <w:pStyle w:val="Normalright"/>
            </w:pPr>
            <w:r>
              <w:t>10.3</w:t>
            </w:r>
          </w:p>
        </w:tc>
        <w:tc>
          <w:tcPr>
            <w:tcW w:w="0" w:type="auto"/>
          </w:tcPr>
          <w:p w:rsidR="003F39A6" w:rsidRDefault="00092F95">
            <w:pPr>
              <w:pStyle w:val="Normalright"/>
            </w:pPr>
            <w:r>
              <w:t>32.1%</w:t>
            </w:r>
          </w:p>
        </w:tc>
      </w:tr>
      <w:tr w:rsidR="003F39A6">
        <w:tc>
          <w:tcPr>
            <w:tcW w:w="0" w:type="auto"/>
          </w:tcPr>
          <w:p w:rsidR="003F39A6" w:rsidRDefault="00092F95">
            <w:pPr>
              <w:pStyle w:val="Tableheading"/>
            </w:pPr>
            <w:r>
              <w:t>December quarter 2016</w:t>
            </w:r>
          </w:p>
        </w:tc>
        <w:tc>
          <w:tcPr>
            <w:tcW w:w="0" w:type="auto"/>
          </w:tcPr>
          <w:p w:rsidR="003F39A6" w:rsidRDefault="00092F95">
            <w:pPr>
              <w:pStyle w:val="Normalright"/>
            </w:pPr>
            <w:r>
              <w:t>10.0</w:t>
            </w:r>
          </w:p>
        </w:tc>
        <w:tc>
          <w:tcPr>
            <w:tcW w:w="0" w:type="auto"/>
          </w:tcPr>
          <w:p w:rsidR="003F39A6" w:rsidRDefault="00092F95">
            <w:pPr>
              <w:pStyle w:val="Normalright"/>
            </w:pPr>
            <w:r>
              <w:t>29.3%</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8.5</w:t>
            </w:r>
          </w:p>
        </w:tc>
        <w:tc>
          <w:tcPr>
            <w:tcW w:w="0" w:type="auto"/>
          </w:tcPr>
          <w:p w:rsidR="003F39A6" w:rsidRDefault="00092F95">
            <w:pPr>
              <w:pStyle w:val="Normalright"/>
            </w:pPr>
            <w:r>
              <w:t>26.0%</w:t>
            </w:r>
          </w:p>
        </w:tc>
      </w:tr>
      <w:tr w:rsidR="003F39A6">
        <w:tc>
          <w:tcPr>
            <w:tcW w:w="0" w:type="auto"/>
          </w:tcPr>
          <w:p w:rsidR="003F39A6" w:rsidRDefault="00092F95">
            <w:pPr>
              <w:pStyle w:val="Tableheading"/>
            </w:pPr>
            <w:r>
              <w:t>June quarter 2017</w:t>
            </w:r>
          </w:p>
        </w:tc>
        <w:tc>
          <w:tcPr>
            <w:tcW w:w="0" w:type="auto"/>
          </w:tcPr>
          <w:p w:rsidR="003F39A6" w:rsidRDefault="00092F95">
            <w:pPr>
              <w:pStyle w:val="Normalright"/>
            </w:pPr>
            <w:r>
              <w:t>7.9</w:t>
            </w:r>
          </w:p>
        </w:tc>
        <w:tc>
          <w:tcPr>
            <w:tcW w:w="0" w:type="auto"/>
          </w:tcPr>
          <w:p w:rsidR="003F39A6" w:rsidRDefault="00092F95">
            <w:pPr>
              <w:pStyle w:val="Normalright"/>
            </w:pPr>
            <w:r>
              <w:t>22.2%</w:t>
            </w:r>
          </w:p>
        </w:tc>
      </w:tr>
      <w:tr w:rsidR="003F39A6">
        <w:tc>
          <w:tcPr>
            <w:tcW w:w="0" w:type="auto"/>
          </w:tcPr>
          <w:p w:rsidR="003F39A6" w:rsidRDefault="00092F95">
            <w:pPr>
              <w:pStyle w:val="Tableheading"/>
            </w:pPr>
            <w:r>
              <w:t>September quarter 2017</w:t>
            </w:r>
          </w:p>
        </w:tc>
        <w:tc>
          <w:tcPr>
            <w:tcW w:w="0" w:type="auto"/>
          </w:tcPr>
          <w:p w:rsidR="003F39A6" w:rsidRDefault="00092F95">
            <w:pPr>
              <w:pStyle w:val="Normalright"/>
            </w:pPr>
            <w:r>
              <w:t>6.2</w:t>
            </w:r>
          </w:p>
        </w:tc>
        <w:tc>
          <w:tcPr>
            <w:tcW w:w="0" w:type="auto"/>
          </w:tcPr>
          <w:p w:rsidR="003F39A6" w:rsidRDefault="00092F95">
            <w:pPr>
              <w:pStyle w:val="Normalright"/>
            </w:pPr>
            <w:r>
              <w:t>19.1%</w:t>
            </w:r>
          </w:p>
        </w:tc>
      </w:tr>
      <w:tr w:rsidR="003F39A6">
        <w:tc>
          <w:tcPr>
            <w:tcW w:w="0" w:type="auto"/>
          </w:tcPr>
          <w:p w:rsidR="003F39A6" w:rsidRDefault="00092F95">
            <w:pPr>
              <w:pStyle w:val="Tableheading"/>
            </w:pPr>
            <w:r>
              <w:t>December quarter 2017</w:t>
            </w:r>
          </w:p>
        </w:tc>
        <w:tc>
          <w:tcPr>
            <w:tcW w:w="0" w:type="auto"/>
          </w:tcPr>
          <w:p w:rsidR="003F39A6" w:rsidRDefault="00092F95">
            <w:pPr>
              <w:pStyle w:val="Normalright"/>
            </w:pPr>
            <w:r>
              <w:t>6.6</w:t>
            </w:r>
          </w:p>
        </w:tc>
        <w:tc>
          <w:tcPr>
            <w:tcW w:w="0" w:type="auto"/>
          </w:tcPr>
          <w:p w:rsidR="003F39A6" w:rsidRDefault="00092F95">
            <w:pPr>
              <w:pStyle w:val="Normalright"/>
            </w:pPr>
            <w:r>
              <w:t>19.0%</w:t>
            </w:r>
          </w:p>
        </w:tc>
      </w:tr>
      <w:tr w:rsidR="003F39A6">
        <w:tc>
          <w:tcPr>
            <w:tcW w:w="0" w:type="auto"/>
          </w:tcPr>
          <w:p w:rsidR="003F39A6" w:rsidRDefault="00092F95">
            <w:pPr>
              <w:pStyle w:val="Tableheading"/>
            </w:pPr>
            <w:r>
              <w:t>March 2018</w:t>
            </w:r>
          </w:p>
        </w:tc>
        <w:tc>
          <w:tcPr>
            <w:tcW w:w="0" w:type="auto"/>
          </w:tcPr>
          <w:p w:rsidR="003F39A6" w:rsidRDefault="00092F95">
            <w:pPr>
              <w:pStyle w:val="Normalright"/>
            </w:pPr>
            <w:r>
              <w:t>6.3</w:t>
            </w:r>
          </w:p>
        </w:tc>
        <w:tc>
          <w:tcPr>
            <w:tcW w:w="0" w:type="auto"/>
          </w:tcPr>
          <w:p w:rsidR="003F39A6" w:rsidRDefault="00092F95">
            <w:pPr>
              <w:pStyle w:val="Normalright"/>
            </w:pPr>
            <w:r>
              <w:t>18.6%</w:t>
            </w:r>
          </w:p>
        </w:tc>
      </w:tr>
      <w:tr w:rsidR="003F39A6">
        <w:tc>
          <w:tcPr>
            <w:tcW w:w="0" w:type="auto"/>
          </w:tcPr>
          <w:p w:rsidR="003F39A6" w:rsidRDefault="00092F95">
            <w:pPr>
              <w:pStyle w:val="Tableheading"/>
            </w:pPr>
            <w:r>
              <w:t>Total for the quarters in this period</w:t>
            </w:r>
          </w:p>
        </w:tc>
        <w:tc>
          <w:tcPr>
            <w:tcW w:w="0" w:type="auto"/>
          </w:tcPr>
          <w:p w:rsidR="003F39A6" w:rsidRDefault="00092F95">
            <w:pPr>
              <w:pStyle w:val="Normalright"/>
            </w:pPr>
            <w:r>
              <w:t>100.3</w:t>
            </w:r>
          </w:p>
        </w:tc>
        <w:tc>
          <w:tcPr>
            <w:tcW w:w="0" w:type="auto"/>
          </w:tcPr>
          <w:p w:rsidR="003F39A6" w:rsidRDefault="00092F95">
            <w:pPr>
              <w:pStyle w:val="Normalright"/>
            </w:pPr>
            <w:r>
              <w:t>27.4%%</w:t>
            </w:r>
          </w:p>
        </w:tc>
      </w:tr>
    </w:tbl>
    <w:p w:rsidR="003F39A6" w:rsidRDefault="00092F95">
      <w:pPr>
        <w:pStyle w:val="Tablecaption"/>
      </w:pPr>
      <w:r>
        <w:lastRenderedPageBreak/>
        <w:t>Table 3: Channel C (non-conforming) contribution transactions – quarterly, September 2015 to December 2017</w:t>
      </w:r>
    </w:p>
    <w:tbl>
      <w:tblPr>
        <w:tblStyle w:val="Tablewithborder"/>
        <w:tblW w:w="0" w:type="auto"/>
        <w:tblLook w:val="04A0" w:firstRow="1" w:lastRow="0" w:firstColumn="1" w:lastColumn="0" w:noHBand="0" w:noVBand="1"/>
      </w:tblPr>
      <w:tblGrid>
        <w:gridCol w:w="5920"/>
        <w:gridCol w:w="1463"/>
        <w:gridCol w:w="1139"/>
      </w:tblGrid>
      <w:tr w:rsidR="003F39A6">
        <w:tc>
          <w:tcPr>
            <w:tcW w:w="0" w:type="auto"/>
          </w:tcPr>
          <w:p w:rsidR="003F39A6" w:rsidRDefault="00092F95">
            <w:pPr>
              <w:pStyle w:val="Tableheading"/>
            </w:pPr>
            <w:r>
              <w:t>Channel C (non-conforming) quarterly contribution transactions</w:t>
            </w:r>
          </w:p>
        </w:tc>
        <w:tc>
          <w:tcPr>
            <w:tcW w:w="0" w:type="auto"/>
          </w:tcPr>
          <w:p w:rsidR="003F39A6" w:rsidRDefault="00092F95">
            <w:pPr>
              <w:pStyle w:val="Tableheading"/>
            </w:pPr>
            <w:r>
              <w:t>Volumes (m)</w:t>
            </w:r>
          </w:p>
        </w:tc>
        <w:tc>
          <w:tcPr>
            <w:tcW w:w="0" w:type="auto"/>
          </w:tcPr>
          <w:p w:rsidR="003F39A6" w:rsidRDefault="00092F95">
            <w:pPr>
              <w:pStyle w:val="Tableheading"/>
            </w:pPr>
            <w:r>
              <w:t>% of total</w:t>
            </w:r>
          </w:p>
        </w:tc>
      </w:tr>
      <w:tr w:rsidR="003F39A6">
        <w:tc>
          <w:tcPr>
            <w:tcW w:w="0" w:type="auto"/>
          </w:tcPr>
          <w:p w:rsidR="003F39A6" w:rsidRDefault="00092F95">
            <w:pPr>
              <w:pStyle w:val="Tableheading"/>
            </w:pPr>
            <w:r>
              <w:t>Septembe</w:t>
            </w:r>
            <w:r>
              <w:t>r quarter 2015</w:t>
            </w:r>
          </w:p>
        </w:tc>
        <w:tc>
          <w:tcPr>
            <w:tcW w:w="0" w:type="auto"/>
          </w:tcPr>
          <w:p w:rsidR="003F39A6" w:rsidRDefault="00092F95">
            <w:pPr>
              <w:pStyle w:val="Normalright"/>
            </w:pPr>
            <w:r>
              <w:t>6.6</w:t>
            </w:r>
          </w:p>
        </w:tc>
        <w:tc>
          <w:tcPr>
            <w:tcW w:w="0" w:type="auto"/>
          </w:tcPr>
          <w:p w:rsidR="003F39A6" w:rsidRDefault="00092F95">
            <w:pPr>
              <w:pStyle w:val="Normalright"/>
            </w:pPr>
            <w:r>
              <w:t>21.1%</w:t>
            </w:r>
          </w:p>
        </w:tc>
      </w:tr>
      <w:tr w:rsidR="003F39A6">
        <w:tc>
          <w:tcPr>
            <w:tcW w:w="0" w:type="auto"/>
          </w:tcPr>
          <w:p w:rsidR="003F39A6" w:rsidRDefault="00092F95">
            <w:pPr>
              <w:pStyle w:val="Tableheading"/>
            </w:pPr>
            <w:r>
              <w:t>December quarter 2015</w:t>
            </w:r>
          </w:p>
        </w:tc>
        <w:tc>
          <w:tcPr>
            <w:tcW w:w="0" w:type="auto"/>
          </w:tcPr>
          <w:p w:rsidR="003F39A6" w:rsidRDefault="00092F95">
            <w:pPr>
              <w:pStyle w:val="Normalright"/>
            </w:pPr>
            <w:r>
              <w:t>5.1</w:t>
            </w:r>
          </w:p>
        </w:tc>
        <w:tc>
          <w:tcPr>
            <w:tcW w:w="0" w:type="auto"/>
          </w:tcPr>
          <w:p w:rsidR="003F39A6" w:rsidRDefault="00092F95">
            <w:pPr>
              <w:pStyle w:val="Normalright"/>
            </w:pPr>
            <w:r>
              <w:t>15.5%</w:t>
            </w:r>
          </w:p>
        </w:tc>
      </w:tr>
      <w:tr w:rsidR="003F39A6">
        <w:tc>
          <w:tcPr>
            <w:tcW w:w="0" w:type="auto"/>
          </w:tcPr>
          <w:p w:rsidR="003F39A6" w:rsidRDefault="00092F95">
            <w:pPr>
              <w:pStyle w:val="Tableheading"/>
            </w:pPr>
            <w:r>
              <w:t>March quarter 2016</w:t>
            </w:r>
          </w:p>
        </w:tc>
        <w:tc>
          <w:tcPr>
            <w:tcW w:w="0" w:type="auto"/>
          </w:tcPr>
          <w:p w:rsidR="003F39A6" w:rsidRDefault="00092F95">
            <w:pPr>
              <w:pStyle w:val="Normalright"/>
            </w:pPr>
            <w:r>
              <w:t>3.6</w:t>
            </w:r>
          </w:p>
        </w:tc>
        <w:tc>
          <w:tcPr>
            <w:tcW w:w="0" w:type="auto"/>
          </w:tcPr>
          <w:p w:rsidR="003F39A6" w:rsidRDefault="00092F95">
            <w:pPr>
              <w:pStyle w:val="Normalright"/>
            </w:pPr>
            <w:r>
              <w:t>11.3%</w:t>
            </w:r>
          </w:p>
        </w:tc>
      </w:tr>
      <w:tr w:rsidR="003F39A6">
        <w:tc>
          <w:tcPr>
            <w:tcW w:w="0" w:type="auto"/>
          </w:tcPr>
          <w:p w:rsidR="003F39A6" w:rsidRDefault="00092F95">
            <w:pPr>
              <w:pStyle w:val="Tableheading"/>
            </w:pPr>
            <w:r>
              <w:t>June quarter 2016</w:t>
            </w:r>
          </w:p>
        </w:tc>
        <w:tc>
          <w:tcPr>
            <w:tcW w:w="0" w:type="auto"/>
          </w:tcPr>
          <w:p w:rsidR="003F39A6" w:rsidRDefault="00092F95">
            <w:pPr>
              <w:pStyle w:val="Normalright"/>
            </w:pPr>
            <w:r>
              <w:t>3.7</w:t>
            </w:r>
          </w:p>
        </w:tc>
        <w:tc>
          <w:tcPr>
            <w:tcW w:w="0" w:type="auto"/>
          </w:tcPr>
          <w:p w:rsidR="003F39A6" w:rsidRDefault="00092F95">
            <w:pPr>
              <w:pStyle w:val="Normalright"/>
            </w:pPr>
            <w:r>
              <w:t>10.6%</w:t>
            </w:r>
          </w:p>
        </w:tc>
      </w:tr>
      <w:tr w:rsidR="003F39A6">
        <w:tc>
          <w:tcPr>
            <w:tcW w:w="0" w:type="auto"/>
          </w:tcPr>
          <w:p w:rsidR="003F39A6" w:rsidRDefault="00092F95">
            <w:pPr>
              <w:pStyle w:val="Tableheading"/>
            </w:pPr>
            <w:r>
              <w:t>September quarter 2016</w:t>
            </w:r>
          </w:p>
        </w:tc>
        <w:tc>
          <w:tcPr>
            <w:tcW w:w="0" w:type="auto"/>
          </w:tcPr>
          <w:p w:rsidR="003F39A6" w:rsidRDefault="00092F95">
            <w:pPr>
              <w:pStyle w:val="Normalright"/>
            </w:pPr>
            <w:r>
              <w:t>2.5</w:t>
            </w:r>
          </w:p>
        </w:tc>
        <w:tc>
          <w:tcPr>
            <w:tcW w:w="0" w:type="auto"/>
          </w:tcPr>
          <w:p w:rsidR="003F39A6" w:rsidRDefault="00092F95">
            <w:pPr>
              <w:pStyle w:val="Normalright"/>
            </w:pPr>
            <w:r>
              <w:t>7.7%</w:t>
            </w:r>
          </w:p>
        </w:tc>
      </w:tr>
      <w:tr w:rsidR="003F39A6">
        <w:tc>
          <w:tcPr>
            <w:tcW w:w="0" w:type="auto"/>
          </w:tcPr>
          <w:p w:rsidR="003F39A6" w:rsidRDefault="00092F95">
            <w:pPr>
              <w:pStyle w:val="Tableheading"/>
            </w:pPr>
            <w:r>
              <w:t>December quarter 2016</w:t>
            </w:r>
          </w:p>
        </w:tc>
        <w:tc>
          <w:tcPr>
            <w:tcW w:w="0" w:type="auto"/>
          </w:tcPr>
          <w:p w:rsidR="003F39A6" w:rsidRDefault="00092F95">
            <w:pPr>
              <w:pStyle w:val="Normalright"/>
            </w:pPr>
            <w:r>
              <w:t>2.4</w:t>
            </w:r>
          </w:p>
        </w:tc>
        <w:tc>
          <w:tcPr>
            <w:tcW w:w="0" w:type="auto"/>
          </w:tcPr>
          <w:p w:rsidR="003F39A6" w:rsidRDefault="00092F95">
            <w:pPr>
              <w:pStyle w:val="Normalright"/>
            </w:pPr>
            <w:r>
              <w:t>6.9%</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2.1</w:t>
            </w:r>
          </w:p>
        </w:tc>
        <w:tc>
          <w:tcPr>
            <w:tcW w:w="0" w:type="auto"/>
          </w:tcPr>
          <w:p w:rsidR="003F39A6" w:rsidRDefault="00092F95">
            <w:pPr>
              <w:pStyle w:val="Normalright"/>
            </w:pPr>
            <w:r>
              <w:t>6.3%</w:t>
            </w:r>
          </w:p>
        </w:tc>
      </w:tr>
      <w:tr w:rsidR="003F39A6">
        <w:tc>
          <w:tcPr>
            <w:tcW w:w="0" w:type="auto"/>
          </w:tcPr>
          <w:p w:rsidR="003F39A6" w:rsidRDefault="00092F95">
            <w:pPr>
              <w:pStyle w:val="Tableheading"/>
            </w:pPr>
            <w:r>
              <w:t>June quarter 2017</w:t>
            </w:r>
          </w:p>
        </w:tc>
        <w:tc>
          <w:tcPr>
            <w:tcW w:w="0" w:type="auto"/>
          </w:tcPr>
          <w:p w:rsidR="003F39A6" w:rsidRDefault="00092F95">
            <w:pPr>
              <w:pStyle w:val="Normalright"/>
            </w:pPr>
            <w:r>
              <w:t>2.3</w:t>
            </w:r>
          </w:p>
        </w:tc>
        <w:tc>
          <w:tcPr>
            <w:tcW w:w="0" w:type="auto"/>
          </w:tcPr>
          <w:p w:rsidR="003F39A6" w:rsidRDefault="00092F95">
            <w:pPr>
              <w:pStyle w:val="Normalright"/>
            </w:pPr>
            <w:r>
              <w:t>6.3%</w:t>
            </w:r>
          </w:p>
        </w:tc>
      </w:tr>
      <w:tr w:rsidR="003F39A6">
        <w:tc>
          <w:tcPr>
            <w:tcW w:w="0" w:type="auto"/>
          </w:tcPr>
          <w:p w:rsidR="003F39A6" w:rsidRDefault="00092F95">
            <w:pPr>
              <w:pStyle w:val="Tableheading"/>
            </w:pPr>
            <w:r>
              <w:t>September quarter 2017</w:t>
            </w:r>
          </w:p>
        </w:tc>
        <w:tc>
          <w:tcPr>
            <w:tcW w:w="0" w:type="auto"/>
          </w:tcPr>
          <w:p w:rsidR="003F39A6" w:rsidRDefault="00092F95">
            <w:pPr>
              <w:pStyle w:val="Normalright"/>
            </w:pPr>
            <w:r>
              <w:t>2.0</w:t>
            </w:r>
          </w:p>
        </w:tc>
        <w:tc>
          <w:tcPr>
            <w:tcW w:w="0" w:type="auto"/>
          </w:tcPr>
          <w:p w:rsidR="003F39A6" w:rsidRDefault="00092F95">
            <w:pPr>
              <w:pStyle w:val="Normalright"/>
            </w:pPr>
            <w:r>
              <w:t>6.1%</w:t>
            </w:r>
          </w:p>
        </w:tc>
      </w:tr>
      <w:tr w:rsidR="003F39A6">
        <w:tc>
          <w:tcPr>
            <w:tcW w:w="0" w:type="auto"/>
          </w:tcPr>
          <w:p w:rsidR="003F39A6" w:rsidRDefault="00092F95">
            <w:pPr>
              <w:pStyle w:val="Tableheading"/>
            </w:pPr>
            <w:r>
              <w:t>December quarter 2017</w:t>
            </w:r>
          </w:p>
        </w:tc>
        <w:tc>
          <w:tcPr>
            <w:tcW w:w="0" w:type="auto"/>
          </w:tcPr>
          <w:p w:rsidR="003F39A6" w:rsidRDefault="00092F95">
            <w:pPr>
              <w:pStyle w:val="Normalright"/>
            </w:pPr>
            <w:r>
              <w:t>2.0</w:t>
            </w:r>
          </w:p>
        </w:tc>
        <w:tc>
          <w:tcPr>
            <w:tcW w:w="0" w:type="auto"/>
          </w:tcPr>
          <w:p w:rsidR="003F39A6" w:rsidRDefault="00092F95">
            <w:pPr>
              <w:pStyle w:val="Normalright"/>
            </w:pPr>
            <w:r>
              <w:t>5.9%</w:t>
            </w:r>
          </w:p>
        </w:tc>
      </w:tr>
      <w:tr w:rsidR="003F39A6">
        <w:tc>
          <w:tcPr>
            <w:tcW w:w="0" w:type="auto"/>
          </w:tcPr>
          <w:p w:rsidR="003F39A6" w:rsidRDefault="00092F95">
            <w:pPr>
              <w:pStyle w:val="Tableheading"/>
            </w:pPr>
            <w:r>
              <w:t>March quarter 2018</w:t>
            </w:r>
          </w:p>
        </w:tc>
        <w:tc>
          <w:tcPr>
            <w:tcW w:w="0" w:type="auto"/>
          </w:tcPr>
          <w:p w:rsidR="003F39A6" w:rsidRDefault="00092F95">
            <w:pPr>
              <w:pStyle w:val="Normalright"/>
            </w:pPr>
            <w:r>
              <w:t>1.9</w:t>
            </w:r>
          </w:p>
        </w:tc>
        <w:tc>
          <w:tcPr>
            <w:tcW w:w="0" w:type="auto"/>
          </w:tcPr>
          <w:p w:rsidR="003F39A6" w:rsidRDefault="00092F95">
            <w:pPr>
              <w:pStyle w:val="Normalright"/>
            </w:pPr>
            <w:r>
              <w:t>5.6%</w:t>
            </w:r>
          </w:p>
        </w:tc>
      </w:tr>
      <w:tr w:rsidR="003F39A6">
        <w:tc>
          <w:tcPr>
            <w:tcW w:w="0" w:type="auto"/>
          </w:tcPr>
          <w:p w:rsidR="003F39A6" w:rsidRDefault="00092F95">
            <w:pPr>
              <w:pStyle w:val="Tableheading"/>
            </w:pPr>
            <w:r>
              <w:t>Total for the quarters in this period</w:t>
            </w:r>
          </w:p>
        </w:tc>
        <w:tc>
          <w:tcPr>
            <w:tcW w:w="0" w:type="auto"/>
          </w:tcPr>
          <w:p w:rsidR="003F39A6" w:rsidRDefault="00092F95">
            <w:pPr>
              <w:pStyle w:val="Normalright"/>
            </w:pPr>
            <w:r>
              <w:t>34.1</w:t>
            </w:r>
          </w:p>
        </w:tc>
        <w:tc>
          <w:tcPr>
            <w:tcW w:w="0" w:type="auto"/>
          </w:tcPr>
          <w:p w:rsidR="003F39A6" w:rsidRDefault="00092F95">
            <w:pPr>
              <w:pStyle w:val="Normalright"/>
            </w:pPr>
            <w:r>
              <w:t>9.3%</w:t>
            </w:r>
          </w:p>
        </w:tc>
      </w:tr>
    </w:tbl>
    <w:p w:rsidR="003F39A6" w:rsidRDefault="00092F95">
      <w:pPr>
        <w:pStyle w:val="Tablecaption"/>
      </w:pPr>
      <w:r>
        <w:t>Table 4: Total quarterly contribution transactions – September 2015 to March 2018</w:t>
      </w:r>
    </w:p>
    <w:tbl>
      <w:tblPr>
        <w:tblStyle w:val="Tablewithborder"/>
        <w:tblW w:w="0" w:type="auto"/>
        <w:tblLook w:val="04A0" w:firstRow="1" w:lastRow="0" w:firstColumn="1" w:lastColumn="0" w:noHBand="0" w:noVBand="1"/>
      </w:tblPr>
      <w:tblGrid>
        <w:gridCol w:w="5833"/>
        <w:gridCol w:w="1511"/>
        <w:gridCol w:w="1178"/>
      </w:tblGrid>
      <w:tr w:rsidR="003F39A6">
        <w:tc>
          <w:tcPr>
            <w:tcW w:w="0" w:type="auto"/>
          </w:tcPr>
          <w:p w:rsidR="003F39A6" w:rsidRDefault="00092F95">
            <w:pPr>
              <w:pStyle w:val="Tableheading"/>
            </w:pPr>
            <w:r>
              <w:t>Total quarterly contribution transactions for all channels</w:t>
            </w:r>
          </w:p>
        </w:tc>
        <w:tc>
          <w:tcPr>
            <w:tcW w:w="0" w:type="auto"/>
          </w:tcPr>
          <w:p w:rsidR="003F39A6" w:rsidRDefault="00092F95">
            <w:pPr>
              <w:pStyle w:val="Tableheading"/>
            </w:pPr>
            <w:r>
              <w:t>Volumes (m)</w:t>
            </w:r>
          </w:p>
        </w:tc>
        <w:tc>
          <w:tcPr>
            <w:tcW w:w="0" w:type="auto"/>
          </w:tcPr>
          <w:p w:rsidR="003F39A6" w:rsidRDefault="00092F95">
            <w:pPr>
              <w:pStyle w:val="Tableheading"/>
            </w:pPr>
            <w:r>
              <w:t>% of total</w:t>
            </w:r>
          </w:p>
        </w:tc>
      </w:tr>
      <w:tr w:rsidR="003F39A6">
        <w:tc>
          <w:tcPr>
            <w:tcW w:w="0" w:type="auto"/>
          </w:tcPr>
          <w:p w:rsidR="003F39A6" w:rsidRDefault="00092F95">
            <w:pPr>
              <w:pStyle w:val="Tableheading"/>
            </w:pPr>
            <w:r>
              <w:t>September quarter 2015</w:t>
            </w:r>
          </w:p>
        </w:tc>
        <w:tc>
          <w:tcPr>
            <w:tcW w:w="0" w:type="auto"/>
          </w:tcPr>
          <w:p w:rsidR="003F39A6" w:rsidRDefault="00092F95">
            <w:pPr>
              <w:pStyle w:val="Normalright"/>
            </w:pPr>
            <w:r>
              <w:t>31.4</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December quarter 2015</w:t>
            </w:r>
          </w:p>
        </w:tc>
        <w:tc>
          <w:tcPr>
            <w:tcW w:w="0" w:type="auto"/>
          </w:tcPr>
          <w:p w:rsidR="003F39A6" w:rsidRDefault="00092F95">
            <w:pPr>
              <w:pStyle w:val="Normalright"/>
            </w:pPr>
            <w:r>
              <w:t>32.6</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March quarter 2016</w:t>
            </w:r>
          </w:p>
        </w:tc>
        <w:tc>
          <w:tcPr>
            <w:tcW w:w="0" w:type="auto"/>
          </w:tcPr>
          <w:p w:rsidR="003F39A6" w:rsidRDefault="00092F95">
            <w:pPr>
              <w:pStyle w:val="Normalright"/>
            </w:pPr>
            <w:r>
              <w:t>31.6</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June quarter 2016</w:t>
            </w:r>
          </w:p>
        </w:tc>
        <w:tc>
          <w:tcPr>
            <w:tcW w:w="0" w:type="auto"/>
          </w:tcPr>
          <w:p w:rsidR="003F39A6" w:rsidRDefault="00092F95">
            <w:pPr>
              <w:pStyle w:val="Normalright"/>
            </w:pPr>
            <w:r>
              <w:t>34.8</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September quarter 2016</w:t>
            </w:r>
          </w:p>
        </w:tc>
        <w:tc>
          <w:tcPr>
            <w:tcW w:w="0" w:type="auto"/>
          </w:tcPr>
          <w:p w:rsidR="003F39A6" w:rsidRDefault="00092F95">
            <w:pPr>
              <w:pStyle w:val="Normalright"/>
            </w:pPr>
            <w:r>
              <w:t>32.2</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December quarter 2016</w:t>
            </w:r>
          </w:p>
        </w:tc>
        <w:tc>
          <w:tcPr>
            <w:tcW w:w="0" w:type="auto"/>
          </w:tcPr>
          <w:p w:rsidR="003F39A6" w:rsidRDefault="00092F95">
            <w:pPr>
              <w:pStyle w:val="Normalright"/>
            </w:pPr>
            <w:r>
              <w:t>34.0</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32.7</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June quarter 2017</w:t>
            </w:r>
          </w:p>
        </w:tc>
        <w:tc>
          <w:tcPr>
            <w:tcW w:w="0" w:type="auto"/>
          </w:tcPr>
          <w:p w:rsidR="003F39A6" w:rsidRDefault="00092F95">
            <w:pPr>
              <w:pStyle w:val="Normalright"/>
            </w:pPr>
            <w:r>
              <w:t>36.0</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September quarter 2017</w:t>
            </w:r>
          </w:p>
        </w:tc>
        <w:tc>
          <w:tcPr>
            <w:tcW w:w="0" w:type="auto"/>
          </w:tcPr>
          <w:p w:rsidR="003F39A6" w:rsidRDefault="00092F95">
            <w:pPr>
              <w:pStyle w:val="Normalright"/>
            </w:pPr>
            <w:r>
              <w:t>32.5</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December quarter 2017</w:t>
            </w:r>
          </w:p>
        </w:tc>
        <w:tc>
          <w:tcPr>
            <w:tcW w:w="0" w:type="auto"/>
          </w:tcPr>
          <w:p w:rsidR="003F39A6" w:rsidRDefault="00092F95">
            <w:pPr>
              <w:pStyle w:val="Normalright"/>
            </w:pPr>
            <w:r>
              <w:t>34.8</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March 2017</w:t>
            </w:r>
          </w:p>
        </w:tc>
        <w:tc>
          <w:tcPr>
            <w:tcW w:w="0" w:type="auto"/>
          </w:tcPr>
          <w:p w:rsidR="003F39A6" w:rsidRDefault="00092F95">
            <w:pPr>
              <w:pStyle w:val="Normalright"/>
            </w:pPr>
            <w:r>
              <w:t>33.7</w:t>
            </w:r>
          </w:p>
        </w:tc>
        <w:tc>
          <w:tcPr>
            <w:tcW w:w="0" w:type="auto"/>
          </w:tcPr>
          <w:p w:rsidR="003F39A6" w:rsidRDefault="00092F95">
            <w:pPr>
              <w:pStyle w:val="Normalright"/>
            </w:pPr>
            <w:r>
              <w:t>100%</w:t>
            </w:r>
          </w:p>
        </w:tc>
      </w:tr>
      <w:tr w:rsidR="003F39A6">
        <w:tc>
          <w:tcPr>
            <w:tcW w:w="0" w:type="auto"/>
          </w:tcPr>
          <w:p w:rsidR="003F39A6" w:rsidRDefault="00092F95">
            <w:pPr>
              <w:pStyle w:val="Tableheading"/>
            </w:pPr>
            <w:r>
              <w:t>Total for the quarters in this period</w:t>
            </w:r>
          </w:p>
        </w:tc>
        <w:tc>
          <w:tcPr>
            <w:tcW w:w="0" w:type="auto"/>
          </w:tcPr>
          <w:p w:rsidR="003F39A6" w:rsidRDefault="00092F95">
            <w:pPr>
              <w:pStyle w:val="Normalright"/>
            </w:pPr>
            <w:r>
              <w:t>366.2</w:t>
            </w:r>
          </w:p>
        </w:tc>
        <w:tc>
          <w:tcPr>
            <w:tcW w:w="0" w:type="auto"/>
          </w:tcPr>
          <w:p w:rsidR="003F39A6" w:rsidRDefault="00092F95">
            <w:pPr>
              <w:pStyle w:val="Normalright"/>
            </w:pPr>
            <w:r>
              <w:t>100%</w:t>
            </w:r>
          </w:p>
        </w:tc>
      </w:tr>
    </w:tbl>
    <w:p w:rsidR="003F39A6" w:rsidRDefault="00092F95">
      <w:r>
        <w:rPr>
          <w:rStyle w:val="StyleBold"/>
        </w:rPr>
        <w:lastRenderedPageBreak/>
        <w:t>Note:</w:t>
      </w:r>
      <w:r>
        <w:t xml:space="preserve"> All figures are rounded to the nearest decimal point. Prior quarter figures are revised in later quarters where reporting errors are uncovered and data is resubmitted by entities. However these refinements are unlikely to have a material impact on the ove</w:t>
      </w:r>
      <w:r>
        <w:t>rall picture.</w:t>
      </w:r>
    </w:p>
    <w:p w:rsidR="003F39A6" w:rsidRDefault="00092F95">
      <w:r>
        <w:rPr>
          <w:rStyle w:val="StyleBold"/>
        </w:rPr>
        <w:t>Figure 1:</w:t>
      </w:r>
      <w:r>
        <w:t xml:space="preserve"> Contribution transactions by channel – quarterly trend, September 2015 to March 2018.</w:t>
      </w:r>
    </w:p>
    <w:p w:rsidR="0050073D" w:rsidRDefault="0050073D">
      <w:r>
        <w:rPr>
          <w:noProof/>
        </w:rPr>
        <w:drawing>
          <wp:inline distT="0" distB="0" distL="0" distR="0">
            <wp:extent cx="8752294" cy="4954129"/>
            <wp:effectExtent l="0" t="0" r="0" b="0"/>
            <wp:docPr id="3" name="Picture 3" descr="Figure 1 shows Channel A with a steady increase of transactions from September 2015 to March 2018. There is a steady decline of Channel B transactions from September 2015 to December 2017.Channel C has a decrease from September 2015 to September 2016 and then no change to March 20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link="rId11"/>
                    <a:stretch>
                      <a:fillRect/>
                    </a:stretch>
                  </pic:blipFill>
                  <pic:spPr>
                    <a:xfrm>
                      <a:off x="0" y="0"/>
                      <a:ext cx="8752294" cy="4954129"/>
                    </a:xfrm>
                    <a:prstGeom prst="rect">
                      <a:avLst/>
                    </a:prstGeom>
                  </pic:spPr>
                </pic:pic>
              </a:graphicData>
            </a:graphic>
          </wp:inline>
        </w:drawing>
      </w:r>
    </w:p>
    <w:p w:rsidR="003F39A6" w:rsidRDefault="00092F95">
      <w:pPr>
        <w:pStyle w:val="Heading2"/>
      </w:pPr>
      <w:bookmarkStart w:id="9" w:name="Channelvolumes"/>
      <w:r>
        <w:t>Channel volumes</w:t>
      </w:r>
      <w:bookmarkEnd w:id="9"/>
    </w:p>
    <w:p w:rsidR="003F39A6" w:rsidRDefault="00092F95">
      <w:r>
        <w:t xml:space="preserve">Together all ‘conforming’ transactions represent a combined 94.5% of volumes in the March quarter 2018. Channel </w:t>
      </w:r>
      <w:proofErr w:type="gramStart"/>
      <w:r>
        <w:t>A</w:t>
      </w:r>
      <w:proofErr w:type="gramEnd"/>
      <w:r>
        <w:t xml:space="preserve"> transactions h</w:t>
      </w:r>
      <w:r>
        <w:t>ave slightly increased to 75.9% in the March quarter compared to the previous quarter of 75.1%. Channel B transactions have declined slightly during the March quarter to 18.6% when compared to 19.0% in the previous quarter.</w:t>
      </w:r>
    </w:p>
    <w:p w:rsidR="003F39A6" w:rsidRDefault="00092F95">
      <w:r>
        <w:t xml:space="preserve">Non-conforming contributions in </w:t>
      </w:r>
      <w:r>
        <w:t xml:space="preserve">Channel C (including exempt funds) as a percentage of total transactions have declined slightly to 5.6% when compared to the previous quarter of 5.9%. When exempt funds are excluded non-conforming contributions in Channel C are even lower at remain steady </w:t>
      </w:r>
      <w:r>
        <w:t>at only 3.1%.</w:t>
      </w:r>
    </w:p>
    <w:p w:rsidR="003F39A6" w:rsidRDefault="00092F95">
      <w:r>
        <w:rPr>
          <w:rStyle w:val="StyleBold"/>
        </w:rPr>
        <w:t>Figure 2:</w:t>
      </w:r>
      <w:r>
        <w:t xml:space="preserve"> Contribution transactions (complying and non-complying) – quarterly trend, September 2015 to March 2018.</w:t>
      </w:r>
    </w:p>
    <w:p w:rsidR="0050073D" w:rsidRDefault="0050073D">
      <w:bookmarkStart w:id="10" w:name="_GoBack"/>
      <w:r>
        <w:rPr>
          <w:noProof/>
        </w:rPr>
        <w:lastRenderedPageBreak/>
        <w:drawing>
          <wp:inline distT="0" distB="0" distL="0" distR="0">
            <wp:extent cx="8752294" cy="4954129"/>
            <wp:effectExtent l="0" t="0" r="0" b="0"/>
            <wp:docPr id="4" name="Picture 4" descr="Figure 2 shows a decreease in non-conforming channels from September 2015 to March 2018. Total conforming channels shows a fluxtuating increase from 78.9% in September 2015 to 94.4% in March 20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link="rId12"/>
                    <a:stretch>
                      <a:fillRect/>
                    </a:stretch>
                  </pic:blipFill>
                  <pic:spPr>
                    <a:xfrm>
                      <a:off x="0" y="0"/>
                      <a:ext cx="8752294" cy="4954129"/>
                    </a:xfrm>
                    <a:prstGeom prst="rect">
                      <a:avLst/>
                    </a:prstGeom>
                  </pic:spPr>
                </pic:pic>
              </a:graphicData>
            </a:graphic>
          </wp:inline>
        </w:drawing>
      </w:r>
      <w:bookmarkEnd w:id="10"/>
    </w:p>
    <w:p w:rsidR="003F39A6" w:rsidRDefault="00092F95">
      <w:pPr>
        <w:pStyle w:val="Heading2"/>
      </w:pPr>
      <w:bookmarkStart w:id="11" w:name="Costsofcontributionprocessing"/>
      <w:r>
        <w:t>Costs of contribution processing</w:t>
      </w:r>
      <w:bookmarkEnd w:id="11"/>
    </w:p>
    <w:p w:rsidR="003F39A6" w:rsidRDefault="00092F95">
      <w:r>
        <w:t xml:space="preserve">The costs of contribution processing amounted to approximately $35.2 million over the March </w:t>
      </w:r>
      <w:r>
        <w:t>quarter.</w:t>
      </w:r>
    </w:p>
    <w:p w:rsidR="003F39A6" w:rsidRDefault="00092F95">
      <w:r>
        <w:t>The total value translates into an average cost of $1.04 per contribution processed across the whole sector for the March quarter, indicating a slight increase from the previous quarter.</w:t>
      </w:r>
    </w:p>
    <w:p w:rsidR="003F39A6" w:rsidRDefault="00092F95">
      <w:pPr>
        <w:pStyle w:val="Tablecaption"/>
      </w:pPr>
      <w:r>
        <w:t>Table 5: Cost movements – quarterly, September 2015 to Septe</w:t>
      </w:r>
      <w:r>
        <w:t>mber 2016</w:t>
      </w:r>
    </w:p>
    <w:tbl>
      <w:tblPr>
        <w:tblStyle w:val="Tablewithborder"/>
        <w:tblW w:w="0" w:type="auto"/>
        <w:tblLook w:val="04A0" w:firstRow="1" w:lastRow="0" w:firstColumn="1" w:lastColumn="0" w:noHBand="0" w:noVBand="1"/>
      </w:tblPr>
      <w:tblGrid>
        <w:gridCol w:w="2567"/>
        <w:gridCol w:w="1739"/>
        <w:gridCol w:w="1403"/>
        <w:gridCol w:w="1190"/>
        <w:gridCol w:w="1623"/>
      </w:tblGrid>
      <w:tr w:rsidR="003F39A6">
        <w:tc>
          <w:tcPr>
            <w:tcW w:w="0" w:type="auto"/>
          </w:tcPr>
          <w:p w:rsidR="003F39A6" w:rsidRDefault="00092F95">
            <w:pPr>
              <w:pStyle w:val="Tableheading"/>
            </w:pPr>
            <w:r>
              <w:t>Cost movements per quarter</w:t>
            </w:r>
          </w:p>
        </w:tc>
        <w:tc>
          <w:tcPr>
            <w:tcW w:w="0" w:type="auto"/>
          </w:tcPr>
          <w:p w:rsidR="003F39A6" w:rsidRDefault="00092F95">
            <w:pPr>
              <w:pStyle w:val="Tableheading"/>
            </w:pPr>
            <w:r>
              <w:t>Total volumes (m)</w:t>
            </w:r>
          </w:p>
        </w:tc>
        <w:tc>
          <w:tcPr>
            <w:tcW w:w="0" w:type="auto"/>
          </w:tcPr>
          <w:p w:rsidR="003F39A6" w:rsidRDefault="00092F95">
            <w:pPr>
              <w:pStyle w:val="Tableheading"/>
            </w:pPr>
            <w:r>
              <w:t>Total cost ($m)</w:t>
            </w:r>
          </w:p>
        </w:tc>
        <w:tc>
          <w:tcPr>
            <w:tcW w:w="0" w:type="auto"/>
          </w:tcPr>
          <w:p w:rsidR="003F39A6" w:rsidRDefault="00092F95">
            <w:pPr>
              <w:pStyle w:val="Tableheading"/>
            </w:pPr>
            <w:r>
              <w:t>Unit cost ($)</w:t>
            </w:r>
          </w:p>
        </w:tc>
        <w:tc>
          <w:tcPr>
            <w:tcW w:w="0" w:type="auto"/>
          </w:tcPr>
          <w:p w:rsidR="003F39A6" w:rsidRDefault="00092F95">
            <w:pPr>
              <w:pStyle w:val="Tableheading"/>
            </w:pPr>
            <w:r>
              <w:t>Quarterly Trend</w:t>
            </w:r>
          </w:p>
        </w:tc>
      </w:tr>
      <w:tr w:rsidR="003F39A6">
        <w:tc>
          <w:tcPr>
            <w:tcW w:w="0" w:type="auto"/>
          </w:tcPr>
          <w:p w:rsidR="003F39A6" w:rsidRDefault="00092F95">
            <w:pPr>
              <w:pStyle w:val="Tableheading"/>
            </w:pPr>
            <w:r>
              <w:t>September quarter 2015</w:t>
            </w:r>
          </w:p>
        </w:tc>
        <w:tc>
          <w:tcPr>
            <w:tcW w:w="0" w:type="auto"/>
          </w:tcPr>
          <w:p w:rsidR="003F39A6" w:rsidRDefault="00092F95">
            <w:pPr>
              <w:pStyle w:val="Normalright"/>
            </w:pPr>
            <w:r>
              <w:t>31.4</w:t>
            </w:r>
          </w:p>
        </w:tc>
        <w:tc>
          <w:tcPr>
            <w:tcW w:w="0" w:type="auto"/>
          </w:tcPr>
          <w:p w:rsidR="003F39A6" w:rsidRDefault="00092F95">
            <w:pPr>
              <w:pStyle w:val="Normalright"/>
            </w:pPr>
            <w:r>
              <w:t>40.8</w:t>
            </w:r>
          </w:p>
        </w:tc>
        <w:tc>
          <w:tcPr>
            <w:tcW w:w="0" w:type="auto"/>
          </w:tcPr>
          <w:p w:rsidR="003F39A6" w:rsidRDefault="00092F95">
            <w:pPr>
              <w:pStyle w:val="Normalright"/>
            </w:pPr>
            <w:r>
              <w:t>1.30</w:t>
            </w:r>
          </w:p>
        </w:tc>
        <w:tc>
          <w:tcPr>
            <w:tcW w:w="0" w:type="auto"/>
          </w:tcPr>
          <w:p w:rsidR="003F39A6" w:rsidRDefault="00092F95">
            <w:pPr>
              <w:pStyle w:val="Normalright"/>
            </w:pPr>
            <w:r>
              <w:t>n/a</w:t>
            </w:r>
          </w:p>
        </w:tc>
      </w:tr>
      <w:tr w:rsidR="003F39A6">
        <w:tc>
          <w:tcPr>
            <w:tcW w:w="0" w:type="auto"/>
          </w:tcPr>
          <w:p w:rsidR="003F39A6" w:rsidRDefault="00092F95">
            <w:pPr>
              <w:pStyle w:val="Tableheading"/>
            </w:pPr>
            <w:r>
              <w:t>December quarter 2015</w:t>
            </w:r>
          </w:p>
        </w:tc>
        <w:tc>
          <w:tcPr>
            <w:tcW w:w="0" w:type="auto"/>
          </w:tcPr>
          <w:p w:rsidR="003F39A6" w:rsidRDefault="00092F95">
            <w:pPr>
              <w:pStyle w:val="Normalright"/>
            </w:pPr>
            <w:r>
              <w:t>32.6</w:t>
            </w:r>
          </w:p>
        </w:tc>
        <w:tc>
          <w:tcPr>
            <w:tcW w:w="0" w:type="auto"/>
          </w:tcPr>
          <w:p w:rsidR="003F39A6" w:rsidRDefault="00092F95">
            <w:pPr>
              <w:pStyle w:val="Normalright"/>
            </w:pPr>
            <w:r>
              <w:t>39.6</w:t>
            </w:r>
          </w:p>
        </w:tc>
        <w:tc>
          <w:tcPr>
            <w:tcW w:w="0" w:type="auto"/>
          </w:tcPr>
          <w:p w:rsidR="003F39A6" w:rsidRDefault="00092F95">
            <w:pPr>
              <w:pStyle w:val="Normalright"/>
            </w:pPr>
            <w:r>
              <w:t>1.22</w:t>
            </w:r>
          </w:p>
        </w:tc>
        <w:tc>
          <w:tcPr>
            <w:tcW w:w="0" w:type="auto"/>
          </w:tcPr>
          <w:p w:rsidR="003F39A6" w:rsidRDefault="00092F95">
            <w:pPr>
              <w:pStyle w:val="Normalright"/>
            </w:pPr>
            <w:r>
              <w:t>-6.5%</w:t>
            </w:r>
          </w:p>
        </w:tc>
      </w:tr>
      <w:tr w:rsidR="003F39A6">
        <w:tc>
          <w:tcPr>
            <w:tcW w:w="0" w:type="auto"/>
          </w:tcPr>
          <w:p w:rsidR="003F39A6" w:rsidRDefault="00092F95">
            <w:pPr>
              <w:pStyle w:val="Tableheading"/>
            </w:pPr>
            <w:r>
              <w:t>March quarter 2016</w:t>
            </w:r>
          </w:p>
        </w:tc>
        <w:tc>
          <w:tcPr>
            <w:tcW w:w="0" w:type="auto"/>
          </w:tcPr>
          <w:p w:rsidR="003F39A6" w:rsidRDefault="00092F95">
            <w:pPr>
              <w:pStyle w:val="Normalright"/>
            </w:pPr>
            <w:r>
              <w:t>31.6</w:t>
            </w:r>
          </w:p>
        </w:tc>
        <w:tc>
          <w:tcPr>
            <w:tcW w:w="0" w:type="auto"/>
          </w:tcPr>
          <w:p w:rsidR="003F39A6" w:rsidRDefault="00092F95">
            <w:pPr>
              <w:pStyle w:val="Normalright"/>
            </w:pPr>
            <w:r>
              <w:t>38.7</w:t>
            </w:r>
          </w:p>
        </w:tc>
        <w:tc>
          <w:tcPr>
            <w:tcW w:w="0" w:type="auto"/>
          </w:tcPr>
          <w:p w:rsidR="003F39A6" w:rsidRDefault="00092F95">
            <w:pPr>
              <w:pStyle w:val="Normalright"/>
            </w:pPr>
            <w:r>
              <w:t>1.23</w:t>
            </w:r>
          </w:p>
        </w:tc>
        <w:tc>
          <w:tcPr>
            <w:tcW w:w="0" w:type="auto"/>
          </w:tcPr>
          <w:p w:rsidR="003F39A6" w:rsidRDefault="00092F95">
            <w:pPr>
              <w:pStyle w:val="Normalright"/>
            </w:pPr>
            <w:r>
              <w:t>0.8%</w:t>
            </w:r>
          </w:p>
        </w:tc>
      </w:tr>
      <w:tr w:rsidR="003F39A6">
        <w:tc>
          <w:tcPr>
            <w:tcW w:w="0" w:type="auto"/>
          </w:tcPr>
          <w:p w:rsidR="003F39A6" w:rsidRDefault="00092F95">
            <w:pPr>
              <w:pStyle w:val="Tableheading"/>
            </w:pPr>
            <w:r>
              <w:t>June quarter 2016</w:t>
            </w:r>
          </w:p>
        </w:tc>
        <w:tc>
          <w:tcPr>
            <w:tcW w:w="0" w:type="auto"/>
          </w:tcPr>
          <w:p w:rsidR="003F39A6" w:rsidRDefault="00092F95">
            <w:pPr>
              <w:pStyle w:val="Normalright"/>
            </w:pPr>
            <w:r>
              <w:t>34.8</w:t>
            </w:r>
          </w:p>
        </w:tc>
        <w:tc>
          <w:tcPr>
            <w:tcW w:w="0" w:type="auto"/>
          </w:tcPr>
          <w:p w:rsidR="003F39A6" w:rsidRDefault="00092F95">
            <w:pPr>
              <w:pStyle w:val="Normalright"/>
            </w:pPr>
            <w:r>
              <w:t>38.7</w:t>
            </w:r>
          </w:p>
        </w:tc>
        <w:tc>
          <w:tcPr>
            <w:tcW w:w="0" w:type="auto"/>
          </w:tcPr>
          <w:p w:rsidR="003F39A6" w:rsidRDefault="00092F95">
            <w:pPr>
              <w:pStyle w:val="Normalright"/>
            </w:pPr>
            <w:r>
              <w:t>1.11</w:t>
            </w:r>
          </w:p>
        </w:tc>
        <w:tc>
          <w:tcPr>
            <w:tcW w:w="0" w:type="auto"/>
          </w:tcPr>
          <w:p w:rsidR="003F39A6" w:rsidRDefault="00092F95">
            <w:pPr>
              <w:pStyle w:val="Normalright"/>
            </w:pPr>
            <w:r>
              <w:t>-9.4%</w:t>
            </w:r>
          </w:p>
        </w:tc>
      </w:tr>
      <w:tr w:rsidR="003F39A6">
        <w:tc>
          <w:tcPr>
            <w:tcW w:w="0" w:type="auto"/>
          </w:tcPr>
          <w:p w:rsidR="003F39A6" w:rsidRDefault="00092F95">
            <w:pPr>
              <w:pStyle w:val="Tableheading"/>
            </w:pPr>
            <w:r>
              <w:lastRenderedPageBreak/>
              <w:t>September quarter 2016</w:t>
            </w:r>
          </w:p>
        </w:tc>
        <w:tc>
          <w:tcPr>
            <w:tcW w:w="0" w:type="auto"/>
          </w:tcPr>
          <w:p w:rsidR="003F39A6" w:rsidRDefault="00092F95">
            <w:pPr>
              <w:pStyle w:val="Normalright"/>
            </w:pPr>
            <w:r>
              <w:t>32.2</w:t>
            </w:r>
          </w:p>
        </w:tc>
        <w:tc>
          <w:tcPr>
            <w:tcW w:w="0" w:type="auto"/>
          </w:tcPr>
          <w:p w:rsidR="003F39A6" w:rsidRDefault="00092F95">
            <w:pPr>
              <w:pStyle w:val="Normalright"/>
            </w:pPr>
            <w:r>
              <w:t>37.0</w:t>
            </w:r>
          </w:p>
        </w:tc>
        <w:tc>
          <w:tcPr>
            <w:tcW w:w="0" w:type="auto"/>
          </w:tcPr>
          <w:p w:rsidR="003F39A6" w:rsidRDefault="00092F95">
            <w:pPr>
              <w:pStyle w:val="Normalright"/>
            </w:pPr>
            <w:r>
              <w:t>1.15</w:t>
            </w:r>
          </w:p>
        </w:tc>
        <w:tc>
          <w:tcPr>
            <w:tcW w:w="0" w:type="auto"/>
          </w:tcPr>
          <w:p w:rsidR="003F39A6" w:rsidRDefault="00092F95">
            <w:pPr>
              <w:pStyle w:val="Normalright"/>
            </w:pPr>
            <w:r>
              <w:t>3.3%</w:t>
            </w:r>
          </w:p>
        </w:tc>
      </w:tr>
    </w:tbl>
    <w:p w:rsidR="003F39A6" w:rsidRDefault="00092F95">
      <w:pPr>
        <w:pStyle w:val="Tablecaption"/>
      </w:pPr>
      <w:r>
        <w:t>Table 6: Cost movements – quarterly, December 2016 to March 2017</w:t>
      </w:r>
    </w:p>
    <w:tbl>
      <w:tblPr>
        <w:tblStyle w:val="Tablewithborder"/>
        <w:tblW w:w="0" w:type="auto"/>
        <w:tblLook w:val="04A0" w:firstRow="1" w:lastRow="0" w:firstColumn="1" w:lastColumn="0" w:noHBand="0" w:noVBand="1"/>
      </w:tblPr>
      <w:tblGrid>
        <w:gridCol w:w="2567"/>
        <w:gridCol w:w="1739"/>
        <w:gridCol w:w="1403"/>
        <w:gridCol w:w="1190"/>
        <w:gridCol w:w="1623"/>
      </w:tblGrid>
      <w:tr w:rsidR="003F39A6">
        <w:tc>
          <w:tcPr>
            <w:tcW w:w="0" w:type="auto"/>
          </w:tcPr>
          <w:p w:rsidR="003F39A6" w:rsidRDefault="00092F95">
            <w:pPr>
              <w:pStyle w:val="Tableheading"/>
            </w:pPr>
            <w:r>
              <w:t>Cost movements per quarter</w:t>
            </w:r>
          </w:p>
        </w:tc>
        <w:tc>
          <w:tcPr>
            <w:tcW w:w="0" w:type="auto"/>
          </w:tcPr>
          <w:p w:rsidR="003F39A6" w:rsidRDefault="00092F95">
            <w:pPr>
              <w:pStyle w:val="Tableheading"/>
            </w:pPr>
            <w:r>
              <w:t>Total volumes (m)</w:t>
            </w:r>
          </w:p>
        </w:tc>
        <w:tc>
          <w:tcPr>
            <w:tcW w:w="0" w:type="auto"/>
          </w:tcPr>
          <w:p w:rsidR="003F39A6" w:rsidRDefault="00092F95">
            <w:pPr>
              <w:pStyle w:val="Tableheading"/>
            </w:pPr>
            <w:r>
              <w:t>Total cost ($m)</w:t>
            </w:r>
          </w:p>
        </w:tc>
        <w:tc>
          <w:tcPr>
            <w:tcW w:w="0" w:type="auto"/>
          </w:tcPr>
          <w:p w:rsidR="003F39A6" w:rsidRDefault="00092F95">
            <w:pPr>
              <w:pStyle w:val="Tableheading"/>
            </w:pPr>
            <w:r>
              <w:t>Unit cost ($)</w:t>
            </w:r>
          </w:p>
        </w:tc>
        <w:tc>
          <w:tcPr>
            <w:tcW w:w="0" w:type="auto"/>
          </w:tcPr>
          <w:p w:rsidR="003F39A6" w:rsidRDefault="00092F95">
            <w:pPr>
              <w:pStyle w:val="Tableheading"/>
            </w:pPr>
            <w:r>
              <w:t>Quarterly Trend</w:t>
            </w:r>
          </w:p>
        </w:tc>
      </w:tr>
      <w:tr w:rsidR="003F39A6">
        <w:tc>
          <w:tcPr>
            <w:tcW w:w="0" w:type="auto"/>
          </w:tcPr>
          <w:p w:rsidR="003F39A6" w:rsidRDefault="00092F95">
            <w:pPr>
              <w:pStyle w:val="Tableheading"/>
            </w:pPr>
            <w:r>
              <w:t> </w:t>
            </w:r>
          </w:p>
        </w:tc>
        <w:tc>
          <w:tcPr>
            <w:tcW w:w="0" w:type="auto"/>
          </w:tcPr>
          <w:p w:rsidR="003F39A6" w:rsidRDefault="00092F95">
            <w:r>
              <w:t> </w:t>
            </w:r>
          </w:p>
        </w:tc>
        <w:tc>
          <w:tcPr>
            <w:tcW w:w="0" w:type="auto"/>
          </w:tcPr>
          <w:p w:rsidR="003F39A6" w:rsidRDefault="00092F95">
            <w:r>
              <w:t> </w:t>
            </w:r>
          </w:p>
        </w:tc>
        <w:tc>
          <w:tcPr>
            <w:tcW w:w="0" w:type="auto"/>
          </w:tcPr>
          <w:p w:rsidR="003F39A6" w:rsidRDefault="00092F95">
            <w:r>
              <w:t> </w:t>
            </w:r>
          </w:p>
        </w:tc>
        <w:tc>
          <w:tcPr>
            <w:tcW w:w="0" w:type="auto"/>
          </w:tcPr>
          <w:p w:rsidR="003F39A6" w:rsidRDefault="00092F95">
            <w:r>
              <w:t> </w:t>
            </w:r>
          </w:p>
        </w:tc>
      </w:tr>
      <w:tr w:rsidR="003F39A6">
        <w:tc>
          <w:tcPr>
            <w:tcW w:w="0" w:type="auto"/>
          </w:tcPr>
          <w:p w:rsidR="003F39A6" w:rsidRDefault="00092F95">
            <w:pPr>
              <w:pStyle w:val="Tableheading"/>
            </w:pPr>
            <w:r>
              <w:t>December quarter 2016</w:t>
            </w:r>
          </w:p>
        </w:tc>
        <w:tc>
          <w:tcPr>
            <w:tcW w:w="0" w:type="auto"/>
          </w:tcPr>
          <w:p w:rsidR="003F39A6" w:rsidRDefault="00092F95">
            <w:pPr>
              <w:pStyle w:val="Normalright"/>
            </w:pPr>
            <w:r>
              <w:t>34.0</w:t>
            </w:r>
          </w:p>
        </w:tc>
        <w:tc>
          <w:tcPr>
            <w:tcW w:w="0" w:type="auto"/>
          </w:tcPr>
          <w:p w:rsidR="003F39A6" w:rsidRDefault="00092F95">
            <w:pPr>
              <w:pStyle w:val="Normalright"/>
            </w:pPr>
            <w:r>
              <w:t>37.0</w:t>
            </w:r>
          </w:p>
        </w:tc>
        <w:tc>
          <w:tcPr>
            <w:tcW w:w="0" w:type="auto"/>
          </w:tcPr>
          <w:p w:rsidR="003F39A6" w:rsidRDefault="00092F95">
            <w:pPr>
              <w:pStyle w:val="Normalright"/>
            </w:pPr>
            <w:r>
              <w:t>1.09</w:t>
            </w:r>
          </w:p>
        </w:tc>
        <w:tc>
          <w:tcPr>
            <w:tcW w:w="0" w:type="auto"/>
          </w:tcPr>
          <w:p w:rsidR="003F39A6" w:rsidRDefault="00092F95">
            <w:pPr>
              <w:pStyle w:val="Normalright"/>
            </w:pPr>
            <w:r>
              <w:t>-5.4%</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32.7</w:t>
            </w:r>
          </w:p>
        </w:tc>
        <w:tc>
          <w:tcPr>
            <w:tcW w:w="0" w:type="auto"/>
          </w:tcPr>
          <w:p w:rsidR="003F39A6" w:rsidRDefault="00092F95">
            <w:pPr>
              <w:pStyle w:val="Normalright"/>
            </w:pPr>
            <w:r>
              <w:t>35.7</w:t>
            </w:r>
          </w:p>
        </w:tc>
        <w:tc>
          <w:tcPr>
            <w:tcW w:w="0" w:type="auto"/>
          </w:tcPr>
          <w:p w:rsidR="003F39A6" w:rsidRDefault="00092F95">
            <w:pPr>
              <w:pStyle w:val="Normalright"/>
            </w:pPr>
            <w:r>
              <w:t>1.09</w:t>
            </w:r>
          </w:p>
        </w:tc>
        <w:tc>
          <w:tcPr>
            <w:tcW w:w="0" w:type="auto"/>
          </w:tcPr>
          <w:p w:rsidR="003F39A6" w:rsidRDefault="00092F95">
            <w:pPr>
              <w:pStyle w:val="Normalright"/>
            </w:pPr>
            <w:r>
              <w:t>0.1%</w:t>
            </w:r>
          </w:p>
        </w:tc>
      </w:tr>
      <w:tr w:rsidR="003F39A6">
        <w:tc>
          <w:tcPr>
            <w:tcW w:w="0" w:type="auto"/>
          </w:tcPr>
          <w:p w:rsidR="003F39A6" w:rsidRDefault="00092F95">
            <w:pPr>
              <w:pStyle w:val="Tableheading"/>
            </w:pPr>
            <w:r>
              <w:t>June quarter 2017</w:t>
            </w:r>
          </w:p>
        </w:tc>
        <w:tc>
          <w:tcPr>
            <w:tcW w:w="0" w:type="auto"/>
          </w:tcPr>
          <w:p w:rsidR="003F39A6" w:rsidRDefault="00092F95">
            <w:pPr>
              <w:pStyle w:val="Normalright"/>
            </w:pPr>
            <w:r>
              <w:t>36.0</w:t>
            </w:r>
          </w:p>
        </w:tc>
        <w:tc>
          <w:tcPr>
            <w:tcW w:w="0" w:type="auto"/>
          </w:tcPr>
          <w:p w:rsidR="003F39A6" w:rsidRDefault="00092F95">
            <w:pPr>
              <w:pStyle w:val="Normalright"/>
            </w:pPr>
            <w:r>
              <w:t>34.5</w:t>
            </w:r>
          </w:p>
        </w:tc>
        <w:tc>
          <w:tcPr>
            <w:tcW w:w="0" w:type="auto"/>
          </w:tcPr>
          <w:p w:rsidR="003F39A6" w:rsidRDefault="00092F95">
            <w:pPr>
              <w:pStyle w:val="Normalright"/>
            </w:pPr>
            <w:r>
              <w:t>0.96</w:t>
            </w:r>
          </w:p>
        </w:tc>
        <w:tc>
          <w:tcPr>
            <w:tcW w:w="0" w:type="auto"/>
          </w:tcPr>
          <w:p w:rsidR="003F39A6" w:rsidRDefault="00092F95">
            <w:pPr>
              <w:pStyle w:val="Normalright"/>
            </w:pPr>
            <w:r>
              <w:t>-11.9%</w:t>
            </w:r>
          </w:p>
        </w:tc>
      </w:tr>
      <w:tr w:rsidR="003F39A6">
        <w:tc>
          <w:tcPr>
            <w:tcW w:w="0" w:type="auto"/>
          </w:tcPr>
          <w:p w:rsidR="003F39A6" w:rsidRDefault="00092F95">
            <w:pPr>
              <w:pStyle w:val="Tableheading"/>
            </w:pPr>
            <w:r>
              <w:t>September quarter 2017</w:t>
            </w:r>
          </w:p>
        </w:tc>
        <w:tc>
          <w:tcPr>
            <w:tcW w:w="0" w:type="auto"/>
          </w:tcPr>
          <w:p w:rsidR="003F39A6" w:rsidRDefault="00092F95">
            <w:pPr>
              <w:pStyle w:val="Normalright"/>
            </w:pPr>
            <w:r>
              <w:t>32.5</w:t>
            </w:r>
          </w:p>
        </w:tc>
        <w:tc>
          <w:tcPr>
            <w:tcW w:w="0" w:type="auto"/>
          </w:tcPr>
          <w:p w:rsidR="003F39A6" w:rsidRDefault="00092F95">
            <w:pPr>
              <w:pStyle w:val="Normalright"/>
            </w:pPr>
            <w:r>
              <w:t>35.1</w:t>
            </w:r>
          </w:p>
        </w:tc>
        <w:tc>
          <w:tcPr>
            <w:tcW w:w="0" w:type="auto"/>
          </w:tcPr>
          <w:p w:rsidR="003F39A6" w:rsidRDefault="00092F95">
            <w:pPr>
              <w:pStyle w:val="Normalright"/>
            </w:pPr>
            <w:r>
              <w:t>1.08</w:t>
            </w:r>
          </w:p>
        </w:tc>
        <w:tc>
          <w:tcPr>
            <w:tcW w:w="0" w:type="auto"/>
          </w:tcPr>
          <w:p w:rsidR="003F39A6" w:rsidRDefault="00092F95">
            <w:pPr>
              <w:pStyle w:val="Normalright"/>
            </w:pPr>
            <w:r>
              <w:t>12.5%</w:t>
            </w:r>
          </w:p>
        </w:tc>
      </w:tr>
      <w:tr w:rsidR="003F39A6">
        <w:tc>
          <w:tcPr>
            <w:tcW w:w="0" w:type="auto"/>
          </w:tcPr>
          <w:p w:rsidR="003F39A6" w:rsidRDefault="00092F95">
            <w:pPr>
              <w:pStyle w:val="Tableheading"/>
            </w:pPr>
            <w:r>
              <w:t>December quarter 2017</w:t>
            </w:r>
          </w:p>
        </w:tc>
        <w:tc>
          <w:tcPr>
            <w:tcW w:w="0" w:type="auto"/>
          </w:tcPr>
          <w:p w:rsidR="003F39A6" w:rsidRDefault="00092F95">
            <w:pPr>
              <w:pStyle w:val="Normalright"/>
            </w:pPr>
            <w:r>
              <w:t>34.8</w:t>
            </w:r>
          </w:p>
        </w:tc>
        <w:tc>
          <w:tcPr>
            <w:tcW w:w="0" w:type="auto"/>
          </w:tcPr>
          <w:p w:rsidR="003F39A6" w:rsidRDefault="00092F95">
            <w:pPr>
              <w:pStyle w:val="Normalright"/>
            </w:pPr>
            <w:r>
              <w:t>35.2</w:t>
            </w:r>
          </w:p>
        </w:tc>
        <w:tc>
          <w:tcPr>
            <w:tcW w:w="0" w:type="auto"/>
          </w:tcPr>
          <w:p w:rsidR="003F39A6" w:rsidRDefault="00092F95">
            <w:pPr>
              <w:pStyle w:val="Normalright"/>
            </w:pPr>
            <w:r>
              <w:t>1.01</w:t>
            </w:r>
          </w:p>
        </w:tc>
        <w:tc>
          <w:tcPr>
            <w:tcW w:w="0" w:type="auto"/>
          </w:tcPr>
          <w:p w:rsidR="003F39A6" w:rsidRDefault="00092F95">
            <w:pPr>
              <w:pStyle w:val="Normalright"/>
            </w:pPr>
            <w:r>
              <w:t>-6.3%</w:t>
            </w:r>
          </w:p>
        </w:tc>
      </w:tr>
      <w:tr w:rsidR="003F39A6">
        <w:tc>
          <w:tcPr>
            <w:tcW w:w="0" w:type="auto"/>
          </w:tcPr>
          <w:p w:rsidR="003F39A6" w:rsidRDefault="00092F95">
            <w:pPr>
              <w:pStyle w:val="Tableheading"/>
            </w:pPr>
            <w:r>
              <w:t>March quarter 2017</w:t>
            </w:r>
          </w:p>
        </w:tc>
        <w:tc>
          <w:tcPr>
            <w:tcW w:w="0" w:type="auto"/>
          </w:tcPr>
          <w:p w:rsidR="003F39A6" w:rsidRDefault="00092F95">
            <w:pPr>
              <w:pStyle w:val="Normalright"/>
            </w:pPr>
            <w:r>
              <w:t>33.7</w:t>
            </w:r>
          </w:p>
        </w:tc>
        <w:tc>
          <w:tcPr>
            <w:tcW w:w="0" w:type="auto"/>
          </w:tcPr>
          <w:p w:rsidR="003F39A6" w:rsidRDefault="00092F95">
            <w:pPr>
              <w:pStyle w:val="Normalright"/>
            </w:pPr>
            <w:r>
              <w:t>35.2</w:t>
            </w:r>
          </w:p>
        </w:tc>
        <w:tc>
          <w:tcPr>
            <w:tcW w:w="0" w:type="auto"/>
          </w:tcPr>
          <w:p w:rsidR="003F39A6" w:rsidRDefault="00092F95">
            <w:pPr>
              <w:pStyle w:val="Normalright"/>
            </w:pPr>
            <w:r>
              <w:t>1.04</w:t>
            </w:r>
          </w:p>
        </w:tc>
        <w:tc>
          <w:tcPr>
            <w:tcW w:w="0" w:type="auto"/>
          </w:tcPr>
          <w:p w:rsidR="003F39A6" w:rsidRDefault="00092F95">
            <w:pPr>
              <w:pStyle w:val="Normalright"/>
            </w:pPr>
            <w:r>
              <w:t>3.2%</w:t>
            </w:r>
          </w:p>
        </w:tc>
      </w:tr>
    </w:tbl>
    <w:p w:rsidR="003F39A6" w:rsidRDefault="00092F95">
      <w:r>
        <w:rPr>
          <w:rStyle w:val="StyleBold"/>
        </w:rPr>
        <w:t>Note:</w:t>
      </w:r>
      <w:r>
        <w:t xml:space="preserve"> Data has been rounded to the nearest decimal point.</w:t>
      </w:r>
    </w:p>
    <w:p w:rsidR="003F39A6" w:rsidRDefault="00092F95">
      <w:r>
        <w:rPr>
          <w:rStyle w:val="StyleBold"/>
        </w:rPr>
        <w:t>See also:</w:t>
      </w:r>
    </w:p>
    <w:p w:rsidR="003F39A6" w:rsidRDefault="00092F95">
      <w:pPr>
        <w:pStyle w:val="Bulletedlist1"/>
      </w:pPr>
      <w:hyperlink r:id="rId13" w:history="1">
        <w:proofErr w:type="spellStart"/>
        <w:r>
          <w:rPr>
            <w:rStyle w:val="Link-Internal"/>
          </w:rPr>
          <w:t>SuperStream</w:t>
        </w:r>
        <w:proofErr w:type="spellEnd"/>
        <w:r>
          <w:rPr>
            <w:rStyle w:val="Link-Internal"/>
          </w:rPr>
          <w:t xml:space="preserve"> Benchmarking Report (SRF711.0) annual</w:t>
        </w:r>
        <w:r>
          <w:rPr>
            <w:rStyle w:val="Link-Internal"/>
          </w:rPr>
          <w:t xml:space="preserve"> report 1 July 2016 – 30 June 2017</w:t>
        </w:r>
      </w:hyperlink>
    </w:p>
    <w:sectPr w:rsidR="003F39A6" w:rsidSect="00CF0EB8">
      <w:footerReference w:type="default" r:id="rId14"/>
      <w:pgSz w:w="11906" w:h="16838"/>
      <w:pgMar w:top="1440" w:right="1800" w:bottom="1440" w:left="1800" w:header="510" w:footer="51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F95" w:rsidRDefault="00092F95" w:rsidP="00BB6BC2">
      <w:pPr>
        <w:spacing w:before="0"/>
      </w:pPr>
      <w:r>
        <w:separator/>
      </w:r>
    </w:p>
  </w:endnote>
  <w:endnote w:type="continuationSeparator" w:id="0">
    <w:p w:rsidR="00092F95" w:rsidRDefault="00092F95" w:rsidP="00BB6BC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E4" w:rsidRDefault="00921FE4" w:rsidP="00CF0EB8">
    <w:pPr>
      <w:pStyle w:val="Small"/>
      <w:tabs>
        <w:tab w:val="right" w:pos="8306"/>
      </w:tabs>
      <w:spacing w:before="0"/>
    </w:pPr>
    <w:r>
      <w:t xml:space="preserve">Last saved </w:t>
    </w:r>
    <w:r>
      <w:fldChar w:fldCharType="begin"/>
    </w:r>
    <w:r>
      <w:instrText xml:space="preserve"> SAVEDATE  \@ "d/MM/yyyy h:mm am/pm"  \* MERGEFORMAT </w:instrText>
    </w:r>
    <w:r>
      <w:fldChar w:fldCharType="separate"/>
    </w:r>
    <w:r w:rsidR="005C0977">
      <w:rPr>
        <w:noProof/>
      </w:rPr>
      <w:t>7/09/2018 9:37 AM</w:t>
    </w:r>
    <w:r>
      <w:fldChar w:fldCharType="end"/>
    </w:r>
    <w:r>
      <w:tab/>
      <w:t xml:space="preserve">Page </w:t>
    </w:r>
    <w:r>
      <w:fldChar w:fldCharType="begin"/>
    </w:r>
    <w:r>
      <w:instrText xml:space="preserve"> PAGE   \* MERGEFORMAT </w:instrText>
    </w:r>
    <w:r>
      <w:fldChar w:fldCharType="separate"/>
    </w:r>
    <w:r w:rsidR="005C097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F95" w:rsidRDefault="00092F95" w:rsidP="00BB6BC2">
      <w:pPr>
        <w:spacing w:before="0"/>
      </w:pPr>
      <w:r>
        <w:separator/>
      </w:r>
    </w:p>
  </w:footnote>
  <w:footnote w:type="continuationSeparator" w:id="0">
    <w:p w:rsidR="00092F95" w:rsidRDefault="00092F95" w:rsidP="00BB6BC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308136"/>
    <w:lvl w:ilvl="0">
      <w:start w:val="1"/>
      <w:numFmt w:val="decimal"/>
      <w:lvlText w:val="%1."/>
      <w:lvlJc w:val="left"/>
      <w:pPr>
        <w:tabs>
          <w:tab w:val="num" w:pos="1492"/>
        </w:tabs>
        <w:ind w:left="1492" w:hanging="360"/>
      </w:pPr>
    </w:lvl>
  </w:abstractNum>
  <w:abstractNum w:abstractNumId="1">
    <w:nsid w:val="FFFFFF7D"/>
    <w:multiLevelType w:val="singleLevel"/>
    <w:tmpl w:val="44666C50"/>
    <w:lvl w:ilvl="0">
      <w:start w:val="1"/>
      <w:numFmt w:val="decimal"/>
      <w:lvlText w:val="%1."/>
      <w:lvlJc w:val="left"/>
      <w:pPr>
        <w:tabs>
          <w:tab w:val="num" w:pos="1209"/>
        </w:tabs>
        <w:ind w:left="1209" w:hanging="360"/>
      </w:pPr>
    </w:lvl>
  </w:abstractNum>
  <w:abstractNum w:abstractNumId="2">
    <w:nsid w:val="FFFFFF7E"/>
    <w:multiLevelType w:val="singleLevel"/>
    <w:tmpl w:val="B940432C"/>
    <w:lvl w:ilvl="0">
      <w:start w:val="1"/>
      <w:numFmt w:val="decimal"/>
      <w:lvlText w:val="%1."/>
      <w:lvlJc w:val="left"/>
      <w:pPr>
        <w:tabs>
          <w:tab w:val="num" w:pos="926"/>
        </w:tabs>
        <w:ind w:left="926" w:hanging="360"/>
      </w:pPr>
    </w:lvl>
  </w:abstractNum>
  <w:abstractNum w:abstractNumId="3">
    <w:nsid w:val="FFFFFF7F"/>
    <w:multiLevelType w:val="singleLevel"/>
    <w:tmpl w:val="2BEA0178"/>
    <w:lvl w:ilvl="0">
      <w:start w:val="1"/>
      <w:numFmt w:val="decimal"/>
      <w:lvlText w:val="%1."/>
      <w:lvlJc w:val="left"/>
      <w:pPr>
        <w:tabs>
          <w:tab w:val="num" w:pos="643"/>
        </w:tabs>
        <w:ind w:left="643" w:hanging="360"/>
      </w:pPr>
    </w:lvl>
  </w:abstractNum>
  <w:abstractNum w:abstractNumId="4">
    <w:nsid w:val="FFFFFF80"/>
    <w:multiLevelType w:val="singleLevel"/>
    <w:tmpl w:val="F7646F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7CA3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92A1D2"/>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32A070A0"/>
    <w:lvl w:ilvl="0">
      <w:start w:val="1"/>
      <w:numFmt w:val="decimal"/>
      <w:lvlText w:val="%1."/>
      <w:lvlJc w:val="left"/>
      <w:pPr>
        <w:tabs>
          <w:tab w:val="num" w:pos="360"/>
        </w:tabs>
        <w:ind w:left="360" w:hanging="360"/>
      </w:pPr>
    </w:lvl>
  </w:abstractNum>
  <w:abstractNum w:abstractNumId="8">
    <w:nsid w:val="FFFFFF89"/>
    <w:multiLevelType w:val="singleLevel"/>
    <w:tmpl w:val="C56C5906"/>
    <w:lvl w:ilvl="0">
      <w:start w:val="1"/>
      <w:numFmt w:val="bullet"/>
      <w:lvlText w:val=""/>
      <w:lvlJc w:val="left"/>
      <w:pPr>
        <w:tabs>
          <w:tab w:val="num" w:pos="360"/>
        </w:tabs>
        <w:ind w:left="360" w:hanging="360"/>
      </w:pPr>
      <w:rPr>
        <w:rFonts w:ascii="Symbol" w:hAnsi="Symbol" w:hint="default"/>
      </w:rPr>
    </w:lvl>
  </w:abstractNum>
  <w:abstractNum w:abstractNumId="9">
    <w:nsid w:val="012235E5"/>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0">
    <w:nsid w:val="084F737A"/>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11">
    <w:nsid w:val="099677EA"/>
    <w:multiLevelType w:val="multilevel"/>
    <w:tmpl w:val="C4987592"/>
    <w:lvl w:ilvl="0">
      <w:start w:val="1"/>
      <w:numFmt w:val="bullet"/>
      <w:lvlText w:val=""/>
      <w:lvlJc w:val="left"/>
      <w:pPr>
        <w:ind w:left="720" w:hanging="360"/>
      </w:pPr>
      <w:rPr>
        <w:rFonts w:ascii="Wingdings" w:hAnsi="Wingdings" w:hint="default"/>
        <w:color w:val="C0C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45253E1"/>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3">
    <w:nsid w:val="17A676D1"/>
    <w:multiLevelType w:val="multilevel"/>
    <w:tmpl w:val="11AAE32C"/>
    <w:lvl w:ilvl="0">
      <w:start w:val="1"/>
      <w:numFmt w:val="decimal"/>
      <w:pStyle w:val="Heading1numbered"/>
      <w:lvlText w:val="%1"/>
      <w:lvlJc w:val="left"/>
      <w:pPr>
        <w:tabs>
          <w:tab w:val="num" w:pos="1134"/>
        </w:tabs>
        <w:ind w:left="1134" w:hanging="1134"/>
      </w:pPr>
      <w:rPr>
        <w:rFonts w:hint="default"/>
      </w:rPr>
    </w:lvl>
    <w:lvl w:ilvl="1">
      <w:start w:val="1"/>
      <w:numFmt w:val="decimal"/>
      <w:pStyle w:val="Heading2numbered"/>
      <w:lvlText w:val="%1.%2"/>
      <w:lvlJc w:val="left"/>
      <w:pPr>
        <w:tabs>
          <w:tab w:val="num" w:pos="1134"/>
        </w:tabs>
        <w:ind w:left="1134" w:hanging="1134"/>
      </w:pPr>
      <w:rPr>
        <w:rFonts w:hint="default"/>
      </w:rPr>
    </w:lvl>
    <w:lvl w:ilvl="2">
      <w:start w:val="1"/>
      <w:numFmt w:val="decimal"/>
      <w:pStyle w:val="Heading3numbered"/>
      <w:lvlText w:val="%1.%2.%3"/>
      <w:lvlJc w:val="left"/>
      <w:pPr>
        <w:tabs>
          <w:tab w:val="num" w:pos="1134"/>
        </w:tabs>
        <w:ind w:left="1134" w:hanging="1134"/>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14">
    <w:nsid w:val="2EDA2109"/>
    <w:multiLevelType w:val="multilevel"/>
    <w:tmpl w:val="71C40DB4"/>
    <w:lvl w:ilvl="0">
      <w:start w:val="1"/>
      <w:numFmt w:val="bullet"/>
      <w:lvlText w:val="■"/>
      <w:lvlJc w:val="left"/>
      <w:pPr>
        <w:tabs>
          <w:tab w:val="num" w:pos="850"/>
        </w:tabs>
        <w:ind w:left="850" w:hanging="425"/>
      </w:pPr>
      <w:rPr>
        <w:rFonts w:ascii="Arial" w:hAnsi="Arial" w:hint="default"/>
        <w:color w:val="C0C0C0"/>
      </w:rPr>
    </w:lvl>
    <w:lvl w:ilvl="1">
      <w:start w:val="1"/>
      <w:numFmt w:val="bullet"/>
      <w:lvlText w:val="–"/>
      <w:lvlJc w:val="left"/>
      <w:pPr>
        <w:tabs>
          <w:tab w:val="num" w:pos="1276"/>
        </w:tabs>
        <w:ind w:left="1276" w:hanging="426"/>
      </w:pPr>
      <w:rPr>
        <w:rFonts w:ascii="Arial" w:hAnsi="Arial" w:hint="default"/>
      </w:rPr>
    </w:lvl>
    <w:lvl w:ilvl="2">
      <w:start w:val="1"/>
      <w:numFmt w:val="bullet"/>
      <w:lvlText w:val="o"/>
      <w:lvlJc w:val="left"/>
      <w:pPr>
        <w:tabs>
          <w:tab w:val="num" w:pos="1701"/>
        </w:tabs>
        <w:ind w:left="1701" w:hanging="425"/>
      </w:pPr>
      <w:rPr>
        <w:rFonts w:ascii="Courier New" w:hAnsi="Courier New" w:hint="default"/>
        <w:sz w:val="24"/>
      </w:rPr>
    </w:lvl>
    <w:lvl w:ilvl="3">
      <w:start w:val="1"/>
      <w:numFmt w:val="none"/>
      <w:lvlText w:val=""/>
      <w:lvlJc w:val="left"/>
      <w:pPr>
        <w:tabs>
          <w:tab w:val="num" w:pos="3305"/>
        </w:tabs>
        <w:ind w:left="3305" w:hanging="360"/>
      </w:pPr>
      <w:rPr>
        <w:rFonts w:hint="default"/>
      </w:rPr>
    </w:lvl>
    <w:lvl w:ilvl="4">
      <w:start w:val="1"/>
      <w:numFmt w:val="none"/>
      <w:lvlText w:val=""/>
      <w:lvlJc w:val="left"/>
      <w:pPr>
        <w:tabs>
          <w:tab w:val="num" w:pos="4025"/>
        </w:tabs>
        <w:ind w:left="4025" w:hanging="360"/>
      </w:pPr>
      <w:rPr>
        <w:rFonts w:hint="default"/>
      </w:rPr>
    </w:lvl>
    <w:lvl w:ilvl="5">
      <w:start w:val="1"/>
      <w:numFmt w:val="none"/>
      <w:lvlText w:val=""/>
      <w:lvlJc w:val="left"/>
      <w:pPr>
        <w:tabs>
          <w:tab w:val="num" w:pos="4745"/>
        </w:tabs>
        <w:ind w:left="4745" w:hanging="360"/>
      </w:pPr>
      <w:rPr>
        <w:rFonts w:hint="default"/>
      </w:rPr>
    </w:lvl>
    <w:lvl w:ilvl="6">
      <w:start w:val="1"/>
      <w:numFmt w:val="none"/>
      <w:lvlText w:val=""/>
      <w:lvlJc w:val="left"/>
      <w:pPr>
        <w:tabs>
          <w:tab w:val="num" w:pos="5465"/>
        </w:tabs>
        <w:ind w:left="5465" w:hanging="360"/>
      </w:pPr>
      <w:rPr>
        <w:rFonts w:hint="default"/>
      </w:rPr>
    </w:lvl>
    <w:lvl w:ilvl="7">
      <w:start w:val="1"/>
      <w:numFmt w:val="none"/>
      <w:lvlText w:val=""/>
      <w:lvlJc w:val="left"/>
      <w:pPr>
        <w:tabs>
          <w:tab w:val="num" w:pos="6185"/>
        </w:tabs>
        <w:ind w:left="6185" w:hanging="360"/>
      </w:pPr>
      <w:rPr>
        <w:rFonts w:hint="default"/>
      </w:rPr>
    </w:lvl>
    <w:lvl w:ilvl="8">
      <w:start w:val="1"/>
      <w:numFmt w:val="none"/>
      <w:lvlText w:val=""/>
      <w:lvlJc w:val="left"/>
      <w:pPr>
        <w:tabs>
          <w:tab w:val="num" w:pos="6905"/>
        </w:tabs>
        <w:ind w:left="6905" w:hanging="360"/>
      </w:pPr>
      <w:rPr>
        <w:rFonts w:hint="default"/>
      </w:rPr>
    </w:lvl>
  </w:abstractNum>
  <w:abstractNum w:abstractNumId="15">
    <w:nsid w:val="2F905F66"/>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16">
    <w:nsid w:val="30707535"/>
    <w:multiLevelType w:val="multilevel"/>
    <w:tmpl w:val="C4987592"/>
    <w:lvl w:ilvl="0">
      <w:start w:val="1"/>
      <w:numFmt w:val="bullet"/>
      <w:lvlText w:val=""/>
      <w:lvlJc w:val="left"/>
      <w:pPr>
        <w:ind w:left="720" w:hanging="360"/>
      </w:pPr>
      <w:rPr>
        <w:rFonts w:ascii="Wingdings" w:hAnsi="Wingdings" w:hint="default"/>
        <w:color w:val="C0C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7644659"/>
    <w:multiLevelType w:val="multilevel"/>
    <w:tmpl w:val="5C046AE2"/>
    <w:lvl w:ilvl="0">
      <w:start w:val="1"/>
      <w:numFmt w:val="decimal"/>
      <w:lvlText w:val="%1."/>
      <w:lvlJc w:val="left"/>
      <w:pPr>
        <w:tabs>
          <w:tab w:val="num" w:pos="425"/>
        </w:tabs>
        <w:ind w:left="425" w:hanging="425"/>
      </w:pPr>
      <w:rPr>
        <w:rFonts w:hint="default"/>
        <w:sz w:val="24"/>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upperLetter"/>
      <w:lvlText w:val="%4."/>
      <w:lvlJc w:val="left"/>
      <w:pPr>
        <w:tabs>
          <w:tab w:val="num" w:pos="1701"/>
        </w:tabs>
        <w:ind w:left="1701" w:hanging="425"/>
      </w:pPr>
      <w:rPr>
        <w:rFonts w:hint="default"/>
      </w:rPr>
    </w:lvl>
    <w:lvl w:ilvl="4">
      <w:start w:val="1"/>
      <w:numFmt w:val="upperRoman"/>
      <w:lvlText w:val="%5."/>
      <w:lvlJc w:val="left"/>
      <w:pPr>
        <w:tabs>
          <w:tab w:val="num" w:pos="2126"/>
        </w:tabs>
        <w:ind w:left="2126" w:hanging="425"/>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18">
    <w:nsid w:val="3AD94829"/>
    <w:multiLevelType w:val="multilevel"/>
    <w:tmpl w:val="69100202"/>
    <w:name w:val="NumListNumStart"/>
    <w:lvl w:ilvl="0">
      <w:start w:val="1"/>
      <w:numFmt w:val="decimal"/>
      <w:pStyle w:val="Numberedlistnumericstart1"/>
      <w:lvlText w:val="%1."/>
      <w:lvlJc w:val="left"/>
      <w:pPr>
        <w:ind w:left="425" w:hanging="425"/>
      </w:pPr>
      <w:rPr>
        <w:rFonts w:hint="default"/>
      </w:rPr>
    </w:lvl>
    <w:lvl w:ilvl="1">
      <w:start w:val="1"/>
      <w:numFmt w:val="lowerLetter"/>
      <w:pStyle w:val="Numberedlistnumericstart2"/>
      <w:lvlText w:val="%2."/>
      <w:lvlJc w:val="left"/>
      <w:pPr>
        <w:ind w:left="851" w:hanging="426"/>
      </w:pPr>
      <w:rPr>
        <w:rFonts w:hint="default"/>
      </w:rPr>
    </w:lvl>
    <w:lvl w:ilvl="2">
      <w:start w:val="1"/>
      <w:numFmt w:val="lowerRoman"/>
      <w:pStyle w:val="Numberedlistnumericstart3"/>
      <w:lvlText w:val="%3."/>
      <w:lvlJc w:val="left"/>
      <w:pPr>
        <w:ind w:left="1276" w:hanging="425"/>
      </w:pPr>
      <w:rPr>
        <w:rFonts w:hint="default"/>
      </w:rPr>
    </w:lvl>
    <w:lvl w:ilvl="3">
      <w:start w:val="1"/>
      <w:numFmt w:val="upperLetter"/>
      <w:pStyle w:val="Numberedlistnumericstart4"/>
      <w:lvlText w:val="%4."/>
      <w:lvlJc w:val="left"/>
      <w:pPr>
        <w:ind w:left="1701" w:hanging="425"/>
      </w:pPr>
      <w:rPr>
        <w:rFonts w:hint="default"/>
      </w:rPr>
    </w:lvl>
    <w:lvl w:ilvl="4">
      <w:start w:val="1"/>
      <w:numFmt w:val="upperRoman"/>
      <w:pStyle w:val="Numberedlistnumericstart5"/>
      <w:lvlText w:val="%5."/>
      <w:lvlJc w:val="left"/>
      <w:pPr>
        <w:ind w:left="2126" w:hanging="425"/>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460906EB"/>
    <w:multiLevelType w:val="multilevel"/>
    <w:tmpl w:val="4B881CE6"/>
    <w:name w:val="BlockquoteList"/>
    <w:lvl w:ilvl="0">
      <w:start w:val="1"/>
      <w:numFmt w:val="bullet"/>
      <w:pStyle w:val="Blockquotelist1"/>
      <w:lvlText w:val="■"/>
      <w:lvlJc w:val="left"/>
      <w:pPr>
        <w:ind w:left="851" w:hanging="426"/>
      </w:pPr>
      <w:rPr>
        <w:rFonts w:ascii="Arial" w:hAnsi="Arial" w:hint="default"/>
        <w:color w:val="C0C0C0"/>
      </w:rPr>
    </w:lvl>
    <w:lvl w:ilvl="1">
      <w:start w:val="1"/>
      <w:numFmt w:val="bullet"/>
      <w:pStyle w:val="Blockquotelist2"/>
      <w:lvlText w:val="o"/>
      <w:lvlJc w:val="left"/>
      <w:pPr>
        <w:ind w:left="1276" w:hanging="425"/>
      </w:pPr>
      <w:rPr>
        <w:rFonts w:ascii="Courier New" w:hAnsi="Courier New"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4AD74F70"/>
    <w:multiLevelType w:val="multilevel"/>
    <w:tmpl w:val="B5E2465A"/>
    <w:lvl w:ilvl="0">
      <w:start w:val="1"/>
      <w:numFmt w:val="lowerLetter"/>
      <w:lvlText w:val="%1."/>
      <w:lvlJc w:val="left"/>
      <w:pPr>
        <w:tabs>
          <w:tab w:val="num" w:pos="425"/>
        </w:tabs>
        <w:ind w:left="851" w:hanging="426"/>
      </w:pPr>
      <w:rPr>
        <w:rFonts w:hint="default"/>
      </w:rPr>
    </w:lvl>
    <w:lvl w:ilvl="1">
      <w:start w:val="1"/>
      <w:numFmt w:val="lowerRoman"/>
      <w:lvlText w:val="%2."/>
      <w:lvlJc w:val="left"/>
      <w:pPr>
        <w:tabs>
          <w:tab w:val="num" w:pos="851"/>
        </w:tabs>
        <w:ind w:left="1276" w:hanging="425"/>
      </w:pPr>
      <w:rPr>
        <w:rFonts w:hint="default"/>
      </w:rPr>
    </w:lvl>
    <w:lvl w:ilvl="2">
      <w:start w:val="1"/>
      <w:numFmt w:val="upperLetter"/>
      <w:lvlText w:val="%3."/>
      <w:lvlJc w:val="left"/>
      <w:pPr>
        <w:tabs>
          <w:tab w:val="num" w:pos="1276"/>
        </w:tabs>
        <w:ind w:left="1701" w:hanging="425"/>
      </w:pPr>
      <w:rPr>
        <w:rFonts w:hint="default"/>
      </w:rPr>
    </w:lvl>
    <w:lvl w:ilvl="3">
      <w:start w:val="1"/>
      <w:numFmt w:val="upperRoman"/>
      <w:lvlText w:val="%4."/>
      <w:lvlJc w:val="left"/>
      <w:pPr>
        <w:ind w:left="2126" w:hanging="425"/>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nsid w:val="54795D48"/>
    <w:multiLevelType w:val="multilevel"/>
    <w:tmpl w:val="F8F8EC02"/>
    <w:name w:val="BulletedList"/>
    <w:lvl w:ilvl="0">
      <w:start w:val="1"/>
      <w:numFmt w:val="bullet"/>
      <w:pStyle w:val="Bulletedlist1"/>
      <w:lvlText w:val="■"/>
      <w:lvlJc w:val="left"/>
      <w:pPr>
        <w:ind w:left="425" w:hanging="425"/>
      </w:pPr>
      <w:rPr>
        <w:rFonts w:ascii="Arial" w:hAnsi="Arial" w:hint="default"/>
        <w:color w:val="C0C0C0"/>
      </w:rPr>
    </w:lvl>
    <w:lvl w:ilvl="1">
      <w:start w:val="1"/>
      <w:numFmt w:val="bullet"/>
      <w:pStyle w:val="Bulletedlist2"/>
      <w:lvlText w:val="–"/>
      <w:lvlJc w:val="left"/>
      <w:pPr>
        <w:ind w:left="851" w:hanging="426"/>
      </w:pPr>
      <w:rPr>
        <w:rFonts w:ascii="Calibri" w:hAnsi="Calibri" w:hint="default"/>
      </w:rPr>
    </w:lvl>
    <w:lvl w:ilvl="2">
      <w:start w:val="1"/>
      <w:numFmt w:val="bullet"/>
      <w:pStyle w:val="Bulletedlist3"/>
      <w:lvlText w:val="o"/>
      <w:lvlJc w:val="left"/>
      <w:pPr>
        <w:ind w:left="127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2">
    <w:nsid w:val="58586E1B"/>
    <w:multiLevelType w:val="multilevel"/>
    <w:tmpl w:val="E620E372"/>
    <w:lvl w:ilvl="0">
      <w:start w:val="1"/>
      <w:numFmt w:val="bullet"/>
      <w:lvlText w:val="■"/>
      <w:lvlJc w:val="left"/>
      <w:pPr>
        <w:ind w:left="425" w:hanging="425"/>
      </w:pPr>
      <w:rPr>
        <w:rFonts w:ascii="Arial" w:hAnsi="Arial" w:hint="default"/>
        <w:color w:val="C0C0C0"/>
      </w:rPr>
    </w:lvl>
    <w:lvl w:ilvl="1">
      <w:start w:val="1"/>
      <w:numFmt w:val="bullet"/>
      <w:lvlText w:val="–"/>
      <w:lvlJc w:val="left"/>
      <w:pPr>
        <w:ind w:left="851" w:hanging="426"/>
      </w:pPr>
      <w:rPr>
        <w:rFonts w:ascii="Calibri" w:hAnsi="Calibri" w:hint="default"/>
      </w:rPr>
    </w:lvl>
    <w:lvl w:ilvl="2">
      <w:start w:val="1"/>
      <w:numFmt w:val="bullet"/>
      <w:lvlText w:val="o"/>
      <w:lvlJc w:val="left"/>
      <w:pPr>
        <w:ind w:left="1276" w:hanging="425"/>
      </w:pPr>
      <w:rPr>
        <w:rFonts w:ascii="Courier New" w:hAnsi="Courier New"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5B005B0F"/>
    <w:multiLevelType w:val="multilevel"/>
    <w:tmpl w:val="E620E372"/>
    <w:lvl w:ilvl="0">
      <w:start w:val="1"/>
      <w:numFmt w:val="bullet"/>
      <w:lvlText w:val="■"/>
      <w:lvlJc w:val="left"/>
      <w:pPr>
        <w:ind w:left="1145" w:hanging="425"/>
      </w:pPr>
      <w:rPr>
        <w:rFonts w:ascii="Arial" w:hAnsi="Arial" w:hint="default"/>
        <w:color w:val="C0C0C0"/>
      </w:rPr>
    </w:lvl>
    <w:lvl w:ilvl="1">
      <w:start w:val="1"/>
      <w:numFmt w:val="bullet"/>
      <w:lvlText w:val="–"/>
      <w:lvlJc w:val="left"/>
      <w:pPr>
        <w:ind w:left="1571" w:hanging="426"/>
      </w:pPr>
      <w:rPr>
        <w:rFonts w:ascii="Calibri" w:hAnsi="Calibri" w:hint="default"/>
      </w:rPr>
    </w:lvl>
    <w:lvl w:ilvl="2">
      <w:start w:val="1"/>
      <w:numFmt w:val="bullet"/>
      <w:lvlText w:val="o"/>
      <w:lvlJc w:val="left"/>
      <w:pPr>
        <w:ind w:left="199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4">
    <w:nsid w:val="61FD628B"/>
    <w:multiLevelType w:val="multilevel"/>
    <w:tmpl w:val="BD201726"/>
    <w:lvl w:ilvl="0">
      <w:start w:val="1"/>
      <w:numFmt w:val="lowerLetter"/>
      <w:lvlText w:val="%1."/>
      <w:lvlJc w:val="left"/>
      <w:pPr>
        <w:tabs>
          <w:tab w:val="num" w:pos="851"/>
        </w:tabs>
        <w:ind w:left="851" w:hanging="426"/>
      </w:pPr>
      <w:rPr>
        <w:rFonts w:hint="default"/>
      </w:rPr>
    </w:lvl>
    <w:lvl w:ilvl="1">
      <w:start w:val="1"/>
      <w:numFmt w:val="lowerRoman"/>
      <w:lvlText w:val="%2."/>
      <w:lvlJc w:val="left"/>
      <w:pPr>
        <w:tabs>
          <w:tab w:val="num" w:pos="1276"/>
        </w:tabs>
        <w:ind w:left="1276" w:hanging="425"/>
      </w:pPr>
      <w:rPr>
        <w:rFonts w:hint="default"/>
      </w:rPr>
    </w:lvl>
    <w:lvl w:ilvl="2">
      <w:start w:val="1"/>
      <w:numFmt w:val="upperLetter"/>
      <w:lvlText w:val="%3."/>
      <w:lvlJc w:val="left"/>
      <w:pPr>
        <w:tabs>
          <w:tab w:val="num" w:pos="1701"/>
        </w:tabs>
        <w:ind w:left="1701" w:hanging="425"/>
      </w:pPr>
      <w:rPr>
        <w:rFonts w:hint="default"/>
      </w:rPr>
    </w:lvl>
    <w:lvl w:ilvl="3">
      <w:start w:val="1"/>
      <w:numFmt w:val="upperRoman"/>
      <w:lvlText w:val="%4."/>
      <w:lvlJc w:val="left"/>
      <w:pPr>
        <w:tabs>
          <w:tab w:val="num" w:pos="2126"/>
        </w:tabs>
        <w:ind w:left="2126" w:hanging="425"/>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left"/>
      <w:pPr>
        <w:tabs>
          <w:tab w:val="num" w:pos="3940"/>
        </w:tabs>
        <w:ind w:left="3940" w:hanging="360"/>
      </w:pPr>
      <w:rPr>
        <w:rFonts w:hint="default"/>
      </w:rPr>
    </w:lvl>
    <w:lvl w:ilvl="6">
      <w:start w:val="1"/>
      <w:numFmt w:val="none"/>
      <w:lvlText w:val=""/>
      <w:lvlJc w:val="left"/>
      <w:pPr>
        <w:tabs>
          <w:tab w:val="num" w:pos="4300"/>
        </w:tabs>
        <w:ind w:left="4300" w:hanging="360"/>
      </w:pPr>
      <w:rPr>
        <w:rFonts w:hint="default"/>
      </w:rPr>
    </w:lvl>
    <w:lvl w:ilvl="7">
      <w:start w:val="1"/>
      <w:numFmt w:val="none"/>
      <w:lvlText w:val=""/>
      <w:lvlJc w:val="left"/>
      <w:pPr>
        <w:tabs>
          <w:tab w:val="num" w:pos="4660"/>
        </w:tabs>
        <w:ind w:left="4660" w:hanging="360"/>
      </w:pPr>
      <w:rPr>
        <w:rFonts w:hint="default"/>
      </w:rPr>
    </w:lvl>
    <w:lvl w:ilvl="8">
      <w:start w:val="1"/>
      <w:numFmt w:val="none"/>
      <w:lvlText w:val=""/>
      <w:lvlJc w:val="left"/>
      <w:pPr>
        <w:tabs>
          <w:tab w:val="num" w:pos="5020"/>
        </w:tabs>
        <w:ind w:left="5020" w:hanging="360"/>
      </w:pPr>
      <w:rPr>
        <w:rFonts w:hint="default"/>
      </w:rPr>
    </w:lvl>
  </w:abstractNum>
  <w:abstractNum w:abstractNumId="25">
    <w:nsid w:val="63B854F0"/>
    <w:multiLevelType w:val="multilevel"/>
    <w:tmpl w:val="5C046AE2"/>
    <w:lvl w:ilvl="0">
      <w:start w:val="1"/>
      <w:numFmt w:val="decimal"/>
      <w:lvlText w:val="%1."/>
      <w:lvlJc w:val="left"/>
      <w:pPr>
        <w:tabs>
          <w:tab w:val="num" w:pos="425"/>
        </w:tabs>
        <w:ind w:left="425" w:hanging="425"/>
      </w:pPr>
      <w:rPr>
        <w:rFonts w:hint="default"/>
        <w:sz w:val="24"/>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upperLetter"/>
      <w:lvlText w:val="%4."/>
      <w:lvlJc w:val="left"/>
      <w:pPr>
        <w:tabs>
          <w:tab w:val="num" w:pos="1701"/>
        </w:tabs>
        <w:ind w:left="1701" w:hanging="425"/>
      </w:pPr>
      <w:rPr>
        <w:rFonts w:hint="default"/>
      </w:rPr>
    </w:lvl>
    <w:lvl w:ilvl="4">
      <w:start w:val="1"/>
      <w:numFmt w:val="upperRoman"/>
      <w:lvlText w:val="%5."/>
      <w:lvlJc w:val="left"/>
      <w:pPr>
        <w:tabs>
          <w:tab w:val="num" w:pos="2126"/>
        </w:tabs>
        <w:ind w:left="2126" w:hanging="425"/>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26">
    <w:nsid w:val="73EC7B9E"/>
    <w:multiLevelType w:val="multilevel"/>
    <w:tmpl w:val="F5B48B4A"/>
    <w:styleLink w:val="Redundant"/>
    <w:lvl w:ilvl="0">
      <w:start w:val="1"/>
      <w:numFmt w:val="bullet"/>
      <w:lvlText w:val="®"/>
      <w:lvlJc w:val="left"/>
      <w:pPr>
        <w:tabs>
          <w:tab w:val="num" w:pos="1276"/>
        </w:tabs>
        <w:ind w:left="1276" w:hanging="425"/>
      </w:pPr>
      <w:rPr>
        <w:rFonts w:ascii="Arial" w:hAnsi="Arial" w:hint="default"/>
        <w:color w:val="FF0000"/>
      </w:rPr>
    </w:lvl>
    <w:lvl w:ilvl="1">
      <w:start w:val="1"/>
      <w:numFmt w:val="none"/>
      <w:lvlText w:val=""/>
      <w:lvlJc w:val="left"/>
      <w:pPr>
        <w:tabs>
          <w:tab w:val="num" w:pos="1701"/>
        </w:tabs>
        <w:ind w:left="1701" w:hanging="425"/>
      </w:pPr>
      <w:rPr>
        <w:rFonts w:hint="default"/>
      </w:rPr>
    </w:lvl>
    <w:lvl w:ilvl="2">
      <w:start w:val="1"/>
      <w:numFmt w:val="none"/>
      <w:lvlText w:val=""/>
      <w:lvlJc w:val="left"/>
      <w:pPr>
        <w:tabs>
          <w:tab w:val="num" w:pos="0"/>
        </w:tabs>
        <w:ind w:left="0" w:hanging="425"/>
      </w:pPr>
      <w:rPr>
        <w:rFonts w:hint="default"/>
        <w:sz w:val="24"/>
      </w:rPr>
    </w:lvl>
    <w:lvl w:ilvl="3">
      <w:start w:val="1"/>
      <w:numFmt w:val="none"/>
      <w:lvlText w:val=""/>
      <w:lvlJc w:val="left"/>
      <w:pPr>
        <w:tabs>
          <w:tab w:val="num" w:pos="1604"/>
        </w:tabs>
        <w:ind w:left="1604" w:hanging="360"/>
      </w:pPr>
      <w:rPr>
        <w:rFonts w:hint="default"/>
      </w:rPr>
    </w:lvl>
    <w:lvl w:ilvl="4">
      <w:start w:val="1"/>
      <w:numFmt w:val="none"/>
      <w:lvlText w:val=""/>
      <w:lvlJc w:val="left"/>
      <w:pPr>
        <w:tabs>
          <w:tab w:val="num" w:pos="2324"/>
        </w:tabs>
        <w:ind w:left="2324" w:hanging="360"/>
      </w:pPr>
      <w:rPr>
        <w:rFonts w:hint="default"/>
      </w:rPr>
    </w:lvl>
    <w:lvl w:ilvl="5">
      <w:start w:val="1"/>
      <w:numFmt w:val="none"/>
      <w:lvlText w:val=""/>
      <w:lvlJc w:val="left"/>
      <w:pPr>
        <w:tabs>
          <w:tab w:val="num" w:pos="3044"/>
        </w:tabs>
        <w:ind w:left="3044" w:hanging="360"/>
      </w:pPr>
      <w:rPr>
        <w:rFonts w:hint="default"/>
      </w:rPr>
    </w:lvl>
    <w:lvl w:ilvl="6">
      <w:start w:val="1"/>
      <w:numFmt w:val="none"/>
      <w:lvlText w:val=""/>
      <w:lvlJc w:val="left"/>
      <w:pPr>
        <w:tabs>
          <w:tab w:val="num" w:pos="3764"/>
        </w:tabs>
        <w:ind w:left="3764" w:hanging="360"/>
      </w:pPr>
      <w:rPr>
        <w:rFonts w:hint="default"/>
      </w:rPr>
    </w:lvl>
    <w:lvl w:ilvl="7">
      <w:start w:val="1"/>
      <w:numFmt w:val="none"/>
      <w:lvlText w:val=""/>
      <w:lvlJc w:val="left"/>
      <w:pPr>
        <w:tabs>
          <w:tab w:val="num" w:pos="4484"/>
        </w:tabs>
        <w:ind w:left="4484" w:hanging="360"/>
      </w:pPr>
      <w:rPr>
        <w:rFonts w:hint="default"/>
      </w:rPr>
    </w:lvl>
    <w:lvl w:ilvl="8">
      <w:start w:val="1"/>
      <w:numFmt w:val="none"/>
      <w:lvlText w:val=""/>
      <w:lvlJc w:val="left"/>
      <w:pPr>
        <w:tabs>
          <w:tab w:val="num" w:pos="5204"/>
        </w:tabs>
        <w:ind w:left="5204" w:hanging="360"/>
      </w:pPr>
      <w:rPr>
        <w:rFonts w:hint="default"/>
      </w:rPr>
    </w:lvl>
  </w:abstractNum>
  <w:abstractNum w:abstractNumId="27">
    <w:nsid w:val="74EA12CF"/>
    <w:multiLevelType w:val="multilevel"/>
    <w:tmpl w:val="B5E2465A"/>
    <w:lvl w:ilvl="0">
      <w:start w:val="1"/>
      <w:numFmt w:val="lowerLetter"/>
      <w:pStyle w:val="Numberedlistalphastart1"/>
      <w:lvlText w:val="%1."/>
      <w:lvlJc w:val="left"/>
      <w:pPr>
        <w:tabs>
          <w:tab w:val="num" w:pos="425"/>
        </w:tabs>
        <w:ind w:left="851" w:hanging="426"/>
      </w:pPr>
      <w:rPr>
        <w:rFonts w:hint="default"/>
      </w:rPr>
    </w:lvl>
    <w:lvl w:ilvl="1">
      <w:start w:val="1"/>
      <w:numFmt w:val="lowerRoman"/>
      <w:pStyle w:val="Numberedlistalphastart2"/>
      <w:lvlText w:val="%2."/>
      <w:lvlJc w:val="left"/>
      <w:pPr>
        <w:tabs>
          <w:tab w:val="num" w:pos="851"/>
        </w:tabs>
        <w:ind w:left="1276" w:hanging="425"/>
      </w:pPr>
      <w:rPr>
        <w:rFonts w:hint="default"/>
      </w:rPr>
    </w:lvl>
    <w:lvl w:ilvl="2">
      <w:start w:val="1"/>
      <w:numFmt w:val="upperLetter"/>
      <w:pStyle w:val="Numberedlistalphastart3"/>
      <w:lvlText w:val="%3."/>
      <w:lvlJc w:val="left"/>
      <w:pPr>
        <w:tabs>
          <w:tab w:val="num" w:pos="1276"/>
        </w:tabs>
        <w:ind w:left="1701" w:hanging="425"/>
      </w:pPr>
      <w:rPr>
        <w:rFonts w:hint="default"/>
      </w:rPr>
    </w:lvl>
    <w:lvl w:ilvl="3">
      <w:start w:val="1"/>
      <w:numFmt w:val="upperRoman"/>
      <w:pStyle w:val="Numberedlistalphastart4"/>
      <w:lvlText w:val="%4."/>
      <w:lvlJc w:val="left"/>
      <w:pPr>
        <w:ind w:left="2126" w:hanging="425"/>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nsid w:val="7907447E"/>
    <w:multiLevelType w:val="multilevel"/>
    <w:tmpl w:val="69100202"/>
    <w:lvl w:ilvl="0">
      <w:start w:val="1"/>
      <w:numFmt w:val="decimal"/>
      <w:lvlText w:val="%1."/>
      <w:lvlJc w:val="left"/>
      <w:pPr>
        <w:ind w:left="425" w:hanging="425"/>
      </w:pPr>
      <w:rPr>
        <w:rFonts w:hint="default"/>
      </w:rPr>
    </w:lvl>
    <w:lvl w:ilvl="1">
      <w:start w:val="1"/>
      <w:numFmt w:val="lowerLetter"/>
      <w:lvlText w:val="%2."/>
      <w:lvlJc w:val="left"/>
      <w:pPr>
        <w:ind w:left="851" w:hanging="426"/>
      </w:pPr>
      <w:rPr>
        <w:rFonts w:hint="default"/>
      </w:rPr>
    </w:lvl>
    <w:lvl w:ilvl="2">
      <w:start w:val="1"/>
      <w:numFmt w:val="lowerRoman"/>
      <w:lvlText w:val="%3."/>
      <w:lvlJc w:val="left"/>
      <w:pPr>
        <w:ind w:left="1276" w:hanging="425"/>
      </w:pPr>
      <w:rPr>
        <w:rFonts w:hint="default"/>
      </w:rPr>
    </w:lvl>
    <w:lvl w:ilvl="3">
      <w:start w:val="1"/>
      <w:numFmt w:val="upperLetter"/>
      <w:lvlText w:val="%4."/>
      <w:lvlJc w:val="left"/>
      <w:pPr>
        <w:ind w:left="1701" w:hanging="425"/>
      </w:pPr>
      <w:rPr>
        <w:rFonts w:hint="default"/>
      </w:rPr>
    </w:lvl>
    <w:lvl w:ilvl="4">
      <w:start w:val="1"/>
      <w:numFmt w:val="upperRoman"/>
      <w:lvlText w:val="%5."/>
      <w:lvlJc w:val="left"/>
      <w:pPr>
        <w:ind w:left="2126" w:hanging="425"/>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7B595003"/>
    <w:multiLevelType w:val="multilevel"/>
    <w:tmpl w:val="94BA2440"/>
    <w:lvl w:ilvl="0">
      <w:start w:val="1"/>
      <w:numFmt w:val="bullet"/>
      <w:lvlText w:val="■"/>
      <w:lvlJc w:val="left"/>
      <w:pPr>
        <w:ind w:left="425" w:hanging="425"/>
      </w:pPr>
      <w:rPr>
        <w:rFonts w:ascii="Arial" w:hAnsi="Arial" w:hint="default"/>
        <w:color w:val="C0C0C0"/>
      </w:rPr>
    </w:lvl>
    <w:lvl w:ilvl="1">
      <w:start w:val="1"/>
      <w:numFmt w:val="bullet"/>
      <w:lvlText w:val="o"/>
      <w:lvlJc w:val="left"/>
      <w:pPr>
        <w:ind w:left="851" w:hanging="426"/>
      </w:pPr>
      <w:rPr>
        <w:rFonts w:ascii="Courier New" w:hAnsi="Courier New"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9"/>
  </w:num>
  <w:num w:numId="2">
    <w:abstractNumId w:val="17"/>
  </w:num>
  <w:num w:numId="3">
    <w:abstractNumId w:val="10"/>
  </w:num>
  <w:num w:numId="4">
    <w:abstractNumId w:val="26"/>
  </w:num>
  <w:num w:numId="5">
    <w:abstractNumId w:val="13"/>
  </w:num>
  <w:num w:numId="6">
    <w:abstractNumId w:val="24"/>
  </w:num>
  <w:num w:numId="7">
    <w:abstractNumId w:val="19"/>
  </w:num>
  <w:num w:numId="8">
    <w:abstractNumId w:val="21"/>
  </w:num>
  <w:num w:numId="9">
    <w:abstractNumId w:val="18"/>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8"/>
  </w:num>
  <w:num w:numId="25">
    <w:abstractNumId w:val="20"/>
  </w:num>
  <w:num w:numId="26">
    <w:abstractNumId w:val="16"/>
  </w:num>
  <w:num w:numId="27">
    <w:abstractNumId w:val="1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3"/>
  </w:num>
  <w:num w:numId="31">
    <w:abstractNumId w:val="8"/>
  </w:num>
  <w:num w:numId="32">
    <w:abstractNumId w:val="6"/>
  </w:num>
  <w:num w:numId="33">
    <w:abstractNumId w:val="5"/>
  </w:num>
  <w:num w:numId="34">
    <w:abstractNumId w:val="4"/>
  </w:num>
  <w:num w:numId="35">
    <w:abstractNumId w:val="7"/>
  </w:num>
  <w:num w:numId="36">
    <w:abstractNumId w:val="3"/>
  </w:num>
  <w:num w:numId="37">
    <w:abstractNumId w:val="2"/>
  </w:num>
  <w:num w:numId="38">
    <w:abstractNumId w:val="1"/>
  </w:num>
  <w:num w:numId="3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1821" w:allStyles="1" w:customStyles="0" w:latentStyles="0" w:stylesInUse="0" w:headingStyles="1" w:numberingStyles="0" w:tableStyles="0" w:directFormattingOnRuns="0" w:directFormattingOnParagraphs="0" w:directFormattingOnNumbering="0" w:directFormattingOnTables="1" w:clearFormatting="1" w:top3HeadingStyles="0" w:visibleStyles="0" w:alternateStyleNames="0"/>
  <w:stylePaneSortMethod w:val="0000"/>
  <w:documentProtection w:formatting="1" w:enforcement="1" w:cryptProviderType="rsaFull" w:cryptAlgorithmClass="hash" w:cryptAlgorithmType="typeAny" w:cryptAlgorithmSid="4" w:cryptSpinCount="100000" w:hash="fK7X9UpNKmgnzNEwSB5kL0VWd+I=" w:salt="BYuUzqcQAn48DGBiM9RZc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C9"/>
    <w:rsid w:val="0000016B"/>
    <w:rsid w:val="0000016C"/>
    <w:rsid w:val="00007238"/>
    <w:rsid w:val="00010994"/>
    <w:rsid w:val="00015A8A"/>
    <w:rsid w:val="0002380C"/>
    <w:rsid w:val="00030618"/>
    <w:rsid w:val="0003184A"/>
    <w:rsid w:val="000354FC"/>
    <w:rsid w:val="00044E72"/>
    <w:rsid w:val="00044FF7"/>
    <w:rsid w:val="00046CE7"/>
    <w:rsid w:val="00046FEB"/>
    <w:rsid w:val="00054531"/>
    <w:rsid w:val="0006354E"/>
    <w:rsid w:val="00064E2E"/>
    <w:rsid w:val="0007231B"/>
    <w:rsid w:val="00073D8B"/>
    <w:rsid w:val="00076144"/>
    <w:rsid w:val="000768F9"/>
    <w:rsid w:val="000773F0"/>
    <w:rsid w:val="000908DF"/>
    <w:rsid w:val="000916D8"/>
    <w:rsid w:val="00092C8B"/>
    <w:rsid w:val="00092F95"/>
    <w:rsid w:val="000A372D"/>
    <w:rsid w:val="000A69D6"/>
    <w:rsid w:val="000B1CF4"/>
    <w:rsid w:val="000B40E5"/>
    <w:rsid w:val="000B44C5"/>
    <w:rsid w:val="000C008C"/>
    <w:rsid w:val="000C22B2"/>
    <w:rsid w:val="000C2A14"/>
    <w:rsid w:val="000D1A74"/>
    <w:rsid w:val="000D26A4"/>
    <w:rsid w:val="000D381E"/>
    <w:rsid w:val="000E251B"/>
    <w:rsid w:val="000E5FF8"/>
    <w:rsid w:val="0010282E"/>
    <w:rsid w:val="00103841"/>
    <w:rsid w:val="00113CC8"/>
    <w:rsid w:val="00114B9F"/>
    <w:rsid w:val="00116CD0"/>
    <w:rsid w:val="00116D82"/>
    <w:rsid w:val="00124FE3"/>
    <w:rsid w:val="00127EC2"/>
    <w:rsid w:val="00130179"/>
    <w:rsid w:val="00131871"/>
    <w:rsid w:val="001418DC"/>
    <w:rsid w:val="001650E8"/>
    <w:rsid w:val="00170402"/>
    <w:rsid w:val="0017772F"/>
    <w:rsid w:val="0018349C"/>
    <w:rsid w:val="00183F58"/>
    <w:rsid w:val="00184F18"/>
    <w:rsid w:val="0019293B"/>
    <w:rsid w:val="00192D98"/>
    <w:rsid w:val="00195A46"/>
    <w:rsid w:val="001A5382"/>
    <w:rsid w:val="001B18D1"/>
    <w:rsid w:val="001B67E8"/>
    <w:rsid w:val="001C02AF"/>
    <w:rsid w:val="001C0C4B"/>
    <w:rsid w:val="001C2FF4"/>
    <w:rsid w:val="001C4BD0"/>
    <w:rsid w:val="001C64B3"/>
    <w:rsid w:val="001D50C5"/>
    <w:rsid w:val="001D5F57"/>
    <w:rsid w:val="001E27CD"/>
    <w:rsid w:val="001E3136"/>
    <w:rsid w:val="001E3CBC"/>
    <w:rsid w:val="001E4297"/>
    <w:rsid w:val="001E565F"/>
    <w:rsid w:val="001F5B83"/>
    <w:rsid w:val="001F6899"/>
    <w:rsid w:val="001F6A56"/>
    <w:rsid w:val="001F79CC"/>
    <w:rsid w:val="001F7E9A"/>
    <w:rsid w:val="00202930"/>
    <w:rsid w:val="00212095"/>
    <w:rsid w:val="002167A9"/>
    <w:rsid w:val="00222736"/>
    <w:rsid w:val="00223D51"/>
    <w:rsid w:val="0022416D"/>
    <w:rsid w:val="00226FEB"/>
    <w:rsid w:val="00227FE1"/>
    <w:rsid w:val="002343B1"/>
    <w:rsid w:val="002350BD"/>
    <w:rsid w:val="0023692A"/>
    <w:rsid w:val="0023692B"/>
    <w:rsid w:val="002374AD"/>
    <w:rsid w:val="00240C63"/>
    <w:rsid w:val="002545EC"/>
    <w:rsid w:val="00256CF0"/>
    <w:rsid w:val="00265314"/>
    <w:rsid w:val="00266E54"/>
    <w:rsid w:val="00271B22"/>
    <w:rsid w:val="0027407B"/>
    <w:rsid w:val="00275EB2"/>
    <w:rsid w:val="0027626D"/>
    <w:rsid w:val="002770A8"/>
    <w:rsid w:val="00283592"/>
    <w:rsid w:val="002852F6"/>
    <w:rsid w:val="00286385"/>
    <w:rsid w:val="0028727C"/>
    <w:rsid w:val="00287836"/>
    <w:rsid w:val="00294842"/>
    <w:rsid w:val="00294FA2"/>
    <w:rsid w:val="00295681"/>
    <w:rsid w:val="00296E95"/>
    <w:rsid w:val="002976CA"/>
    <w:rsid w:val="002A53A1"/>
    <w:rsid w:val="002A55AA"/>
    <w:rsid w:val="002C2F62"/>
    <w:rsid w:val="002C3FA0"/>
    <w:rsid w:val="002C5E40"/>
    <w:rsid w:val="002C5E72"/>
    <w:rsid w:val="002D1733"/>
    <w:rsid w:val="002F326B"/>
    <w:rsid w:val="002F3ACB"/>
    <w:rsid w:val="002F4036"/>
    <w:rsid w:val="002F527D"/>
    <w:rsid w:val="00317125"/>
    <w:rsid w:val="00322F14"/>
    <w:rsid w:val="00323807"/>
    <w:rsid w:val="00336EE2"/>
    <w:rsid w:val="00344C1E"/>
    <w:rsid w:val="00351B42"/>
    <w:rsid w:val="00354690"/>
    <w:rsid w:val="003567C0"/>
    <w:rsid w:val="00357AE6"/>
    <w:rsid w:val="003600B7"/>
    <w:rsid w:val="003608DC"/>
    <w:rsid w:val="00363049"/>
    <w:rsid w:val="0036435C"/>
    <w:rsid w:val="00373AE5"/>
    <w:rsid w:val="00374506"/>
    <w:rsid w:val="00377547"/>
    <w:rsid w:val="003817BF"/>
    <w:rsid w:val="003841AF"/>
    <w:rsid w:val="00384E10"/>
    <w:rsid w:val="003921E6"/>
    <w:rsid w:val="003962D1"/>
    <w:rsid w:val="003A5A67"/>
    <w:rsid w:val="003B5D98"/>
    <w:rsid w:val="003B7EA6"/>
    <w:rsid w:val="003C14FE"/>
    <w:rsid w:val="003C1B24"/>
    <w:rsid w:val="003C2C2A"/>
    <w:rsid w:val="003D0E42"/>
    <w:rsid w:val="003D293E"/>
    <w:rsid w:val="003D6441"/>
    <w:rsid w:val="003D6FEC"/>
    <w:rsid w:val="003E085B"/>
    <w:rsid w:val="003E7281"/>
    <w:rsid w:val="003E7321"/>
    <w:rsid w:val="003E7B9A"/>
    <w:rsid w:val="003F31B4"/>
    <w:rsid w:val="003F39A6"/>
    <w:rsid w:val="003F7ED6"/>
    <w:rsid w:val="00401420"/>
    <w:rsid w:val="004017CF"/>
    <w:rsid w:val="00401CFD"/>
    <w:rsid w:val="0040758F"/>
    <w:rsid w:val="0041527A"/>
    <w:rsid w:val="0042197D"/>
    <w:rsid w:val="00430085"/>
    <w:rsid w:val="0043015C"/>
    <w:rsid w:val="00435FCE"/>
    <w:rsid w:val="00440EBB"/>
    <w:rsid w:val="004413AE"/>
    <w:rsid w:val="004413D0"/>
    <w:rsid w:val="004413E1"/>
    <w:rsid w:val="00443CC2"/>
    <w:rsid w:val="00444724"/>
    <w:rsid w:val="00450ACB"/>
    <w:rsid w:val="004538E1"/>
    <w:rsid w:val="00456BAB"/>
    <w:rsid w:val="00460B6B"/>
    <w:rsid w:val="004626F8"/>
    <w:rsid w:val="00465E76"/>
    <w:rsid w:val="0047241C"/>
    <w:rsid w:val="00476968"/>
    <w:rsid w:val="004859DA"/>
    <w:rsid w:val="004869F1"/>
    <w:rsid w:val="004920D6"/>
    <w:rsid w:val="004A07CD"/>
    <w:rsid w:val="004B082F"/>
    <w:rsid w:val="004B5C9F"/>
    <w:rsid w:val="004C3706"/>
    <w:rsid w:val="004D6F7A"/>
    <w:rsid w:val="004D766C"/>
    <w:rsid w:val="004E0A5B"/>
    <w:rsid w:val="004F1327"/>
    <w:rsid w:val="004F3544"/>
    <w:rsid w:val="004F64FB"/>
    <w:rsid w:val="004F793D"/>
    <w:rsid w:val="0050073D"/>
    <w:rsid w:val="00500DDE"/>
    <w:rsid w:val="005056DB"/>
    <w:rsid w:val="00512DE0"/>
    <w:rsid w:val="00516B09"/>
    <w:rsid w:val="00516C35"/>
    <w:rsid w:val="005211D6"/>
    <w:rsid w:val="00535857"/>
    <w:rsid w:val="005460B8"/>
    <w:rsid w:val="00546A46"/>
    <w:rsid w:val="00547191"/>
    <w:rsid w:val="005504DF"/>
    <w:rsid w:val="005602E2"/>
    <w:rsid w:val="005669E8"/>
    <w:rsid w:val="00566B58"/>
    <w:rsid w:val="005700F0"/>
    <w:rsid w:val="0057489A"/>
    <w:rsid w:val="00576FF8"/>
    <w:rsid w:val="005836A5"/>
    <w:rsid w:val="00584F85"/>
    <w:rsid w:val="005852CF"/>
    <w:rsid w:val="005961BE"/>
    <w:rsid w:val="005A10B5"/>
    <w:rsid w:val="005A21CE"/>
    <w:rsid w:val="005A59D8"/>
    <w:rsid w:val="005A79CE"/>
    <w:rsid w:val="005B2DBA"/>
    <w:rsid w:val="005B69A7"/>
    <w:rsid w:val="005B7833"/>
    <w:rsid w:val="005B7B1A"/>
    <w:rsid w:val="005C0977"/>
    <w:rsid w:val="005D12E9"/>
    <w:rsid w:val="005D338C"/>
    <w:rsid w:val="005D7387"/>
    <w:rsid w:val="005D767F"/>
    <w:rsid w:val="005E6327"/>
    <w:rsid w:val="005E73CC"/>
    <w:rsid w:val="005F6B07"/>
    <w:rsid w:val="00600035"/>
    <w:rsid w:val="00602E2A"/>
    <w:rsid w:val="006102F5"/>
    <w:rsid w:val="00611DCC"/>
    <w:rsid w:val="006140C1"/>
    <w:rsid w:val="00614D8D"/>
    <w:rsid w:val="0062223C"/>
    <w:rsid w:val="006233C1"/>
    <w:rsid w:val="0062754C"/>
    <w:rsid w:val="0063257B"/>
    <w:rsid w:val="00633E23"/>
    <w:rsid w:val="00636E46"/>
    <w:rsid w:val="00642808"/>
    <w:rsid w:val="006445D7"/>
    <w:rsid w:val="00645E6F"/>
    <w:rsid w:val="006617DE"/>
    <w:rsid w:val="00673391"/>
    <w:rsid w:val="00677C95"/>
    <w:rsid w:val="006A0E3D"/>
    <w:rsid w:val="006A2750"/>
    <w:rsid w:val="006A3312"/>
    <w:rsid w:val="006A5467"/>
    <w:rsid w:val="006C2B9E"/>
    <w:rsid w:val="006D1BC4"/>
    <w:rsid w:val="006D420C"/>
    <w:rsid w:val="006E167A"/>
    <w:rsid w:val="006E576D"/>
    <w:rsid w:val="006F1494"/>
    <w:rsid w:val="0070409B"/>
    <w:rsid w:val="007125F1"/>
    <w:rsid w:val="007142E3"/>
    <w:rsid w:val="0072211F"/>
    <w:rsid w:val="007233E7"/>
    <w:rsid w:val="007237FF"/>
    <w:rsid w:val="00726619"/>
    <w:rsid w:val="00742FDA"/>
    <w:rsid w:val="0074329B"/>
    <w:rsid w:val="00746EC8"/>
    <w:rsid w:val="00747F63"/>
    <w:rsid w:val="00754FB3"/>
    <w:rsid w:val="007566A3"/>
    <w:rsid w:val="007578AD"/>
    <w:rsid w:val="00763110"/>
    <w:rsid w:val="00766FAF"/>
    <w:rsid w:val="00767E1E"/>
    <w:rsid w:val="007707BF"/>
    <w:rsid w:val="007717C9"/>
    <w:rsid w:val="00773C03"/>
    <w:rsid w:val="0077455C"/>
    <w:rsid w:val="00776BC9"/>
    <w:rsid w:val="00777382"/>
    <w:rsid w:val="007925F4"/>
    <w:rsid w:val="007960C3"/>
    <w:rsid w:val="007A1E6D"/>
    <w:rsid w:val="007A3EF2"/>
    <w:rsid w:val="007A5540"/>
    <w:rsid w:val="007A6DBA"/>
    <w:rsid w:val="007B0CAE"/>
    <w:rsid w:val="007B0EDE"/>
    <w:rsid w:val="007B3BAC"/>
    <w:rsid w:val="007B636B"/>
    <w:rsid w:val="007B73A5"/>
    <w:rsid w:val="007B7FF5"/>
    <w:rsid w:val="007C0B1E"/>
    <w:rsid w:val="007C0E4D"/>
    <w:rsid w:val="007C3948"/>
    <w:rsid w:val="007D2309"/>
    <w:rsid w:val="007D427D"/>
    <w:rsid w:val="007D4B68"/>
    <w:rsid w:val="007D6CDF"/>
    <w:rsid w:val="007E0215"/>
    <w:rsid w:val="007E51F1"/>
    <w:rsid w:val="007F304E"/>
    <w:rsid w:val="007F6AF8"/>
    <w:rsid w:val="008104AF"/>
    <w:rsid w:val="0081128D"/>
    <w:rsid w:val="008162B5"/>
    <w:rsid w:val="00821C26"/>
    <w:rsid w:val="00823919"/>
    <w:rsid w:val="008268E7"/>
    <w:rsid w:val="0082708B"/>
    <w:rsid w:val="0083323F"/>
    <w:rsid w:val="0083488F"/>
    <w:rsid w:val="00835534"/>
    <w:rsid w:val="00835F99"/>
    <w:rsid w:val="008408E9"/>
    <w:rsid w:val="008428A1"/>
    <w:rsid w:val="008455FC"/>
    <w:rsid w:val="00846AD9"/>
    <w:rsid w:val="008479BF"/>
    <w:rsid w:val="008513B3"/>
    <w:rsid w:val="008559B4"/>
    <w:rsid w:val="008622BF"/>
    <w:rsid w:val="008656D4"/>
    <w:rsid w:val="00871C60"/>
    <w:rsid w:val="00876625"/>
    <w:rsid w:val="00877083"/>
    <w:rsid w:val="008772B7"/>
    <w:rsid w:val="00877B6C"/>
    <w:rsid w:val="008814D5"/>
    <w:rsid w:val="00883E33"/>
    <w:rsid w:val="0088471B"/>
    <w:rsid w:val="008871D8"/>
    <w:rsid w:val="008A0F1B"/>
    <w:rsid w:val="008A161D"/>
    <w:rsid w:val="008A192F"/>
    <w:rsid w:val="008A23BD"/>
    <w:rsid w:val="008A2E2B"/>
    <w:rsid w:val="008A61F0"/>
    <w:rsid w:val="008B4FAF"/>
    <w:rsid w:val="008B5891"/>
    <w:rsid w:val="008B68AD"/>
    <w:rsid w:val="008C3025"/>
    <w:rsid w:val="008C3593"/>
    <w:rsid w:val="008D497C"/>
    <w:rsid w:val="008E1EDA"/>
    <w:rsid w:val="008E2496"/>
    <w:rsid w:val="008E3B39"/>
    <w:rsid w:val="008E3DB0"/>
    <w:rsid w:val="008E58DE"/>
    <w:rsid w:val="008E7F85"/>
    <w:rsid w:val="008F21A6"/>
    <w:rsid w:val="008F69C6"/>
    <w:rsid w:val="008F70E0"/>
    <w:rsid w:val="00901198"/>
    <w:rsid w:val="00901B9B"/>
    <w:rsid w:val="00902CC1"/>
    <w:rsid w:val="00921FE4"/>
    <w:rsid w:val="00922E36"/>
    <w:rsid w:val="0092438B"/>
    <w:rsid w:val="009259D1"/>
    <w:rsid w:val="009270ED"/>
    <w:rsid w:val="00930632"/>
    <w:rsid w:val="00931F06"/>
    <w:rsid w:val="00936ECD"/>
    <w:rsid w:val="0094317E"/>
    <w:rsid w:val="00954CEB"/>
    <w:rsid w:val="00960492"/>
    <w:rsid w:val="0096305E"/>
    <w:rsid w:val="00964159"/>
    <w:rsid w:val="00966B45"/>
    <w:rsid w:val="009671BA"/>
    <w:rsid w:val="00970FAE"/>
    <w:rsid w:val="009719AE"/>
    <w:rsid w:val="00981037"/>
    <w:rsid w:val="00985322"/>
    <w:rsid w:val="0098535B"/>
    <w:rsid w:val="00985E7D"/>
    <w:rsid w:val="009865E7"/>
    <w:rsid w:val="00987AFA"/>
    <w:rsid w:val="00990C96"/>
    <w:rsid w:val="009968DD"/>
    <w:rsid w:val="009A660B"/>
    <w:rsid w:val="009B3DFD"/>
    <w:rsid w:val="009B7044"/>
    <w:rsid w:val="009C037A"/>
    <w:rsid w:val="009C25A8"/>
    <w:rsid w:val="009C68F3"/>
    <w:rsid w:val="009C7F6B"/>
    <w:rsid w:val="009D0352"/>
    <w:rsid w:val="009D2BA2"/>
    <w:rsid w:val="009D4837"/>
    <w:rsid w:val="009D555C"/>
    <w:rsid w:val="009D5D17"/>
    <w:rsid w:val="009E0005"/>
    <w:rsid w:val="009E3F22"/>
    <w:rsid w:val="009E53E9"/>
    <w:rsid w:val="009F0E6A"/>
    <w:rsid w:val="009F390E"/>
    <w:rsid w:val="009F6CD5"/>
    <w:rsid w:val="00A01B65"/>
    <w:rsid w:val="00A0292B"/>
    <w:rsid w:val="00A21D41"/>
    <w:rsid w:val="00A30A95"/>
    <w:rsid w:val="00A378E6"/>
    <w:rsid w:val="00A40D5C"/>
    <w:rsid w:val="00A4209D"/>
    <w:rsid w:val="00A61047"/>
    <w:rsid w:val="00A6409E"/>
    <w:rsid w:val="00A66341"/>
    <w:rsid w:val="00A67638"/>
    <w:rsid w:val="00A70E60"/>
    <w:rsid w:val="00A71664"/>
    <w:rsid w:val="00A72AE5"/>
    <w:rsid w:val="00A75A29"/>
    <w:rsid w:val="00A77780"/>
    <w:rsid w:val="00A81704"/>
    <w:rsid w:val="00A8381A"/>
    <w:rsid w:val="00A846F0"/>
    <w:rsid w:val="00A91423"/>
    <w:rsid w:val="00A967EB"/>
    <w:rsid w:val="00AA572B"/>
    <w:rsid w:val="00AA703C"/>
    <w:rsid w:val="00AB14F7"/>
    <w:rsid w:val="00AB2B2D"/>
    <w:rsid w:val="00AB6D30"/>
    <w:rsid w:val="00AB7DA0"/>
    <w:rsid w:val="00AC18FC"/>
    <w:rsid w:val="00AD7FD2"/>
    <w:rsid w:val="00AE0687"/>
    <w:rsid w:val="00AE2F45"/>
    <w:rsid w:val="00AE386D"/>
    <w:rsid w:val="00AE3A7C"/>
    <w:rsid w:val="00AF2C87"/>
    <w:rsid w:val="00AF3192"/>
    <w:rsid w:val="00B03191"/>
    <w:rsid w:val="00B11A3A"/>
    <w:rsid w:val="00B12AC9"/>
    <w:rsid w:val="00B13938"/>
    <w:rsid w:val="00B25675"/>
    <w:rsid w:val="00B35169"/>
    <w:rsid w:val="00B470FF"/>
    <w:rsid w:val="00B501A2"/>
    <w:rsid w:val="00B55281"/>
    <w:rsid w:val="00B55A91"/>
    <w:rsid w:val="00B568EA"/>
    <w:rsid w:val="00B70DA2"/>
    <w:rsid w:val="00B74FB5"/>
    <w:rsid w:val="00B920B7"/>
    <w:rsid w:val="00BA0329"/>
    <w:rsid w:val="00BA085F"/>
    <w:rsid w:val="00BA7517"/>
    <w:rsid w:val="00BB0E3C"/>
    <w:rsid w:val="00BB2581"/>
    <w:rsid w:val="00BB6BC2"/>
    <w:rsid w:val="00BC594F"/>
    <w:rsid w:val="00BD5353"/>
    <w:rsid w:val="00BD5B63"/>
    <w:rsid w:val="00BD5BD4"/>
    <w:rsid w:val="00BE1C12"/>
    <w:rsid w:val="00BE2231"/>
    <w:rsid w:val="00BE336E"/>
    <w:rsid w:val="00BF0605"/>
    <w:rsid w:val="00BF0DE9"/>
    <w:rsid w:val="00BF37FF"/>
    <w:rsid w:val="00BF3A52"/>
    <w:rsid w:val="00BF3F53"/>
    <w:rsid w:val="00BF4047"/>
    <w:rsid w:val="00BF5886"/>
    <w:rsid w:val="00C004A8"/>
    <w:rsid w:val="00C012A3"/>
    <w:rsid w:val="00C1190E"/>
    <w:rsid w:val="00C133EF"/>
    <w:rsid w:val="00C13ACE"/>
    <w:rsid w:val="00C14696"/>
    <w:rsid w:val="00C21E14"/>
    <w:rsid w:val="00C266F2"/>
    <w:rsid w:val="00C414EC"/>
    <w:rsid w:val="00C470AB"/>
    <w:rsid w:val="00C47BE8"/>
    <w:rsid w:val="00C53EED"/>
    <w:rsid w:val="00C60411"/>
    <w:rsid w:val="00C64BBD"/>
    <w:rsid w:val="00C64E47"/>
    <w:rsid w:val="00C66747"/>
    <w:rsid w:val="00C7128A"/>
    <w:rsid w:val="00C76832"/>
    <w:rsid w:val="00C8069F"/>
    <w:rsid w:val="00C829AB"/>
    <w:rsid w:val="00C84D20"/>
    <w:rsid w:val="00C87785"/>
    <w:rsid w:val="00C87D22"/>
    <w:rsid w:val="00C92843"/>
    <w:rsid w:val="00C92C4D"/>
    <w:rsid w:val="00C93388"/>
    <w:rsid w:val="00C96799"/>
    <w:rsid w:val="00CA0D69"/>
    <w:rsid w:val="00CA123A"/>
    <w:rsid w:val="00CA4CC0"/>
    <w:rsid w:val="00CA7CDD"/>
    <w:rsid w:val="00CB4AEC"/>
    <w:rsid w:val="00CC0827"/>
    <w:rsid w:val="00CC11BA"/>
    <w:rsid w:val="00CC69A6"/>
    <w:rsid w:val="00CD42BA"/>
    <w:rsid w:val="00CD541B"/>
    <w:rsid w:val="00CE15F0"/>
    <w:rsid w:val="00CE196C"/>
    <w:rsid w:val="00CE3710"/>
    <w:rsid w:val="00CF0BDF"/>
    <w:rsid w:val="00CF0EB8"/>
    <w:rsid w:val="00CF237F"/>
    <w:rsid w:val="00CF427E"/>
    <w:rsid w:val="00CF4CCD"/>
    <w:rsid w:val="00D0107E"/>
    <w:rsid w:val="00D042CC"/>
    <w:rsid w:val="00D06830"/>
    <w:rsid w:val="00D0695E"/>
    <w:rsid w:val="00D32AD6"/>
    <w:rsid w:val="00D4611F"/>
    <w:rsid w:val="00D4651C"/>
    <w:rsid w:val="00D53BE6"/>
    <w:rsid w:val="00D55DE3"/>
    <w:rsid w:val="00D56E73"/>
    <w:rsid w:val="00D62A8B"/>
    <w:rsid w:val="00D639CE"/>
    <w:rsid w:val="00D63E3B"/>
    <w:rsid w:val="00D64B31"/>
    <w:rsid w:val="00D678B9"/>
    <w:rsid w:val="00D72691"/>
    <w:rsid w:val="00D73AF8"/>
    <w:rsid w:val="00D746B1"/>
    <w:rsid w:val="00D75550"/>
    <w:rsid w:val="00D75AC5"/>
    <w:rsid w:val="00D81394"/>
    <w:rsid w:val="00D81463"/>
    <w:rsid w:val="00D82ED9"/>
    <w:rsid w:val="00D84544"/>
    <w:rsid w:val="00D85D15"/>
    <w:rsid w:val="00D8607C"/>
    <w:rsid w:val="00D91711"/>
    <w:rsid w:val="00D91FFB"/>
    <w:rsid w:val="00D92FAB"/>
    <w:rsid w:val="00D956F0"/>
    <w:rsid w:val="00DA2DB2"/>
    <w:rsid w:val="00DA4CDC"/>
    <w:rsid w:val="00DA698F"/>
    <w:rsid w:val="00DB0D34"/>
    <w:rsid w:val="00DB28B2"/>
    <w:rsid w:val="00DB2B8F"/>
    <w:rsid w:val="00DB44B9"/>
    <w:rsid w:val="00DB4709"/>
    <w:rsid w:val="00DB4CD3"/>
    <w:rsid w:val="00DB5C67"/>
    <w:rsid w:val="00DC04E6"/>
    <w:rsid w:val="00DC55E6"/>
    <w:rsid w:val="00DC7CFF"/>
    <w:rsid w:val="00DD18CE"/>
    <w:rsid w:val="00DD2309"/>
    <w:rsid w:val="00DD38FE"/>
    <w:rsid w:val="00DD3F97"/>
    <w:rsid w:val="00DE149B"/>
    <w:rsid w:val="00DE2878"/>
    <w:rsid w:val="00DE3C66"/>
    <w:rsid w:val="00DF4630"/>
    <w:rsid w:val="00E00ACE"/>
    <w:rsid w:val="00E10740"/>
    <w:rsid w:val="00E32F8F"/>
    <w:rsid w:val="00E33015"/>
    <w:rsid w:val="00E34F44"/>
    <w:rsid w:val="00E37DC0"/>
    <w:rsid w:val="00E47DBA"/>
    <w:rsid w:val="00E50E47"/>
    <w:rsid w:val="00E50FD3"/>
    <w:rsid w:val="00E54540"/>
    <w:rsid w:val="00E57E7D"/>
    <w:rsid w:val="00E57F96"/>
    <w:rsid w:val="00E62759"/>
    <w:rsid w:val="00E65B3E"/>
    <w:rsid w:val="00E66E31"/>
    <w:rsid w:val="00E66F05"/>
    <w:rsid w:val="00E67D03"/>
    <w:rsid w:val="00E71034"/>
    <w:rsid w:val="00E75DAB"/>
    <w:rsid w:val="00E800CB"/>
    <w:rsid w:val="00E8532F"/>
    <w:rsid w:val="00EA02A0"/>
    <w:rsid w:val="00EB1A39"/>
    <w:rsid w:val="00EB31D1"/>
    <w:rsid w:val="00EC528A"/>
    <w:rsid w:val="00ED154B"/>
    <w:rsid w:val="00ED670E"/>
    <w:rsid w:val="00EE2ECC"/>
    <w:rsid w:val="00EE5007"/>
    <w:rsid w:val="00EF305D"/>
    <w:rsid w:val="00EF6EDE"/>
    <w:rsid w:val="00F022E4"/>
    <w:rsid w:val="00F026DF"/>
    <w:rsid w:val="00F05CF2"/>
    <w:rsid w:val="00F1069C"/>
    <w:rsid w:val="00F11A0B"/>
    <w:rsid w:val="00F26FAA"/>
    <w:rsid w:val="00F27B47"/>
    <w:rsid w:val="00F27C11"/>
    <w:rsid w:val="00F37DD1"/>
    <w:rsid w:val="00F42C99"/>
    <w:rsid w:val="00F43581"/>
    <w:rsid w:val="00F50B75"/>
    <w:rsid w:val="00F52274"/>
    <w:rsid w:val="00F57005"/>
    <w:rsid w:val="00F60258"/>
    <w:rsid w:val="00F738CC"/>
    <w:rsid w:val="00F73FE6"/>
    <w:rsid w:val="00F74AF3"/>
    <w:rsid w:val="00F775E2"/>
    <w:rsid w:val="00F83F96"/>
    <w:rsid w:val="00F84B9D"/>
    <w:rsid w:val="00F90355"/>
    <w:rsid w:val="00F908A6"/>
    <w:rsid w:val="00FA0923"/>
    <w:rsid w:val="00FC39E5"/>
    <w:rsid w:val="00FC71F8"/>
    <w:rsid w:val="00FC7F9B"/>
    <w:rsid w:val="00FD79B9"/>
    <w:rsid w:val="00FD7A33"/>
    <w:rsid w:val="00FF113F"/>
    <w:rsid w:val="00FF7439"/>
    <w:rsid w:val="00FF7FE0"/>
  </w:rsids>
  <m:mathPr>
    <m:mathFont m:val="Cambria Math"/>
    <m:brkBin m:val="before"/>
    <m:brkBinSub m:val="--"/>
    <m:smallFrac m:val="0"/>
    <m:dispDef/>
    <m:lMargin m:val="0"/>
    <m:rMargin m:val="0"/>
    <m:defJc m:val="centerGroup"/>
    <m:wrapIndent m:val="1440"/>
    <m:intLim m:val="subSup"/>
    <m:naryLim m:val="undOvr"/>
  </m:mathPr>
  <w:attachedSchema w:val="urn:schemas-microsoft-com:xslt"/>
  <w:attachedSchema w:val="http://www.ato.gov.au"/>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TW"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footnote text" w:locked="0"/>
    <w:lsdException w:name="caption" w:semiHidden="1" w:unhideWhenUsed="1" w:qFormat="1"/>
    <w:lsdException w:name="footnote reference" w:locked="0"/>
    <w:lsdException w:name="Title" w:qFormat="1"/>
    <w:lsdException w:name="Default Paragraph Font" w:locked="0" w:uiPriority="1"/>
    <w:lsdException w:name="Subtitle" w:qFormat="1"/>
    <w:lsdException w:name="Hyperlink" w:locked="0"/>
    <w:lsdException w:name="FollowedHyperlink" w:locked="0"/>
    <w:lsdException w:name="Strong" w:qFormat="1"/>
    <w:lsdException w:name="Emphasis" w:qFormat="1"/>
    <w:lsdException w:name="HTML Top of Form" w:locked="0"/>
    <w:lsdException w:name="HTML Bottom of Form" w:locked="0"/>
    <w:lsdException w:name="Normal Table" w:locked="0"/>
    <w:lsdException w:name="No List" w:locked="0" w:uiPriority="9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73D"/>
    <w:pPr>
      <w:spacing w:before="200"/>
    </w:pPr>
    <w:rPr>
      <w:rFonts w:ascii="Arial" w:hAnsi="Arial"/>
      <w:sz w:val="22"/>
      <w:szCs w:val="24"/>
      <w:lang w:eastAsia="en-AU"/>
    </w:rPr>
  </w:style>
  <w:style w:type="paragraph" w:styleId="Heading1">
    <w:name w:val="heading 1"/>
    <w:basedOn w:val="Normal"/>
    <w:next w:val="Normal"/>
    <w:qFormat/>
    <w:rsid w:val="0050073D"/>
    <w:pPr>
      <w:keepNext/>
      <w:spacing w:before="360"/>
      <w:outlineLvl w:val="0"/>
    </w:pPr>
    <w:rPr>
      <w:rFonts w:cs="Arial"/>
      <w:kern w:val="36"/>
      <w:sz w:val="44"/>
      <w:szCs w:val="42"/>
    </w:rPr>
  </w:style>
  <w:style w:type="paragraph" w:styleId="Heading2">
    <w:name w:val="heading 2"/>
    <w:basedOn w:val="Normal"/>
    <w:next w:val="Normal"/>
    <w:qFormat/>
    <w:rsid w:val="0050073D"/>
    <w:pPr>
      <w:keepNext/>
      <w:spacing w:before="280"/>
      <w:outlineLvl w:val="1"/>
    </w:pPr>
    <w:rPr>
      <w:rFonts w:cs="Arial"/>
      <w:sz w:val="36"/>
      <w:szCs w:val="38"/>
    </w:rPr>
  </w:style>
  <w:style w:type="paragraph" w:styleId="Heading3">
    <w:name w:val="heading 3"/>
    <w:basedOn w:val="Normal"/>
    <w:next w:val="Normal"/>
    <w:qFormat/>
    <w:rsid w:val="0050073D"/>
    <w:pPr>
      <w:keepNext/>
      <w:spacing w:before="280"/>
      <w:outlineLvl w:val="2"/>
    </w:pPr>
    <w:rPr>
      <w:rFonts w:cs="Arial"/>
      <w:sz w:val="30"/>
      <w:szCs w:val="35"/>
    </w:rPr>
  </w:style>
  <w:style w:type="paragraph" w:styleId="Heading4">
    <w:name w:val="heading 4"/>
    <w:basedOn w:val="Normal"/>
    <w:next w:val="Normal"/>
    <w:link w:val="Heading4Char"/>
    <w:qFormat/>
    <w:rsid w:val="0050073D"/>
    <w:pPr>
      <w:keepNext/>
      <w:outlineLvl w:val="3"/>
    </w:pPr>
    <w:rPr>
      <w:rFonts w:cs="Arial"/>
      <w:b/>
      <w:sz w:val="25"/>
      <w:szCs w:val="31"/>
    </w:rPr>
  </w:style>
  <w:style w:type="paragraph" w:styleId="Heading5">
    <w:name w:val="heading 5"/>
    <w:basedOn w:val="Normal"/>
    <w:link w:val="Heading5Char"/>
    <w:semiHidden/>
    <w:qFormat/>
    <w:rsid w:val="0050073D"/>
    <w:pPr>
      <w:keepNext/>
      <w:spacing w:before="100" w:beforeAutospacing="1" w:after="100" w:afterAutospacing="1"/>
      <w:outlineLvl w:val="4"/>
    </w:pPr>
    <w:rPr>
      <w:rFonts w:cs="Arial"/>
      <w:b/>
      <w:color w:val="404040" w:themeColor="text1" w:themeTint="BF"/>
      <w:sz w:val="24"/>
      <w:szCs w:val="28"/>
    </w:rPr>
  </w:style>
  <w:style w:type="paragraph" w:styleId="Heading6">
    <w:name w:val="heading 6"/>
    <w:basedOn w:val="Normal"/>
    <w:semiHidden/>
    <w:qFormat/>
    <w:rsid w:val="0050073D"/>
    <w:pPr>
      <w:keepNext/>
      <w:spacing w:before="100" w:beforeAutospacing="1" w:after="100" w:afterAutospacing="1"/>
      <w:outlineLvl w:val="5"/>
    </w:pPr>
    <w:rPr>
      <w:bCs/>
      <w:i/>
      <w:color w:val="404040" w:themeColor="text1" w:themeTint="BF"/>
    </w:rPr>
  </w:style>
  <w:style w:type="paragraph" w:styleId="Heading7">
    <w:name w:val="heading 7"/>
    <w:basedOn w:val="Normal"/>
    <w:next w:val="Normal"/>
    <w:semiHidden/>
    <w:qFormat/>
    <w:rsid w:val="0050073D"/>
    <w:pPr>
      <w:keepNext/>
      <w:spacing w:before="240" w:after="60"/>
      <w:outlineLvl w:val="6"/>
    </w:pPr>
    <w:rPr>
      <w:b/>
      <w:color w:val="404040" w:themeColor="text1" w:themeTint="BF"/>
      <w:sz w:val="20"/>
    </w:rPr>
  </w:style>
  <w:style w:type="paragraph" w:styleId="Heading8">
    <w:name w:val="heading 8"/>
    <w:basedOn w:val="Normal"/>
    <w:next w:val="Normal"/>
    <w:semiHidden/>
    <w:qFormat/>
    <w:rsid w:val="0050073D"/>
    <w:pPr>
      <w:keepNext/>
      <w:spacing w:before="240" w:after="60"/>
      <w:outlineLvl w:val="7"/>
    </w:pPr>
    <w:rPr>
      <w:i/>
      <w:iCs/>
      <w:color w:val="404040" w:themeColor="text1" w:themeTint="BF"/>
      <w:sz w:val="20"/>
    </w:rPr>
  </w:style>
  <w:style w:type="paragraph" w:styleId="Heading9">
    <w:name w:val="heading 9"/>
    <w:basedOn w:val="Normal"/>
    <w:next w:val="Normal"/>
    <w:semiHidden/>
    <w:qFormat/>
    <w:rsid w:val="0050073D"/>
    <w:pPr>
      <w:keepNext/>
      <w:spacing w:before="240" w:after="60"/>
      <w:outlineLvl w:val="8"/>
    </w:pPr>
    <w:rPr>
      <w:rFonts w:cs="Arial"/>
      <w:color w:val="404040" w:themeColor="text1" w:themeTint="BF"/>
      <w:sz w:val="20"/>
      <w:szCs w:val="22"/>
    </w:rPr>
  </w:style>
  <w:style w:type="character" w:default="1" w:styleId="DefaultParagraphFont">
    <w:name w:val="Default Paragraph Font"/>
    <w:uiPriority w:val="1"/>
    <w:semiHidden/>
    <w:unhideWhenUsed/>
    <w:rsid w:val="00500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73D"/>
  </w:style>
  <w:style w:type="table" w:customStyle="1" w:styleId="Callout-Direction-OBSOLETE">
    <w:name w:val="Callout - Direction - OBSOLETE"/>
    <w:basedOn w:val="TableNormal"/>
    <w:rsid w:val="0050073D"/>
    <w:rPr>
      <w:rFonts w:ascii="Arial" w:hAnsi="Arial"/>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E5F0F3"/>
      <w:tcMar>
        <w:left w:w="198" w:type="dxa"/>
        <w:bottom w:w="198" w:type="dxa"/>
        <w:right w:w="198" w:type="dxa"/>
      </w:tcMar>
    </w:tcPr>
  </w:style>
  <w:style w:type="character" w:customStyle="1" w:styleId="StyleBoldItalic">
    <w:name w:val="Style Bold Italic"/>
    <w:basedOn w:val="DefaultParagraphFont"/>
    <w:rsid w:val="0050073D"/>
    <w:rPr>
      <w:b/>
      <w:bCs/>
      <w:i/>
      <w:iCs/>
    </w:rPr>
  </w:style>
  <w:style w:type="paragraph" w:customStyle="1" w:styleId="Pagetitle">
    <w:name w:val="Page title"/>
    <w:basedOn w:val="Heading1"/>
    <w:next w:val="Normal"/>
    <w:rsid w:val="0050073D"/>
    <w:pPr>
      <w:spacing w:before="0"/>
    </w:pPr>
    <w:rPr>
      <w:b/>
      <w:sz w:val="48"/>
    </w:rPr>
  </w:style>
  <w:style w:type="table" w:customStyle="1" w:styleId="Tableindent1">
    <w:name w:val="Table indent 1"/>
    <w:basedOn w:val="TableNormal"/>
    <w:rsid w:val="0050073D"/>
    <w:tblP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next w:val="Normal"/>
    <w:rsid w:val="0050073D"/>
    <w:pPr>
      <w:ind w:left="425"/>
    </w:pPr>
    <w:rPr>
      <w:sz w:val="20"/>
    </w:rPr>
  </w:style>
  <w:style w:type="table" w:customStyle="1" w:styleId="Tableindent2">
    <w:name w:val="Table indent 2"/>
    <w:basedOn w:val="TableNormal"/>
    <w:semiHidden/>
    <w:rsid w:val="0050073D"/>
    <w:tblP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indent3">
    <w:name w:val="Table indent 3"/>
    <w:basedOn w:val="TableNormal"/>
    <w:semiHidden/>
    <w:rsid w:val="0050073D"/>
    <w:tblPr>
      <w:tblInd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basedOn w:val="DefaultParagraphFont"/>
    <w:rsid w:val="0050073D"/>
    <w:rPr>
      <w:b/>
      <w:bCs/>
    </w:rPr>
  </w:style>
  <w:style w:type="character" w:customStyle="1" w:styleId="StyleItalic">
    <w:name w:val="Style Italic"/>
    <w:basedOn w:val="DefaultParagraphFont"/>
    <w:rsid w:val="0050073D"/>
    <w:rPr>
      <w:i/>
      <w:iCs/>
    </w:rPr>
  </w:style>
  <w:style w:type="character" w:styleId="Hyperlink">
    <w:name w:val="Hyperlink"/>
    <w:basedOn w:val="DefaultParagraphFont"/>
    <w:unhideWhenUsed/>
    <w:rsid w:val="0050073D"/>
    <w:rPr>
      <w:color w:val="0000FF"/>
      <w:u w:val="single"/>
    </w:rPr>
  </w:style>
  <w:style w:type="paragraph" w:customStyle="1" w:styleId="Indent1">
    <w:name w:val="Indent 1"/>
    <w:basedOn w:val="Normal"/>
    <w:rsid w:val="0050073D"/>
    <w:pPr>
      <w:ind w:left="357"/>
    </w:pPr>
  </w:style>
  <w:style w:type="paragraph" w:customStyle="1" w:styleId="Indent2">
    <w:name w:val="Indent 2"/>
    <w:basedOn w:val="Normal"/>
    <w:semiHidden/>
    <w:rsid w:val="0050073D"/>
    <w:pPr>
      <w:ind w:left="720"/>
    </w:pPr>
  </w:style>
  <w:style w:type="paragraph" w:customStyle="1" w:styleId="Indent3">
    <w:name w:val="Indent 3"/>
    <w:basedOn w:val="Normal"/>
    <w:semiHidden/>
    <w:rsid w:val="0050073D"/>
    <w:pPr>
      <w:ind w:left="851"/>
    </w:pPr>
  </w:style>
  <w:style w:type="character" w:customStyle="1" w:styleId="Link-Internal">
    <w:name w:val="Link - Internal"/>
    <w:basedOn w:val="DefaultParagraphFont"/>
    <w:rsid w:val="0050073D"/>
    <w:rPr>
      <w:color w:val="0000FF"/>
      <w:u w:val="single"/>
      <w:bdr w:val="none" w:sz="0" w:space="0" w:color="auto"/>
      <w:shd w:val="clear" w:color="auto" w:fill="FFCCFF"/>
    </w:rPr>
  </w:style>
  <w:style w:type="character" w:customStyle="1" w:styleId="Superscript">
    <w:name w:val="Superscript"/>
    <w:basedOn w:val="DefaultParagraphFont"/>
    <w:rsid w:val="0050073D"/>
    <w:rPr>
      <w:rFonts w:ascii="Arial" w:hAnsi="Arial"/>
      <w:sz w:val="24"/>
      <w:vertAlign w:val="superscript"/>
    </w:rPr>
  </w:style>
  <w:style w:type="character" w:styleId="FollowedHyperlink">
    <w:name w:val="FollowedHyperlink"/>
    <w:basedOn w:val="DefaultParagraphFont"/>
    <w:unhideWhenUsed/>
    <w:rsid w:val="0050073D"/>
    <w:rPr>
      <w:color w:val="800080"/>
      <w:u w:val="single"/>
    </w:rPr>
  </w:style>
  <w:style w:type="paragraph" w:customStyle="1" w:styleId="Small">
    <w:name w:val="Small"/>
    <w:basedOn w:val="Normal"/>
    <w:rsid w:val="0050073D"/>
    <w:rPr>
      <w:sz w:val="18"/>
      <w:szCs w:val="18"/>
    </w:rPr>
  </w:style>
  <w:style w:type="character" w:customStyle="1" w:styleId="Link-External">
    <w:name w:val="Link - External"/>
    <w:basedOn w:val="DefaultParagraphFont"/>
    <w:rsid w:val="0050073D"/>
    <w:rPr>
      <w:color w:val="0000FF"/>
      <w:u w:val="single"/>
      <w:bdr w:val="none" w:sz="0" w:space="0" w:color="auto"/>
      <w:shd w:val="clear" w:color="auto" w:fill="CCFFFF"/>
    </w:rPr>
  </w:style>
  <w:style w:type="paragraph" w:customStyle="1" w:styleId="Unformatted">
    <w:name w:val="Unformatted"/>
    <w:basedOn w:val="Normal"/>
    <w:rsid w:val="0050073D"/>
    <w:rPr>
      <w:rFonts w:ascii="Comic Sans MS" w:hAnsi="Comic Sans MS"/>
      <w:b/>
      <w:color w:val="FF0000"/>
      <w:sz w:val="28"/>
      <w:szCs w:val="28"/>
    </w:rPr>
  </w:style>
  <w:style w:type="paragraph" w:customStyle="1" w:styleId="Heading1numbered">
    <w:name w:val="Heading 1 numbered"/>
    <w:basedOn w:val="Heading1"/>
    <w:next w:val="Normal"/>
    <w:rsid w:val="0050073D"/>
    <w:pPr>
      <w:numPr>
        <w:numId w:val="5"/>
      </w:numPr>
    </w:pPr>
  </w:style>
  <w:style w:type="paragraph" w:customStyle="1" w:styleId="Heading2numbered">
    <w:name w:val="Heading 2 numbered"/>
    <w:basedOn w:val="Heading2"/>
    <w:next w:val="Normal"/>
    <w:rsid w:val="0050073D"/>
    <w:pPr>
      <w:numPr>
        <w:ilvl w:val="1"/>
        <w:numId w:val="5"/>
      </w:numPr>
    </w:pPr>
  </w:style>
  <w:style w:type="paragraph" w:customStyle="1" w:styleId="Heading3numbered">
    <w:name w:val="Heading 3 numbered"/>
    <w:basedOn w:val="Heading3"/>
    <w:next w:val="Normal"/>
    <w:rsid w:val="0050073D"/>
    <w:pPr>
      <w:numPr>
        <w:ilvl w:val="2"/>
        <w:numId w:val="5"/>
      </w:numPr>
    </w:pPr>
  </w:style>
  <w:style w:type="paragraph" w:customStyle="1" w:styleId="Heading4numbered">
    <w:name w:val="Heading 4 numbered"/>
    <w:basedOn w:val="Heading4"/>
    <w:next w:val="Normal"/>
    <w:rsid w:val="0050073D"/>
    <w:pPr>
      <w:numPr>
        <w:ilvl w:val="3"/>
        <w:numId w:val="5"/>
      </w:numPr>
    </w:pPr>
  </w:style>
  <w:style w:type="character" w:customStyle="1" w:styleId="Link-Newwindow">
    <w:name w:val="Link - New window"/>
    <w:basedOn w:val="DefaultParagraphFont"/>
    <w:rsid w:val="0050073D"/>
    <w:rPr>
      <w:color w:val="0000FF"/>
      <w:u w:val="single"/>
      <w:bdr w:val="none" w:sz="0" w:space="0" w:color="auto"/>
      <w:shd w:val="clear" w:color="auto" w:fill="CCFF99"/>
    </w:rPr>
  </w:style>
  <w:style w:type="character" w:customStyle="1" w:styleId="Link-Footnote">
    <w:name w:val="Link - Footnote"/>
    <w:basedOn w:val="Link-External"/>
    <w:semiHidden/>
    <w:rsid w:val="0050073D"/>
    <w:rPr>
      <w:color w:val="0000FF"/>
      <w:u w:val="single"/>
      <w:bdr w:val="none" w:sz="0" w:space="0" w:color="auto"/>
      <w:shd w:val="clear" w:color="auto" w:fill="auto"/>
      <w:vertAlign w:val="superscript"/>
    </w:rPr>
  </w:style>
  <w:style w:type="character" w:customStyle="1" w:styleId="Link-Bookmark">
    <w:name w:val="Link - Bookmark"/>
    <w:basedOn w:val="DefaultParagraphFont"/>
    <w:rsid w:val="0050073D"/>
    <w:rPr>
      <w:color w:val="0000FF"/>
      <w:u w:val="single"/>
      <w:bdr w:val="none" w:sz="0" w:space="0" w:color="auto"/>
      <w:shd w:val="clear" w:color="auto" w:fill="FFCC99"/>
    </w:rPr>
  </w:style>
  <w:style w:type="paragraph" w:customStyle="1" w:styleId="Tablecaption">
    <w:name w:val="Table caption"/>
    <w:basedOn w:val="Normal"/>
    <w:next w:val="Tablesummary"/>
    <w:rsid w:val="0050073D"/>
    <w:pPr>
      <w:spacing w:before="280"/>
    </w:pPr>
    <w:rPr>
      <w:b/>
    </w:rPr>
  </w:style>
  <w:style w:type="paragraph" w:customStyle="1" w:styleId="Tablesummary">
    <w:name w:val="Table summary"/>
    <w:basedOn w:val="Normal"/>
    <w:next w:val="Normal"/>
    <w:rsid w:val="0050073D"/>
    <w:rPr>
      <w:color w:val="808080"/>
    </w:rPr>
  </w:style>
  <w:style w:type="character" w:customStyle="1" w:styleId="Bold">
    <w:name w:val="Bold"/>
    <w:basedOn w:val="DefaultParagraphFont"/>
    <w:semiHidden/>
    <w:locked/>
    <w:rsid w:val="00130179"/>
    <w:rPr>
      <w:b/>
      <w:bCs w:val="0"/>
      <w:noProof w:val="0"/>
      <w:lang w:val="en-AU"/>
    </w:rPr>
  </w:style>
  <w:style w:type="table" w:customStyle="1" w:styleId="Tablewithborder">
    <w:name w:val="Table with border"/>
    <w:basedOn w:val="TableNormal"/>
    <w:rsid w:val="00500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ithoutborder">
    <w:name w:val="Table without border"/>
    <w:basedOn w:val="TableNormal"/>
    <w:rsid w:val="0050073D"/>
    <w:tblPr/>
  </w:style>
  <w:style w:type="paragraph" w:customStyle="1" w:styleId="Tableheading">
    <w:name w:val="Table heading"/>
    <w:basedOn w:val="Normal"/>
    <w:rsid w:val="0050073D"/>
    <w:pPr>
      <w:shd w:val="pct30" w:color="auto" w:fill="auto"/>
    </w:pPr>
    <w:rPr>
      <w:b/>
    </w:rPr>
  </w:style>
  <w:style w:type="numbering" w:customStyle="1" w:styleId="Redundant">
    <w:name w:val="Redundant"/>
    <w:basedOn w:val="NoList"/>
    <w:semiHidden/>
    <w:rsid w:val="0050073D"/>
    <w:pPr>
      <w:numPr>
        <w:numId w:val="4"/>
      </w:numPr>
    </w:pPr>
  </w:style>
  <w:style w:type="paragraph" w:customStyle="1" w:styleId="Secondarybutton">
    <w:name w:val="Secondary button"/>
    <w:basedOn w:val="Primarybutton"/>
    <w:next w:val="Normal"/>
    <w:rsid w:val="0050073D"/>
    <w:pPr>
      <w:shd w:val="clear" w:color="auto" w:fill="E0E0E0"/>
    </w:pPr>
    <w:rPr>
      <w:color w:val="auto"/>
    </w:rPr>
  </w:style>
  <w:style w:type="paragraph" w:customStyle="1" w:styleId="Primarybutton">
    <w:name w:val="Primary button"/>
    <w:next w:val="Normal"/>
    <w:rsid w:val="0050073D"/>
    <w:pPr>
      <w:pBdr>
        <w:top w:val="single" w:sz="8" w:space="6" w:color="999999"/>
        <w:left w:val="single" w:sz="8" w:space="12" w:color="999999"/>
        <w:bottom w:val="single" w:sz="8" w:space="6" w:color="999999"/>
        <w:right w:val="single" w:sz="8" w:space="12" w:color="999999"/>
      </w:pBdr>
      <w:shd w:val="clear" w:color="auto" w:fill="369496"/>
      <w:spacing w:before="100" w:beforeAutospacing="1" w:after="100" w:afterAutospacing="1"/>
      <w:jc w:val="center"/>
      <w:textAlignment w:val="center"/>
    </w:pPr>
    <w:rPr>
      <w:rFonts w:ascii="Arial" w:hAnsi="Arial"/>
      <w:b/>
      <w:color w:val="FFFFFF" w:themeColor="background1"/>
      <w:sz w:val="26"/>
      <w:szCs w:val="24"/>
      <w:lang w:eastAsia="en-AU"/>
    </w:rPr>
  </w:style>
  <w:style w:type="character" w:customStyle="1" w:styleId="Heading4Char">
    <w:name w:val="Heading 4 Char"/>
    <w:basedOn w:val="DefaultParagraphFont"/>
    <w:link w:val="Heading4"/>
    <w:rsid w:val="009D2BA2"/>
    <w:rPr>
      <w:rFonts w:ascii="Arial" w:hAnsi="Arial" w:cs="Arial"/>
      <w:b/>
      <w:sz w:val="25"/>
      <w:szCs w:val="31"/>
      <w:lang w:eastAsia="en-AU"/>
    </w:rPr>
  </w:style>
  <w:style w:type="character" w:customStyle="1" w:styleId="Heading5Char">
    <w:name w:val="Heading 5 Char"/>
    <w:basedOn w:val="DefaultParagraphFont"/>
    <w:link w:val="Heading5"/>
    <w:semiHidden/>
    <w:rsid w:val="004F64FB"/>
    <w:rPr>
      <w:rFonts w:ascii="Arial" w:hAnsi="Arial" w:cs="Arial"/>
      <w:b/>
      <w:color w:val="404040" w:themeColor="text1" w:themeTint="BF"/>
      <w:sz w:val="24"/>
      <w:szCs w:val="28"/>
      <w:lang w:eastAsia="en-AU"/>
    </w:rPr>
  </w:style>
  <w:style w:type="table" w:customStyle="1" w:styleId="Callout-Direction-getitdone-OBSOLETE">
    <w:name w:val="Callout - Direction - get it done - OBSOLETE"/>
    <w:basedOn w:val="Callout-Direction-OBSOLETE"/>
    <w:rsid w:val="0050073D"/>
    <w:tblPr/>
    <w:tcPr>
      <w:shd w:val="clear" w:color="auto" w:fill="E5F0F3"/>
    </w:tcPr>
  </w:style>
  <w:style w:type="table" w:customStyle="1" w:styleId="Callout-Direction-findoutmore-OBSOLETE">
    <w:name w:val="Callout - Direction - find out more - OBSOLETE"/>
    <w:basedOn w:val="Callout-Direction-OBSOLETE"/>
    <w:rsid w:val="0050073D"/>
    <w:tblPr/>
    <w:tcPr>
      <w:shd w:val="clear" w:color="auto" w:fill="E5F0F3"/>
    </w:tcPr>
  </w:style>
  <w:style w:type="table" w:customStyle="1" w:styleId="Callout-Direction-Watch">
    <w:name w:val="Callout - Direction - Watch"/>
    <w:basedOn w:val="Callout-Direction-OBSOLETE"/>
    <w:rsid w:val="0050073D"/>
    <w:tblPr/>
    <w:tcPr>
      <w:shd w:val="clear" w:color="auto" w:fill="E5F0F3"/>
    </w:tcPr>
  </w:style>
  <w:style w:type="table" w:customStyle="1" w:styleId="Callout-Direction-listen-OBSOLETE">
    <w:name w:val="Callout - Direction - listen - OBSOLETE"/>
    <w:basedOn w:val="Callout-Direction-OBSOLETE"/>
    <w:rsid w:val="0050073D"/>
    <w:tblPr/>
    <w:tcPr>
      <w:shd w:val="clear" w:color="auto" w:fill="E5F0F3"/>
    </w:tcPr>
  </w:style>
  <w:style w:type="table" w:customStyle="1" w:styleId="Callout-Direction-help-OBSOLETE">
    <w:name w:val="Callout - Direction - help - OBSOLETE"/>
    <w:basedOn w:val="Callout-Direction-OBSOLETE"/>
    <w:rsid w:val="0050073D"/>
    <w:tblPr/>
    <w:tcPr>
      <w:shd w:val="clear" w:color="auto" w:fill="E5F0F3"/>
    </w:tcPr>
  </w:style>
  <w:style w:type="table" w:customStyle="1" w:styleId="Callout-Attention-OBSOLETE">
    <w:name w:val="Callout - Attention - OBSOLETE"/>
    <w:basedOn w:val="Callout-Direction-OBSOLETE"/>
    <w:rsid w:val="0050073D"/>
    <w:tblPr>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Pr>
    <w:tcPr>
      <w:shd w:val="clear" w:color="auto" w:fill="FFFF99"/>
    </w:tcPr>
  </w:style>
  <w:style w:type="table" w:customStyle="1" w:styleId="Callout-Danger-OBSOLETE">
    <w:name w:val="Callout - Danger - OBSOLETE"/>
    <w:basedOn w:val="Callout-Direction-OBSOLETE"/>
    <w:rsid w:val="0050073D"/>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E1CCC5"/>
    </w:tcPr>
  </w:style>
  <w:style w:type="table" w:customStyle="1" w:styleId="Callout-Error-OBSOLETE">
    <w:name w:val="Callout - Error - OBSOLETE"/>
    <w:basedOn w:val="Callout-Direction-OBSOLETE"/>
    <w:rsid w:val="0050073D"/>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auto"/>
    </w:tcPr>
  </w:style>
  <w:style w:type="table" w:customStyle="1" w:styleId="Callout-Complete-OBSOLETE">
    <w:name w:val="Callout - Complete - OBSOLETE"/>
    <w:basedOn w:val="Callout-Error-OBSOLETE"/>
    <w:rsid w:val="0050073D"/>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Pr>
    <w:tcPr>
      <w:shd w:val="clear" w:color="auto" w:fill="auto"/>
    </w:tcPr>
  </w:style>
  <w:style w:type="table" w:customStyle="1" w:styleId="Callout-Example">
    <w:name w:val="Callout - Example"/>
    <w:basedOn w:val="Callout-Direction-workitout-OBSOLETE"/>
    <w:rsid w:val="0050073D"/>
    <w:tblPr>
      <w:tblBorders>
        <w:top w:val="single" w:sz="18" w:space="0" w:color="808080"/>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99CCFF"/>
    </w:tcPr>
  </w:style>
  <w:style w:type="table" w:customStyle="1" w:styleId="Callout-Direction-workitout-OBSOLETE">
    <w:name w:val="Callout - Direction - work it out - OBSOLETE"/>
    <w:basedOn w:val="Callout-Direction-OBSOLETE"/>
    <w:rsid w:val="0050073D"/>
    <w:tblPr>
      <w:tblCellMar>
        <w:left w:w="0" w:type="dxa"/>
        <w:right w:w="0" w:type="dxa"/>
      </w:tblCellMar>
    </w:tblPr>
    <w:tcPr>
      <w:shd w:val="clear" w:color="auto" w:fill="E5F0F3"/>
      <w:tcMar>
        <w:top w:w="0" w:type="dxa"/>
        <w:left w:w="200" w:type="dxa"/>
        <w:right w:w="200" w:type="dxa"/>
      </w:tcMar>
    </w:tcPr>
  </w:style>
  <w:style w:type="character" w:customStyle="1" w:styleId="Link-Internalbold">
    <w:name w:val="Link - Internal (bold)"/>
    <w:basedOn w:val="Link-Internal"/>
    <w:rsid w:val="0050073D"/>
    <w:rPr>
      <w:b/>
      <w:color w:val="0000FF"/>
      <w:u w:val="single"/>
      <w:bdr w:val="none" w:sz="0" w:space="0" w:color="auto"/>
      <w:shd w:val="clear" w:color="auto" w:fill="FFCCFF"/>
    </w:rPr>
  </w:style>
  <w:style w:type="character" w:customStyle="1" w:styleId="Link-Internalitalics">
    <w:name w:val="Link - Internal (italics)"/>
    <w:basedOn w:val="Link-Internal"/>
    <w:rsid w:val="0050073D"/>
    <w:rPr>
      <w:i/>
      <w:color w:val="0000FF"/>
      <w:u w:val="single"/>
      <w:bdr w:val="none" w:sz="0" w:space="0" w:color="auto"/>
      <w:shd w:val="clear" w:color="auto" w:fill="FFCCFF"/>
    </w:rPr>
  </w:style>
  <w:style w:type="character" w:customStyle="1" w:styleId="StyleUnderline">
    <w:name w:val="Style Underline"/>
    <w:basedOn w:val="DefaultParagraphFont"/>
    <w:rsid w:val="0050073D"/>
    <w:rPr>
      <w:u w:val="single"/>
    </w:rPr>
  </w:style>
  <w:style w:type="paragraph" w:customStyle="1" w:styleId="Normalcentre">
    <w:name w:val="Normal centre"/>
    <w:basedOn w:val="Normal"/>
    <w:rsid w:val="0050073D"/>
    <w:pPr>
      <w:jc w:val="center"/>
    </w:pPr>
  </w:style>
  <w:style w:type="paragraph" w:customStyle="1" w:styleId="Normalright">
    <w:name w:val="Normal right"/>
    <w:basedOn w:val="Normal"/>
    <w:rsid w:val="0050073D"/>
    <w:pPr>
      <w:jc w:val="right"/>
    </w:pPr>
  </w:style>
  <w:style w:type="paragraph" w:customStyle="1" w:styleId="Tableheadingcentre">
    <w:name w:val="Table heading centre"/>
    <w:basedOn w:val="Tableheading"/>
    <w:rsid w:val="0050073D"/>
    <w:pPr>
      <w:jc w:val="center"/>
    </w:pPr>
  </w:style>
  <w:style w:type="paragraph" w:customStyle="1" w:styleId="Tableheadingright">
    <w:name w:val="Table heading right"/>
    <w:basedOn w:val="Tableheading"/>
    <w:rsid w:val="0050073D"/>
    <w:pPr>
      <w:jc w:val="right"/>
    </w:pPr>
  </w:style>
  <w:style w:type="paragraph" w:styleId="DocumentMap">
    <w:name w:val="Document Map"/>
    <w:basedOn w:val="Normal"/>
    <w:semiHidden/>
    <w:locked/>
    <w:rsid w:val="001418DC"/>
    <w:pPr>
      <w:shd w:val="clear" w:color="auto" w:fill="000080"/>
    </w:pPr>
    <w:rPr>
      <w:rFonts w:ascii="Tahoma" w:hAnsi="Tahoma" w:cs="Tahoma"/>
      <w:sz w:val="20"/>
      <w:szCs w:val="20"/>
    </w:rPr>
  </w:style>
  <w:style w:type="paragraph" w:styleId="ListParagraph">
    <w:name w:val="List Paragraph"/>
    <w:basedOn w:val="Normal"/>
    <w:uiPriority w:val="34"/>
    <w:qFormat/>
    <w:locked/>
    <w:rsid w:val="0018349C"/>
    <w:pPr>
      <w:ind w:left="720"/>
      <w:contextualSpacing/>
    </w:pPr>
  </w:style>
  <w:style w:type="table" w:styleId="TableGrid">
    <w:name w:val="Table Grid"/>
    <w:basedOn w:val="TableNormal"/>
    <w:locked/>
    <w:rsid w:val="00183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BB6BC2"/>
    <w:pPr>
      <w:spacing w:before="0"/>
    </w:pPr>
    <w:rPr>
      <w:rFonts w:ascii="Tahoma" w:hAnsi="Tahoma" w:cs="Tahoma"/>
      <w:sz w:val="16"/>
      <w:szCs w:val="16"/>
    </w:rPr>
  </w:style>
  <w:style w:type="character" w:customStyle="1" w:styleId="BalloonTextChar">
    <w:name w:val="Balloon Text Char"/>
    <w:basedOn w:val="DefaultParagraphFont"/>
    <w:link w:val="BalloonText"/>
    <w:rsid w:val="00BB6BC2"/>
    <w:rPr>
      <w:rFonts w:ascii="Tahoma" w:hAnsi="Tahoma" w:cs="Tahoma"/>
      <w:sz w:val="16"/>
      <w:szCs w:val="16"/>
      <w:lang w:eastAsia="en-AU"/>
    </w:rPr>
  </w:style>
  <w:style w:type="paragraph" w:customStyle="1" w:styleId="YouTubeVideoEmbedded">
    <w:name w:val="YouTube Video Embedded"/>
    <w:basedOn w:val="Normal"/>
    <w:next w:val="Normal"/>
    <w:qFormat/>
    <w:rsid w:val="0050073D"/>
    <w:pPr>
      <w:pBdr>
        <w:top w:val="single" w:sz="4" w:space="4" w:color="auto"/>
        <w:left w:val="single" w:sz="4" w:space="4" w:color="auto"/>
        <w:bottom w:val="single" w:sz="4" w:space="4" w:color="auto"/>
        <w:right w:val="single" w:sz="4" w:space="4" w:color="auto"/>
      </w:pBdr>
      <w:shd w:val="clear" w:color="auto" w:fill="29FF8A"/>
      <w:spacing w:before="0"/>
    </w:pPr>
    <w:rPr>
      <w:sz w:val="28"/>
    </w:rPr>
  </w:style>
  <w:style w:type="paragraph" w:customStyle="1" w:styleId="Blockquotelist1">
    <w:name w:val="Blockquote list 1"/>
    <w:basedOn w:val="Normal"/>
    <w:semiHidden/>
    <w:qFormat/>
    <w:rsid w:val="0050073D"/>
    <w:pPr>
      <w:numPr>
        <w:numId w:val="28"/>
      </w:numPr>
    </w:pPr>
    <w:rPr>
      <w:sz w:val="20"/>
    </w:rPr>
  </w:style>
  <w:style w:type="paragraph" w:customStyle="1" w:styleId="Bulletedlist1">
    <w:name w:val="Bulleted list 1"/>
    <w:basedOn w:val="Normal"/>
    <w:qFormat/>
    <w:rsid w:val="0050073D"/>
    <w:pPr>
      <w:numPr>
        <w:numId w:val="8"/>
      </w:numPr>
    </w:pPr>
  </w:style>
  <w:style w:type="paragraph" w:customStyle="1" w:styleId="Bulletedlist2">
    <w:name w:val="Bulleted list 2"/>
    <w:basedOn w:val="Bulletedlist1"/>
    <w:qFormat/>
    <w:rsid w:val="0050073D"/>
    <w:pPr>
      <w:numPr>
        <w:ilvl w:val="1"/>
      </w:numPr>
    </w:pPr>
  </w:style>
  <w:style w:type="paragraph" w:customStyle="1" w:styleId="Bulletedlist3">
    <w:name w:val="Bulleted list 3"/>
    <w:basedOn w:val="Bulletedlist1"/>
    <w:qFormat/>
    <w:rsid w:val="0050073D"/>
    <w:pPr>
      <w:numPr>
        <w:ilvl w:val="2"/>
      </w:numPr>
    </w:pPr>
  </w:style>
  <w:style w:type="paragraph" w:styleId="ListBullet2">
    <w:name w:val="List Bullet 2"/>
    <w:basedOn w:val="Normal"/>
    <w:locked/>
    <w:rsid w:val="00B920B7"/>
    <w:pPr>
      <w:contextualSpacing/>
    </w:pPr>
  </w:style>
  <w:style w:type="paragraph" w:customStyle="1" w:styleId="Numberedlistnumericstart1">
    <w:name w:val="Numbered list (numeric start) 1"/>
    <w:basedOn w:val="Normal"/>
    <w:qFormat/>
    <w:rsid w:val="0050073D"/>
    <w:pPr>
      <w:numPr>
        <w:numId w:val="14"/>
      </w:numPr>
    </w:pPr>
  </w:style>
  <w:style w:type="paragraph" w:customStyle="1" w:styleId="Numberedlistnumericstart2">
    <w:name w:val="Numbered list (numeric start) 2"/>
    <w:basedOn w:val="Numberedlistnumericstart1"/>
    <w:qFormat/>
    <w:rsid w:val="0050073D"/>
    <w:pPr>
      <w:numPr>
        <w:ilvl w:val="1"/>
      </w:numPr>
      <w:tabs>
        <w:tab w:val="num" w:pos="360"/>
      </w:tabs>
      <w:ind w:left="425" w:hanging="425"/>
    </w:pPr>
  </w:style>
  <w:style w:type="paragraph" w:customStyle="1" w:styleId="Numberedlistnumericstart3">
    <w:name w:val="Numbered list (numeric start) 3"/>
    <w:basedOn w:val="Numberedlistnumericstart1"/>
    <w:qFormat/>
    <w:rsid w:val="0050073D"/>
    <w:pPr>
      <w:numPr>
        <w:ilvl w:val="2"/>
      </w:numPr>
      <w:tabs>
        <w:tab w:val="num" w:pos="360"/>
      </w:tabs>
      <w:ind w:left="425"/>
    </w:pPr>
  </w:style>
  <w:style w:type="paragraph" w:customStyle="1" w:styleId="Numberedlistnumericstart4">
    <w:name w:val="Numbered list (numeric start) 4"/>
    <w:basedOn w:val="Numberedlistnumericstart1"/>
    <w:qFormat/>
    <w:rsid w:val="0050073D"/>
    <w:pPr>
      <w:numPr>
        <w:ilvl w:val="3"/>
      </w:numPr>
    </w:pPr>
  </w:style>
  <w:style w:type="paragraph" w:customStyle="1" w:styleId="Numberedlistnumericstart5">
    <w:name w:val="Numbered list (numeric start) 5"/>
    <w:basedOn w:val="Numberedlistnumericstart1"/>
    <w:qFormat/>
    <w:rsid w:val="0050073D"/>
    <w:pPr>
      <w:numPr>
        <w:ilvl w:val="4"/>
      </w:numPr>
      <w:tabs>
        <w:tab w:val="num" w:pos="360"/>
      </w:tabs>
      <w:ind w:left="425"/>
    </w:pPr>
  </w:style>
  <w:style w:type="paragraph" w:customStyle="1" w:styleId="Numberedlistalphastart1">
    <w:name w:val="Numbered list (alpha start) 1"/>
    <w:basedOn w:val="Normal"/>
    <w:qFormat/>
    <w:rsid w:val="0050073D"/>
    <w:pPr>
      <w:numPr>
        <w:numId w:val="11"/>
      </w:numPr>
    </w:pPr>
  </w:style>
  <w:style w:type="paragraph" w:customStyle="1" w:styleId="Numberedlistalphastart2">
    <w:name w:val="Numbered list (alpha start) 2"/>
    <w:basedOn w:val="Numberedlistalphastart1"/>
    <w:qFormat/>
    <w:rsid w:val="0050073D"/>
    <w:pPr>
      <w:numPr>
        <w:ilvl w:val="1"/>
      </w:numPr>
    </w:pPr>
  </w:style>
  <w:style w:type="paragraph" w:customStyle="1" w:styleId="Numberedlistalphastart3">
    <w:name w:val="Numbered list (alpha start) 3"/>
    <w:basedOn w:val="Numberedlistalphastart1"/>
    <w:qFormat/>
    <w:rsid w:val="0050073D"/>
    <w:pPr>
      <w:numPr>
        <w:ilvl w:val="2"/>
      </w:numPr>
    </w:pPr>
  </w:style>
  <w:style w:type="paragraph" w:customStyle="1" w:styleId="Numberedlistalphastart4">
    <w:name w:val="Numbered list (alpha start) 4"/>
    <w:basedOn w:val="Numberedlistalphastart1"/>
    <w:qFormat/>
    <w:rsid w:val="0050073D"/>
    <w:pPr>
      <w:numPr>
        <w:ilvl w:val="3"/>
      </w:numPr>
    </w:pPr>
  </w:style>
  <w:style w:type="paragraph" w:customStyle="1" w:styleId="Blockquotelist2">
    <w:name w:val="Blockquote list 2"/>
    <w:basedOn w:val="Blockquotelist1"/>
    <w:semiHidden/>
    <w:qFormat/>
    <w:rsid w:val="0050073D"/>
    <w:pPr>
      <w:numPr>
        <w:ilvl w:val="1"/>
      </w:numPr>
    </w:pPr>
  </w:style>
  <w:style w:type="paragraph" w:customStyle="1" w:styleId="DocInfo">
    <w:name w:val="DocInfo"/>
    <w:basedOn w:val="Normal"/>
    <w:link w:val="DocInfoChar"/>
    <w:qFormat/>
    <w:rsid w:val="0050073D"/>
    <w:pPr>
      <w:pBdr>
        <w:top w:val="single" w:sz="4" w:space="1" w:color="943634" w:themeColor="accent2" w:themeShade="BF"/>
        <w:bottom w:val="single" w:sz="4" w:space="1" w:color="943634" w:themeColor="accent2" w:themeShade="BF"/>
      </w:pBdr>
      <w:spacing w:before="120"/>
    </w:pPr>
    <w:rPr>
      <w:color w:val="404040" w:themeColor="text1" w:themeTint="BF"/>
      <w:sz w:val="20"/>
      <w:szCs w:val="20"/>
    </w:rPr>
  </w:style>
  <w:style w:type="character" w:styleId="PlaceholderText">
    <w:name w:val="Placeholder Text"/>
    <w:basedOn w:val="DefaultParagraphFont"/>
    <w:uiPriority w:val="99"/>
    <w:semiHidden/>
    <w:rsid w:val="0050073D"/>
    <w:rPr>
      <w:color w:val="808080"/>
    </w:rPr>
  </w:style>
  <w:style w:type="character" w:customStyle="1" w:styleId="DocInfoChar">
    <w:name w:val="DocInfo Char"/>
    <w:basedOn w:val="DefaultParagraphFont"/>
    <w:link w:val="DocInfo"/>
    <w:rsid w:val="00823919"/>
    <w:rPr>
      <w:rFonts w:ascii="Arial" w:hAnsi="Arial"/>
      <w:color w:val="404040" w:themeColor="text1" w:themeTint="BF"/>
      <w:lang w:eastAsia="en-AU"/>
    </w:rPr>
  </w:style>
  <w:style w:type="table" w:customStyle="1" w:styleId="Tablelarge">
    <w:name w:val="Table large"/>
    <w:basedOn w:val="Tablewithborder"/>
    <w:uiPriority w:val="99"/>
    <w:rsid w:val="0050073D"/>
    <w:tblPr/>
  </w:style>
  <w:style w:type="paragraph" w:customStyle="1" w:styleId="DocInfoLocked">
    <w:name w:val="DocInfoLocked"/>
    <w:basedOn w:val="DocInfo"/>
    <w:link w:val="DocInfoLockedChar"/>
    <w:rsid w:val="0050073D"/>
    <w:rPr>
      <w:color w:val="943634" w:themeColor="accent2" w:themeShade="BF"/>
    </w:rPr>
  </w:style>
  <w:style w:type="character" w:customStyle="1" w:styleId="DocInfoLockedChar">
    <w:name w:val="DocInfoLocked Char"/>
    <w:basedOn w:val="DocInfoChar"/>
    <w:link w:val="DocInfoLocked"/>
    <w:rsid w:val="00AE2F45"/>
    <w:rPr>
      <w:rFonts w:ascii="Arial" w:hAnsi="Arial"/>
      <w:color w:val="943634" w:themeColor="accent2" w:themeShade="BF"/>
      <w:lang w:eastAsia="en-AU"/>
    </w:rPr>
  </w:style>
  <w:style w:type="paragraph" w:styleId="Header">
    <w:name w:val="header"/>
    <w:basedOn w:val="Normal"/>
    <w:link w:val="HeaderChar"/>
    <w:locked/>
    <w:rsid w:val="00547191"/>
    <w:pPr>
      <w:tabs>
        <w:tab w:val="center" w:pos="4513"/>
        <w:tab w:val="right" w:pos="9026"/>
      </w:tabs>
      <w:spacing w:before="0"/>
    </w:pPr>
  </w:style>
  <w:style w:type="character" w:customStyle="1" w:styleId="HeaderChar">
    <w:name w:val="Header Char"/>
    <w:basedOn w:val="DefaultParagraphFont"/>
    <w:link w:val="Header"/>
    <w:rsid w:val="00547191"/>
    <w:rPr>
      <w:rFonts w:ascii="Arial" w:hAnsi="Arial"/>
      <w:sz w:val="22"/>
      <w:szCs w:val="24"/>
      <w:lang w:eastAsia="en-AU"/>
    </w:rPr>
  </w:style>
  <w:style w:type="paragraph" w:styleId="Footer">
    <w:name w:val="footer"/>
    <w:basedOn w:val="Normal"/>
    <w:link w:val="FooterChar"/>
    <w:locked/>
    <w:rsid w:val="00547191"/>
    <w:pPr>
      <w:tabs>
        <w:tab w:val="center" w:pos="4513"/>
        <w:tab w:val="right" w:pos="9026"/>
      </w:tabs>
      <w:spacing w:before="0"/>
    </w:pPr>
  </w:style>
  <w:style w:type="character" w:customStyle="1" w:styleId="FooterChar">
    <w:name w:val="Footer Char"/>
    <w:basedOn w:val="DefaultParagraphFont"/>
    <w:link w:val="Footer"/>
    <w:rsid w:val="00547191"/>
    <w:rPr>
      <w:rFonts w:ascii="Arial" w:hAnsi="Arial"/>
      <w:sz w:val="22"/>
      <w:szCs w:val="24"/>
      <w:lang w:eastAsia="en-AU"/>
    </w:rPr>
  </w:style>
  <w:style w:type="character" w:customStyle="1" w:styleId="Link-Download">
    <w:name w:val="Link - Download"/>
    <w:basedOn w:val="Link-Internal"/>
    <w:qFormat/>
    <w:rsid w:val="0050073D"/>
    <w:rPr>
      <w:color w:val="0000FF"/>
      <w:u w:val="single"/>
      <w:bdr w:val="none" w:sz="0" w:space="0" w:color="auto"/>
      <w:shd w:val="clear" w:color="auto" w:fill="C4BC96" w:themeFill="background2" w:themeFillShade="BF"/>
    </w:rPr>
  </w:style>
  <w:style w:type="character" w:styleId="CommentReference">
    <w:name w:val="annotation reference"/>
    <w:basedOn w:val="DefaultParagraphFont"/>
    <w:locked/>
    <w:rsid w:val="00E57E7D"/>
    <w:rPr>
      <w:sz w:val="16"/>
      <w:szCs w:val="16"/>
    </w:rPr>
  </w:style>
  <w:style w:type="paragraph" w:styleId="CommentText">
    <w:name w:val="annotation text"/>
    <w:basedOn w:val="Normal"/>
    <w:link w:val="CommentTextChar"/>
    <w:locked/>
    <w:rsid w:val="00E57E7D"/>
    <w:rPr>
      <w:sz w:val="20"/>
      <w:szCs w:val="20"/>
    </w:rPr>
  </w:style>
  <w:style w:type="character" w:customStyle="1" w:styleId="CommentTextChar">
    <w:name w:val="Comment Text Char"/>
    <w:basedOn w:val="DefaultParagraphFont"/>
    <w:link w:val="CommentText"/>
    <w:rsid w:val="00E57E7D"/>
    <w:rPr>
      <w:rFonts w:ascii="Arial" w:hAnsi="Arial"/>
      <w:lang w:eastAsia="en-AU"/>
    </w:rPr>
  </w:style>
  <w:style w:type="paragraph" w:styleId="CommentSubject">
    <w:name w:val="annotation subject"/>
    <w:basedOn w:val="CommentText"/>
    <w:next w:val="CommentText"/>
    <w:link w:val="CommentSubjectChar"/>
    <w:locked/>
    <w:rsid w:val="00E57E7D"/>
    <w:rPr>
      <w:b/>
      <w:bCs/>
    </w:rPr>
  </w:style>
  <w:style w:type="character" w:customStyle="1" w:styleId="CommentSubjectChar">
    <w:name w:val="Comment Subject Char"/>
    <w:basedOn w:val="CommentTextChar"/>
    <w:link w:val="CommentSubject"/>
    <w:rsid w:val="00E57E7D"/>
    <w:rPr>
      <w:rFonts w:ascii="Arial" w:hAnsi="Arial"/>
      <w:b/>
      <w:bCs/>
      <w:lang w:eastAsia="en-AU"/>
    </w:rPr>
  </w:style>
  <w:style w:type="paragraph" w:styleId="Revision">
    <w:name w:val="Revision"/>
    <w:hidden/>
    <w:uiPriority w:val="99"/>
    <w:semiHidden/>
    <w:rsid w:val="0050073D"/>
    <w:rPr>
      <w:rFonts w:ascii="Arial" w:hAnsi="Arial"/>
      <w:sz w:val="22"/>
      <w:szCs w:val="24"/>
      <w:lang w:eastAsia="en-AU"/>
    </w:rPr>
  </w:style>
  <w:style w:type="paragraph" w:customStyle="1" w:styleId="VioStreamEmbeddedVideo">
    <w:name w:val="VioStream Embedded Video"/>
    <w:basedOn w:val="YouTubeVideoEmbedded"/>
    <w:qFormat/>
    <w:rsid w:val="0050073D"/>
  </w:style>
  <w:style w:type="character" w:customStyle="1" w:styleId="atoTV-printChar">
    <w:name w:val="atoTV-print Char"/>
    <w:basedOn w:val="DefaultParagraphFont"/>
    <w:link w:val="atoTV-print"/>
    <w:locked/>
    <w:rsid w:val="00275EB2"/>
    <w:rPr>
      <w:rFonts w:ascii="Arial" w:hAnsi="Arial"/>
      <w:sz w:val="24"/>
      <w:szCs w:val="24"/>
      <w:shd w:val="clear" w:color="auto" w:fill="B1F1B3"/>
      <w:lang w:eastAsia="en-AU"/>
    </w:rPr>
  </w:style>
  <w:style w:type="paragraph" w:customStyle="1" w:styleId="atoTV-print">
    <w:name w:val="atoTV-print"/>
    <w:basedOn w:val="Normal"/>
    <w:next w:val="Normal"/>
    <w:link w:val="atoTV-printChar"/>
    <w:qFormat/>
    <w:rsid w:val="0050073D"/>
    <w:pPr>
      <w:shd w:val="clear" w:color="auto" w:fill="B1F1B3"/>
    </w:pPr>
    <w:rPr>
      <w:sz w:val="24"/>
    </w:rPr>
  </w:style>
  <w:style w:type="character" w:customStyle="1" w:styleId="atoTV-frameChar">
    <w:name w:val="atoTV-frame Char"/>
    <w:basedOn w:val="DefaultParagraphFont"/>
    <w:link w:val="atoTV-frame"/>
    <w:locked/>
    <w:rsid w:val="00275EB2"/>
    <w:rPr>
      <w:rFonts w:ascii="Arial" w:hAnsi="Arial" w:cs="Arial"/>
      <w:sz w:val="24"/>
      <w:szCs w:val="24"/>
      <w:shd w:val="clear" w:color="auto" w:fill="99FFCC"/>
      <w:lang w:eastAsia="en-AU"/>
    </w:rPr>
  </w:style>
  <w:style w:type="paragraph" w:customStyle="1" w:styleId="atoTV-frame">
    <w:name w:val="atoTV-frame"/>
    <w:next w:val="atoTV-print"/>
    <w:link w:val="atoTV-frameChar"/>
    <w:qFormat/>
    <w:rsid w:val="0050073D"/>
    <w:pPr>
      <w:shd w:val="clear" w:color="auto" w:fill="99FFCC"/>
    </w:pPr>
    <w:rPr>
      <w:rFonts w:ascii="Arial" w:hAnsi="Arial" w:cs="Arial"/>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TW"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footnote text" w:locked="0"/>
    <w:lsdException w:name="caption" w:semiHidden="1" w:unhideWhenUsed="1" w:qFormat="1"/>
    <w:lsdException w:name="footnote reference" w:locked="0"/>
    <w:lsdException w:name="Title" w:qFormat="1"/>
    <w:lsdException w:name="Default Paragraph Font" w:locked="0" w:uiPriority="1"/>
    <w:lsdException w:name="Subtitle" w:qFormat="1"/>
    <w:lsdException w:name="Hyperlink" w:locked="0"/>
    <w:lsdException w:name="FollowedHyperlink" w:locked="0"/>
    <w:lsdException w:name="Strong" w:qFormat="1"/>
    <w:lsdException w:name="Emphasis" w:qFormat="1"/>
    <w:lsdException w:name="HTML Top of Form" w:locked="0"/>
    <w:lsdException w:name="HTML Bottom of Form" w:locked="0"/>
    <w:lsdException w:name="Normal Table" w:locked="0"/>
    <w:lsdException w:name="No List" w:locked="0" w:uiPriority="9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73D"/>
    <w:pPr>
      <w:spacing w:before="200"/>
    </w:pPr>
    <w:rPr>
      <w:rFonts w:ascii="Arial" w:hAnsi="Arial"/>
      <w:sz w:val="22"/>
      <w:szCs w:val="24"/>
      <w:lang w:eastAsia="en-AU"/>
    </w:rPr>
  </w:style>
  <w:style w:type="paragraph" w:styleId="Heading1">
    <w:name w:val="heading 1"/>
    <w:basedOn w:val="Normal"/>
    <w:next w:val="Normal"/>
    <w:qFormat/>
    <w:rsid w:val="0050073D"/>
    <w:pPr>
      <w:keepNext/>
      <w:spacing w:before="360"/>
      <w:outlineLvl w:val="0"/>
    </w:pPr>
    <w:rPr>
      <w:rFonts w:cs="Arial"/>
      <w:kern w:val="36"/>
      <w:sz w:val="44"/>
      <w:szCs w:val="42"/>
    </w:rPr>
  </w:style>
  <w:style w:type="paragraph" w:styleId="Heading2">
    <w:name w:val="heading 2"/>
    <w:basedOn w:val="Normal"/>
    <w:next w:val="Normal"/>
    <w:qFormat/>
    <w:rsid w:val="0050073D"/>
    <w:pPr>
      <w:keepNext/>
      <w:spacing w:before="280"/>
      <w:outlineLvl w:val="1"/>
    </w:pPr>
    <w:rPr>
      <w:rFonts w:cs="Arial"/>
      <w:sz w:val="36"/>
      <w:szCs w:val="38"/>
    </w:rPr>
  </w:style>
  <w:style w:type="paragraph" w:styleId="Heading3">
    <w:name w:val="heading 3"/>
    <w:basedOn w:val="Normal"/>
    <w:next w:val="Normal"/>
    <w:qFormat/>
    <w:rsid w:val="0050073D"/>
    <w:pPr>
      <w:keepNext/>
      <w:spacing w:before="280"/>
      <w:outlineLvl w:val="2"/>
    </w:pPr>
    <w:rPr>
      <w:rFonts w:cs="Arial"/>
      <w:sz w:val="30"/>
      <w:szCs w:val="35"/>
    </w:rPr>
  </w:style>
  <w:style w:type="paragraph" w:styleId="Heading4">
    <w:name w:val="heading 4"/>
    <w:basedOn w:val="Normal"/>
    <w:next w:val="Normal"/>
    <w:link w:val="Heading4Char"/>
    <w:qFormat/>
    <w:rsid w:val="0050073D"/>
    <w:pPr>
      <w:keepNext/>
      <w:outlineLvl w:val="3"/>
    </w:pPr>
    <w:rPr>
      <w:rFonts w:cs="Arial"/>
      <w:b/>
      <w:sz w:val="25"/>
      <w:szCs w:val="31"/>
    </w:rPr>
  </w:style>
  <w:style w:type="paragraph" w:styleId="Heading5">
    <w:name w:val="heading 5"/>
    <w:basedOn w:val="Normal"/>
    <w:link w:val="Heading5Char"/>
    <w:semiHidden/>
    <w:qFormat/>
    <w:rsid w:val="0050073D"/>
    <w:pPr>
      <w:keepNext/>
      <w:spacing w:before="100" w:beforeAutospacing="1" w:after="100" w:afterAutospacing="1"/>
      <w:outlineLvl w:val="4"/>
    </w:pPr>
    <w:rPr>
      <w:rFonts w:cs="Arial"/>
      <w:b/>
      <w:color w:val="404040" w:themeColor="text1" w:themeTint="BF"/>
      <w:sz w:val="24"/>
      <w:szCs w:val="28"/>
    </w:rPr>
  </w:style>
  <w:style w:type="paragraph" w:styleId="Heading6">
    <w:name w:val="heading 6"/>
    <w:basedOn w:val="Normal"/>
    <w:semiHidden/>
    <w:qFormat/>
    <w:rsid w:val="0050073D"/>
    <w:pPr>
      <w:keepNext/>
      <w:spacing w:before="100" w:beforeAutospacing="1" w:after="100" w:afterAutospacing="1"/>
      <w:outlineLvl w:val="5"/>
    </w:pPr>
    <w:rPr>
      <w:bCs/>
      <w:i/>
      <w:color w:val="404040" w:themeColor="text1" w:themeTint="BF"/>
    </w:rPr>
  </w:style>
  <w:style w:type="paragraph" w:styleId="Heading7">
    <w:name w:val="heading 7"/>
    <w:basedOn w:val="Normal"/>
    <w:next w:val="Normal"/>
    <w:semiHidden/>
    <w:qFormat/>
    <w:rsid w:val="0050073D"/>
    <w:pPr>
      <w:keepNext/>
      <w:spacing w:before="240" w:after="60"/>
      <w:outlineLvl w:val="6"/>
    </w:pPr>
    <w:rPr>
      <w:b/>
      <w:color w:val="404040" w:themeColor="text1" w:themeTint="BF"/>
      <w:sz w:val="20"/>
    </w:rPr>
  </w:style>
  <w:style w:type="paragraph" w:styleId="Heading8">
    <w:name w:val="heading 8"/>
    <w:basedOn w:val="Normal"/>
    <w:next w:val="Normal"/>
    <w:semiHidden/>
    <w:qFormat/>
    <w:rsid w:val="0050073D"/>
    <w:pPr>
      <w:keepNext/>
      <w:spacing w:before="240" w:after="60"/>
      <w:outlineLvl w:val="7"/>
    </w:pPr>
    <w:rPr>
      <w:i/>
      <w:iCs/>
      <w:color w:val="404040" w:themeColor="text1" w:themeTint="BF"/>
      <w:sz w:val="20"/>
    </w:rPr>
  </w:style>
  <w:style w:type="paragraph" w:styleId="Heading9">
    <w:name w:val="heading 9"/>
    <w:basedOn w:val="Normal"/>
    <w:next w:val="Normal"/>
    <w:semiHidden/>
    <w:qFormat/>
    <w:rsid w:val="0050073D"/>
    <w:pPr>
      <w:keepNext/>
      <w:spacing w:before="240" w:after="60"/>
      <w:outlineLvl w:val="8"/>
    </w:pPr>
    <w:rPr>
      <w:rFonts w:cs="Arial"/>
      <w:color w:val="404040" w:themeColor="text1" w:themeTint="BF"/>
      <w:sz w:val="20"/>
      <w:szCs w:val="22"/>
    </w:rPr>
  </w:style>
  <w:style w:type="character" w:default="1" w:styleId="DefaultParagraphFont">
    <w:name w:val="Default Paragraph Font"/>
    <w:uiPriority w:val="1"/>
    <w:semiHidden/>
    <w:unhideWhenUsed/>
    <w:rsid w:val="00500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73D"/>
  </w:style>
  <w:style w:type="table" w:customStyle="1" w:styleId="Callout-Direction-OBSOLETE">
    <w:name w:val="Callout - Direction - OBSOLETE"/>
    <w:basedOn w:val="TableNormal"/>
    <w:rsid w:val="0050073D"/>
    <w:rPr>
      <w:rFonts w:ascii="Arial" w:hAnsi="Arial"/>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E5F0F3"/>
      <w:tcMar>
        <w:left w:w="198" w:type="dxa"/>
        <w:bottom w:w="198" w:type="dxa"/>
        <w:right w:w="198" w:type="dxa"/>
      </w:tcMar>
    </w:tcPr>
  </w:style>
  <w:style w:type="character" w:customStyle="1" w:styleId="StyleBoldItalic">
    <w:name w:val="Style Bold Italic"/>
    <w:basedOn w:val="DefaultParagraphFont"/>
    <w:rsid w:val="0050073D"/>
    <w:rPr>
      <w:b/>
      <w:bCs/>
      <w:i/>
      <w:iCs/>
    </w:rPr>
  </w:style>
  <w:style w:type="paragraph" w:customStyle="1" w:styleId="Pagetitle">
    <w:name w:val="Page title"/>
    <w:basedOn w:val="Heading1"/>
    <w:next w:val="Normal"/>
    <w:rsid w:val="0050073D"/>
    <w:pPr>
      <w:spacing w:before="0"/>
    </w:pPr>
    <w:rPr>
      <w:b/>
      <w:sz w:val="48"/>
    </w:rPr>
  </w:style>
  <w:style w:type="table" w:customStyle="1" w:styleId="Tableindent1">
    <w:name w:val="Table indent 1"/>
    <w:basedOn w:val="TableNormal"/>
    <w:rsid w:val="0050073D"/>
    <w:tblP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next w:val="Normal"/>
    <w:rsid w:val="0050073D"/>
    <w:pPr>
      <w:ind w:left="425"/>
    </w:pPr>
    <w:rPr>
      <w:sz w:val="20"/>
    </w:rPr>
  </w:style>
  <w:style w:type="table" w:customStyle="1" w:styleId="Tableindent2">
    <w:name w:val="Table indent 2"/>
    <w:basedOn w:val="TableNormal"/>
    <w:semiHidden/>
    <w:rsid w:val="0050073D"/>
    <w:tblP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indent3">
    <w:name w:val="Table indent 3"/>
    <w:basedOn w:val="TableNormal"/>
    <w:semiHidden/>
    <w:rsid w:val="0050073D"/>
    <w:tblPr>
      <w:tblInd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basedOn w:val="DefaultParagraphFont"/>
    <w:rsid w:val="0050073D"/>
    <w:rPr>
      <w:b/>
      <w:bCs/>
    </w:rPr>
  </w:style>
  <w:style w:type="character" w:customStyle="1" w:styleId="StyleItalic">
    <w:name w:val="Style Italic"/>
    <w:basedOn w:val="DefaultParagraphFont"/>
    <w:rsid w:val="0050073D"/>
    <w:rPr>
      <w:i/>
      <w:iCs/>
    </w:rPr>
  </w:style>
  <w:style w:type="character" w:styleId="Hyperlink">
    <w:name w:val="Hyperlink"/>
    <w:basedOn w:val="DefaultParagraphFont"/>
    <w:unhideWhenUsed/>
    <w:rsid w:val="0050073D"/>
    <w:rPr>
      <w:color w:val="0000FF"/>
      <w:u w:val="single"/>
    </w:rPr>
  </w:style>
  <w:style w:type="paragraph" w:customStyle="1" w:styleId="Indent1">
    <w:name w:val="Indent 1"/>
    <w:basedOn w:val="Normal"/>
    <w:rsid w:val="0050073D"/>
    <w:pPr>
      <w:ind w:left="357"/>
    </w:pPr>
  </w:style>
  <w:style w:type="paragraph" w:customStyle="1" w:styleId="Indent2">
    <w:name w:val="Indent 2"/>
    <w:basedOn w:val="Normal"/>
    <w:semiHidden/>
    <w:rsid w:val="0050073D"/>
    <w:pPr>
      <w:ind w:left="720"/>
    </w:pPr>
  </w:style>
  <w:style w:type="paragraph" w:customStyle="1" w:styleId="Indent3">
    <w:name w:val="Indent 3"/>
    <w:basedOn w:val="Normal"/>
    <w:semiHidden/>
    <w:rsid w:val="0050073D"/>
    <w:pPr>
      <w:ind w:left="851"/>
    </w:pPr>
  </w:style>
  <w:style w:type="character" w:customStyle="1" w:styleId="Link-Internal">
    <w:name w:val="Link - Internal"/>
    <w:basedOn w:val="DefaultParagraphFont"/>
    <w:rsid w:val="0050073D"/>
    <w:rPr>
      <w:color w:val="0000FF"/>
      <w:u w:val="single"/>
      <w:bdr w:val="none" w:sz="0" w:space="0" w:color="auto"/>
      <w:shd w:val="clear" w:color="auto" w:fill="FFCCFF"/>
    </w:rPr>
  </w:style>
  <w:style w:type="character" w:customStyle="1" w:styleId="Superscript">
    <w:name w:val="Superscript"/>
    <w:basedOn w:val="DefaultParagraphFont"/>
    <w:rsid w:val="0050073D"/>
    <w:rPr>
      <w:rFonts w:ascii="Arial" w:hAnsi="Arial"/>
      <w:sz w:val="24"/>
      <w:vertAlign w:val="superscript"/>
    </w:rPr>
  </w:style>
  <w:style w:type="character" w:styleId="FollowedHyperlink">
    <w:name w:val="FollowedHyperlink"/>
    <w:basedOn w:val="DefaultParagraphFont"/>
    <w:unhideWhenUsed/>
    <w:rsid w:val="0050073D"/>
    <w:rPr>
      <w:color w:val="800080"/>
      <w:u w:val="single"/>
    </w:rPr>
  </w:style>
  <w:style w:type="paragraph" w:customStyle="1" w:styleId="Small">
    <w:name w:val="Small"/>
    <w:basedOn w:val="Normal"/>
    <w:rsid w:val="0050073D"/>
    <w:rPr>
      <w:sz w:val="18"/>
      <w:szCs w:val="18"/>
    </w:rPr>
  </w:style>
  <w:style w:type="character" w:customStyle="1" w:styleId="Link-External">
    <w:name w:val="Link - External"/>
    <w:basedOn w:val="DefaultParagraphFont"/>
    <w:rsid w:val="0050073D"/>
    <w:rPr>
      <w:color w:val="0000FF"/>
      <w:u w:val="single"/>
      <w:bdr w:val="none" w:sz="0" w:space="0" w:color="auto"/>
      <w:shd w:val="clear" w:color="auto" w:fill="CCFFFF"/>
    </w:rPr>
  </w:style>
  <w:style w:type="paragraph" w:customStyle="1" w:styleId="Unformatted">
    <w:name w:val="Unformatted"/>
    <w:basedOn w:val="Normal"/>
    <w:rsid w:val="0050073D"/>
    <w:rPr>
      <w:rFonts w:ascii="Comic Sans MS" w:hAnsi="Comic Sans MS"/>
      <w:b/>
      <w:color w:val="FF0000"/>
      <w:sz w:val="28"/>
      <w:szCs w:val="28"/>
    </w:rPr>
  </w:style>
  <w:style w:type="paragraph" w:customStyle="1" w:styleId="Heading1numbered">
    <w:name w:val="Heading 1 numbered"/>
    <w:basedOn w:val="Heading1"/>
    <w:next w:val="Normal"/>
    <w:rsid w:val="0050073D"/>
    <w:pPr>
      <w:numPr>
        <w:numId w:val="5"/>
      </w:numPr>
    </w:pPr>
  </w:style>
  <w:style w:type="paragraph" w:customStyle="1" w:styleId="Heading2numbered">
    <w:name w:val="Heading 2 numbered"/>
    <w:basedOn w:val="Heading2"/>
    <w:next w:val="Normal"/>
    <w:rsid w:val="0050073D"/>
    <w:pPr>
      <w:numPr>
        <w:ilvl w:val="1"/>
        <w:numId w:val="5"/>
      </w:numPr>
    </w:pPr>
  </w:style>
  <w:style w:type="paragraph" w:customStyle="1" w:styleId="Heading3numbered">
    <w:name w:val="Heading 3 numbered"/>
    <w:basedOn w:val="Heading3"/>
    <w:next w:val="Normal"/>
    <w:rsid w:val="0050073D"/>
    <w:pPr>
      <w:numPr>
        <w:ilvl w:val="2"/>
        <w:numId w:val="5"/>
      </w:numPr>
    </w:pPr>
  </w:style>
  <w:style w:type="paragraph" w:customStyle="1" w:styleId="Heading4numbered">
    <w:name w:val="Heading 4 numbered"/>
    <w:basedOn w:val="Heading4"/>
    <w:next w:val="Normal"/>
    <w:rsid w:val="0050073D"/>
    <w:pPr>
      <w:numPr>
        <w:ilvl w:val="3"/>
        <w:numId w:val="5"/>
      </w:numPr>
    </w:pPr>
  </w:style>
  <w:style w:type="character" w:customStyle="1" w:styleId="Link-Newwindow">
    <w:name w:val="Link - New window"/>
    <w:basedOn w:val="DefaultParagraphFont"/>
    <w:rsid w:val="0050073D"/>
    <w:rPr>
      <w:color w:val="0000FF"/>
      <w:u w:val="single"/>
      <w:bdr w:val="none" w:sz="0" w:space="0" w:color="auto"/>
      <w:shd w:val="clear" w:color="auto" w:fill="CCFF99"/>
    </w:rPr>
  </w:style>
  <w:style w:type="character" w:customStyle="1" w:styleId="Link-Footnote">
    <w:name w:val="Link - Footnote"/>
    <w:basedOn w:val="Link-External"/>
    <w:semiHidden/>
    <w:rsid w:val="0050073D"/>
    <w:rPr>
      <w:color w:val="0000FF"/>
      <w:u w:val="single"/>
      <w:bdr w:val="none" w:sz="0" w:space="0" w:color="auto"/>
      <w:shd w:val="clear" w:color="auto" w:fill="auto"/>
      <w:vertAlign w:val="superscript"/>
    </w:rPr>
  </w:style>
  <w:style w:type="character" w:customStyle="1" w:styleId="Link-Bookmark">
    <w:name w:val="Link - Bookmark"/>
    <w:basedOn w:val="DefaultParagraphFont"/>
    <w:rsid w:val="0050073D"/>
    <w:rPr>
      <w:color w:val="0000FF"/>
      <w:u w:val="single"/>
      <w:bdr w:val="none" w:sz="0" w:space="0" w:color="auto"/>
      <w:shd w:val="clear" w:color="auto" w:fill="FFCC99"/>
    </w:rPr>
  </w:style>
  <w:style w:type="paragraph" w:customStyle="1" w:styleId="Tablecaption">
    <w:name w:val="Table caption"/>
    <w:basedOn w:val="Normal"/>
    <w:next w:val="Tablesummary"/>
    <w:rsid w:val="0050073D"/>
    <w:pPr>
      <w:spacing w:before="280"/>
    </w:pPr>
    <w:rPr>
      <w:b/>
    </w:rPr>
  </w:style>
  <w:style w:type="paragraph" w:customStyle="1" w:styleId="Tablesummary">
    <w:name w:val="Table summary"/>
    <w:basedOn w:val="Normal"/>
    <w:next w:val="Normal"/>
    <w:rsid w:val="0050073D"/>
    <w:rPr>
      <w:color w:val="808080"/>
    </w:rPr>
  </w:style>
  <w:style w:type="character" w:customStyle="1" w:styleId="Bold">
    <w:name w:val="Bold"/>
    <w:basedOn w:val="DefaultParagraphFont"/>
    <w:semiHidden/>
    <w:locked/>
    <w:rsid w:val="00130179"/>
    <w:rPr>
      <w:b/>
      <w:bCs w:val="0"/>
      <w:noProof w:val="0"/>
      <w:lang w:val="en-AU"/>
    </w:rPr>
  </w:style>
  <w:style w:type="table" w:customStyle="1" w:styleId="Tablewithborder">
    <w:name w:val="Table with border"/>
    <w:basedOn w:val="TableNormal"/>
    <w:rsid w:val="00500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ithoutborder">
    <w:name w:val="Table without border"/>
    <w:basedOn w:val="TableNormal"/>
    <w:rsid w:val="0050073D"/>
    <w:tblPr/>
  </w:style>
  <w:style w:type="paragraph" w:customStyle="1" w:styleId="Tableheading">
    <w:name w:val="Table heading"/>
    <w:basedOn w:val="Normal"/>
    <w:rsid w:val="0050073D"/>
    <w:pPr>
      <w:shd w:val="pct30" w:color="auto" w:fill="auto"/>
    </w:pPr>
    <w:rPr>
      <w:b/>
    </w:rPr>
  </w:style>
  <w:style w:type="numbering" w:customStyle="1" w:styleId="Redundant">
    <w:name w:val="Redundant"/>
    <w:basedOn w:val="NoList"/>
    <w:semiHidden/>
    <w:rsid w:val="0050073D"/>
    <w:pPr>
      <w:numPr>
        <w:numId w:val="4"/>
      </w:numPr>
    </w:pPr>
  </w:style>
  <w:style w:type="paragraph" w:customStyle="1" w:styleId="Secondarybutton">
    <w:name w:val="Secondary button"/>
    <w:basedOn w:val="Primarybutton"/>
    <w:next w:val="Normal"/>
    <w:rsid w:val="0050073D"/>
    <w:pPr>
      <w:shd w:val="clear" w:color="auto" w:fill="E0E0E0"/>
    </w:pPr>
    <w:rPr>
      <w:color w:val="auto"/>
    </w:rPr>
  </w:style>
  <w:style w:type="paragraph" w:customStyle="1" w:styleId="Primarybutton">
    <w:name w:val="Primary button"/>
    <w:next w:val="Normal"/>
    <w:rsid w:val="0050073D"/>
    <w:pPr>
      <w:pBdr>
        <w:top w:val="single" w:sz="8" w:space="6" w:color="999999"/>
        <w:left w:val="single" w:sz="8" w:space="12" w:color="999999"/>
        <w:bottom w:val="single" w:sz="8" w:space="6" w:color="999999"/>
        <w:right w:val="single" w:sz="8" w:space="12" w:color="999999"/>
      </w:pBdr>
      <w:shd w:val="clear" w:color="auto" w:fill="369496"/>
      <w:spacing w:before="100" w:beforeAutospacing="1" w:after="100" w:afterAutospacing="1"/>
      <w:jc w:val="center"/>
      <w:textAlignment w:val="center"/>
    </w:pPr>
    <w:rPr>
      <w:rFonts w:ascii="Arial" w:hAnsi="Arial"/>
      <w:b/>
      <w:color w:val="FFFFFF" w:themeColor="background1"/>
      <w:sz w:val="26"/>
      <w:szCs w:val="24"/>
      <w:lang w:eastAsia="en-AU"/>
    </w:rPr>
  </w:style>
  <w:style w:type="character" w:customStyle="1" w:styleId="Heading4Char">
    <w:name w:val="Heading 4 Char"/>
    <w:basedOn w:val="DefaultParagraphFont"/>
    <w:link w:val="Heading4"/>
    <w:rsid w:val="009D2BA2"/>
    <w:rPr>
      <w:rFonts w:ascii="Arial" w:hAnsi="Arial" w:cs="Arial"/>
      <w:b/>
      <w:sz w:val="25"/>
      <w:szCs w:val="31"/>
      <w:lang w:eastAsia="en-AU"/>
    </w:rPr>
  </w:style>
  <w:style w:type="character" w:customStyle="1" w:styleId="Heading5Char">
    <w:name w:val="Heading 5 Char"/>
    <w:basedOn w:val="DefaultParagraphFont"/>
    <w:link w:val="Heading5"/>
    <w:semiHidden/>
    <w:rsid w:val="004F64FB"/>
    <w:rPr>
      <w:rFonts w:ascii="Arial" w:hAnsi="Arial" w:cs="Arial"/>
      <w:b/>
      <w:color w:val="404040" w:themeColor="text1" w:themeTint="BF"/>
      <w:sz w:val="24"/>
      <w:szCs w:val="28"/>
      <w:lang w:eastAsia="en-AU"/>
    </w:rPr>
  </w:style>
  <w:style w:type="table" w:customStyle="1" w:styleId="Callout-Direction-getitdone-OBSOLETE">
    <w:name w:val="Callout - Direction - get it done - OBSOLETE"/>
    <w:basedOn w:val="Callout-Direction-OBSOLETE"/>
    <w:rsid w:val="0050073D"/>
    <w:tblPr/>
    <w:tcPr>
      <w:shd w:val="clear" w:color="auto" w:fill="E5F0F3"/>
    </w:tcPr>
  </w:style>
  <w:style w:type="table" w:customStyle="1" w:styleId="Callout-Direction-findoutmore-OBSOLETE">
    <w:name w:val="Callout - Direction - find out more - OBSOLETE"/>
    <w:basedOn w:val="Callout-Direction-OBSOLETE"/>
    <w:rsid w:val="0050073D"/>
    <w:tblPr/>
    <w:tcPr>
      <w:shd w:val="clear" w:color="auto" w:fill="E5F0F3"/>
    </w:tcPr>
  </w:style>
  <w:style w:type="table" w:customStyle="1" w:styleId="Callout-Direction-Watch">
    <w:name w:val="Callout - Direction - Watch"/>
    <w:basedOn w:val="Callout-Direction-OBSOLETE"/>
    <w:rsid w:val="0050073D"/>
    <w:tblPr/>
    <w:tcPr>
      <w:shd w:val="clear" w:color="auto" w:fill="E5F0F3"/>
    </w:tcPr>
  </w:style>
  <w:style w:type="table" w:customStyle="1" w:styleId="Callout-Direction-listen-OBSOLETE">
    <w:name w:val="Callout - Direction - listen - OBSOLETE"/>
    <w:basedOn w:val="Callout-Direction-OBSOLETE"/>
    <w:rsid w:val="0050073D"/>
    <w:tblPr/>
    <w:tcPr>
      <w:shd w:val="clear" w:color="auto" w:fill="E5F0F3"/>
    </w:tcPr>
  </w:style>
  <w:style w:type="table" w:customStyle="1" w:styleId="Callout-Direction-help-OBSOLETE">
    <w:name w:val="Callout - Direction - help - OBSOLETE"/>
    <w:basedOn w:val="Callout-Direction-OBSOLETE"/>
    <w:rsid w:val="0050073D"/>
    <w:tblPr/>
    <w:tcPr>
      <w:shd w:val="clear" w:color="auto" w:fill="E5F0F3"/>
    </w:tcPr>
  </w:style>
  <w:style w:type="table" w:customStyle="1" w:styleId="Callout-Attention-OBSOLETE">
    <w:name w:val="Callout - Attention - OBSOLETE"/>
    <w:basedOn w:val="Callout-Direction-OBSOLETE"/>
    <w:rsid w:val="0050073D"/>
    <w:tblPr>
      <w:tblBorders>
        <w:top w:val="single" w:sz="4" w:space="0" w:color="FF9900"/>
        <w:left w:val="single" w:sz="4" w:space="0" w:color="FF9900"/>
        <w:bottom w:val="single" w:sz="4" w:space="0" w:color="FF9900"/>
        <w:right w:val="single" w:sz="4" w:space="0" w:color="FF9900"/>
        <w:insideH w:val="single" w:sz="4" w:space="0" w:color="FF9900"/>
        <w:insideV w:val="single" w:sz="4" w:space="0" w:color="FF9900"/>
      </w:tblBorders>
    </w:tblPr>
    <w:tcPr>
      <w:shd w:val="clear" w:color="auto" w:fill="FFFF99"/>
    </w:tcPr>
  </w:style>
  <w:style w:type="table" w:customStyle="1" w:styleId="Callout-Danger-OBSOLETE">
    <w:name w:val="Callout - Danger - OBSOLETE"/>
    <w:basedOn w:val="Callout-Direction-OBSOLETE"/>
    <w:rsid w:val="0050073D"/>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E1CCC5"/>
    </w:tcPr>
  </w:style>
  <w:style w:type="table" w:customStyle="1" w:styleId="Callout-Error-OBSOLETE">
    <w:name w:val="Callout - Error - OBSOLETE"/>
    <w:basedOn w:val="Callout-Direction-OBSOLETE"/>
    <w:rsid w:val="0050073D"/>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auto"/>
    </w:tcPr>
  </w:style>
  <w:style w:type="table" w:customStyle="1" w:styleId="Callout-Complete-OBSOLETE">
    <w:name w:val="Callout - Complete - OBSOLETE"/>
    <w:basedOn w:val="Callout-Error-OBSOLETE"/>
    <w:rsid w:val="0050073D"/>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Pr>
    <w:tcPr>
      <w:shd w:val="clear" w:color="auto" w:fill="auto"/>
    </w:tcPr>
  </w:style>
  <w:style w:type="table" w:customStyle="1" w:styleId="Callout-Example">
    <w:name w:val="Callout - Example"/>
    <w:basedOn w:val="Callout-Direction-workitout-OBSOLETE"/>
    <w:rsid w:val="0050073D"/>
    <w:tblPr>
      <w:tblBorders>
        <w:top w:val="single" w:sz="18" w:space="0" w:color="808080"/>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99CCFF"/>
    </w:tcPr>
  </w:style>
  <w:style w:type="table" w:customStyle="1" w:styleId="Callout-Direction-workitout-OBSOLETE">
    <w:name w:val="Callout - Direction - work it out - OBSOLETE"/>
    <w:basedOn w:val="Callout-Direction-OBSOLETE"/>
    <w:rsid w:val="0050073D"/>
    <w:tblPr>
      <w:tblCellMar>
        <w:left w:w="0" w:type="dxa"/>
        <w:right w:w="0" w:type="dxa"/>
      </w:tblCellMar>
    </w:tblPr>
    <w:tcPr>
      <w:shd w:val="clear" w:color="auto" w:fill="E5F0F3"/>
      <w:tcMar>
        <w:top w:w="0" w:type="dxa"/>
        <w:left w:w="200" w:type="dxa"/>
        <w:right w:w="200" w:type="dxa"/>
      </w:tcMar>
    </w:tcPr>
  </w:style>
  <w:style w:type="character" w:customStyle="1" w:styleId="Link-Internalbold">
    <w:name w:val="Link - Internal (bold)"/>
    <w:basedOn w:val="Link-Internal"/>
    <w:rsid w:val="0050073D"/>
    <w:rPr>
      <w:b/>
      <w:color w:val="0000FF"/>
      <w:u w:val="single"/>
      <w:bdr w:val="none" w:sz="0" w:space="0" w:color="auto"/>
      <w:shd w:val="clear" w:color="auto" w:fill="FFCCFF"/>
    </w:rPr>
  </w:style>
  <w:style w:type="character" w:customStyle="1" w:styleId="Link-Internalitalics">
    <w:name w:val="Link - Internal (italics)"/>
    <w:basedOn w:val="Link-Internal"/>
    <w:rsid w:val="0050073D"/>
    <w:rPr>
      <w:i/>
      <w:color w:val="0000FF"/>
      <w:u w:val="single"/>
      <w:bdr w:val="none" w:sz="0" w:space="0" w:color="auto"/>
      <w:shd w:val="clear" w:color="auto" w:fill="FFCCFF"/>
    </w:rPr>
  </w:style>
  <w:style w:type="character" w:customStyle="1" w:styleId="StyleUnderline">
    <w:name w:val="Style Underline"/>
    <w:basedOn w:val="DefaultParagraphFont"/>
    <w:rsid w:val="0050073D"/>
    <w:rPr>
      <w:u w:val="single"/>
    </w:rPr>
  </w:style>
  <w:style w:type="paragraph" w:customStyle="1" w:styleId="Normalcentre">
    <w:name w:val="Normal centre"/>
    <w:basedOn w:val="Normal"/>
    <w:rsid w:val="0050073D"/>
    <w:pPr>
      <w:jc w:val="center"/>
    </w:pPr>
  </w:style>
  <w:style w:type="paragraph" w:customStyle="1" w:styleId="Normalright">
    <w:name w:val="Normal right"/>
    <w:basedOn w:val="Normal"/>
    <w:rsid w:val="0050073D"/>
    <w:pPr>
      <w:jc w:val="right"/>
    </w:pPr>
  </w:style>
  <w:style w:type="paragraph" w:customStyle="1" w:styleId="Tableheadingcentre">
    <w:name w:val="Table heading centre"/>
    <w:basedOn w:val="Tableheading"/>
    <w:rsid w:val="0050073D"/>
    <w:pPr>
      <w:jc w:val="center"/>
    </w:pPr>
  </w:style>
  <w:style w:type="paragraph" w:customStyle="1" w:styleId="Tableheadingright">
    <w:name w:val="Table heading right"/>
    <w:basedOn w:val="Tableheading"/>
    <w:rsid w:val="0050073D"/>
    <w:pPr>
      <w:jc w:val="right"/>
    </w:pPr>
  </w:style>
  <w:style w:type="paragraph" w:styleId="DocumentMap">
    <w:name w:val="Document Map"/>
    <w:basedOn w:val="Normal"/>
    <w:semiHidden/>
    <w:locked/>
    <w:rsid w:val="001418DC"/>
    <w:pPr>
      <w:shd w:val="clear" w:color="auto" w:fill="000080"/>
    </w:pPr>
    <w:rPr>
      <w:rFonts w:ascii="Tahoma" w:hAnsi="Tahoma" w:cs="Tahoma"/>
      <w:sz w:val="20"/>
      <w:szCs w:val="20"/>
    </w:rPr>
  </w:style>
  <w:style w:type="paragraph" w:styleId="ListParagraph">
    <w:name w:val="List Paragraph"/>
    <w:basedOn w:val="Normal"/>
    <w:uiPriority w:val="34"/>
    <w:qFormat/>
    <w:locked/>
    <w:rsid w:val="0018349C"/>
    <w:pPr>
      <w:ind w:left="720"/>
      <w:contextualSpacing/>
    </w:pPr>
  </w:style>
  <w:style w:type="table" w:styleId="TableGrid">
    <w:name w:val="Table Grid"/>
    <w:basedOn w:val="TableNormal"/>
    <w:locked/>
    <w:rsid w:val="00183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BB6BC2"/>
    <w:pPr>
      <w:spacing w:before="0"/>
    </w:pPr>
    <w:rPr>
      <w:rFonts w:ascii="Tahoma" w:hAnsi="Tahoma" w:cs="Tahoma"/>
      <w:sz w:val="16"/>
      <w:szCs w:val="16"/>
    </w:rPr>
  </w:style>
  <w:style w:type="character" w:customStyle="1" w:styleId="BalloonTextChar">
    <w:name w:val="Balloon Text Char"/>
    <w:basedOn w:val="DefaultParagraphFont"/>
    <w:link w:val="BalloonText"/>
    <w:rsid w:val="00BB6BC2"/>
    <w:rPr>
      <w:rFonts w:ascii="Tahoma" w:hAnsi="Tahoma" w:cs="Tahoma"/>
      <w:sz w:val="16"/>
      <w:szCs w:val="16"/>
      <w:lang w:eastAsia="en-AU"/>
    </w:rPr>
  </w:style>
  <w:style w:type="paragraph" w:customStyle="1" w:styleId="YouTubeVideoEmbedded">
    <w:name w:val="YouTube Video Embedded"/>
    <w:basedOn w:val="Normal"/>
    <w:next w:val="Normal"/>
    <w:qFormat/>
    <w:rsid w:val="0050073D"/>
    <w:pPr>
      <w:pBdr>
        <w:top w:val="single" w:sz="4" w:space="4" w:color="auto"/>
        <w:left w:val="single" w:sz="4" w:space="4" w:color="auto"/>
        <w:bottom w:val="single" w:sz="4" w:space="4" w:color="auto"/>
        <w:right w:val="single" w:sz="4" w:space="4" w:color="auto"/>
      </w:pBdr>
      <w:shd w:val="clear" w:color="auto" w:fill="29FF8A"/>
      <w:spacing w:before="0"/>
    </w:pPr>
    <w:rPr>
      <w:sz w:val="28"/>
    </w:rPr>
  </w:style>
  <w:style w:type="paragraph" w:customStyle="1" w:styleId="Blockquotelist1">
    <w:name w:val="Blockquote list 1"/>
    <w:basedOn w:val="Normal"/>
    <w:semiHidden/>
    <w:qFormat/>
    <w:rsid w:val="0050073D"/>
    <w:pPr>
      <w:numPr>
        <w:numId w:val="28"/>
      </w:numPr>
    </w:pPr>
    <w:rPr>
      <w:sz w:val="20"/>
    </w:rPr>
  </w:style>
  <w:style w:type="paragraph" w:customStyle="1" w:styleId="Bulletedlist1">
    <w:name w:val="Bulleted list 1"/>
    <w:basedOn w:val="Normal"/>
    <w:qFormat/>
    <w:rsid w:val="0050073D"/>
    <w:pPr>
      <w:numPr>
        <w:numId w:val="8"/>
      </w:numPr>
    </w:pPr>
  </w:style>
  <w:style w:type="paragraph" w:customStyle="1" w:styleId="Bulletedlist2">
    <w:name w:val="Bulleted list 2"/>
    <w:basedOn w:val="Bulletedlist1"/>
    <w:qFormat/>
    <w:rsid w:val="0050073D"/>
    <w:pPr>
      <w:numPr>
        <w:ilvl w:val="1"/>
      </w:numPr>
    </w:pPr>
  </w:style>
  <w:style w:type="paragraph" w:customStyle="1" w:styleId="Bulletedlist3">
    <w:name w:val="Bulleted list 3"/>
    <w:basedOn w:val="Bulletedlist1"/>
    <w:qFormat/>
    <w:rsid w:val="0050073D"/>
    <w:pPr>
      <w:numPr>
        <w:ilvl w:val="2"/>
      </w:numPr>
    </w:pPr>
  </w:style>
  <w:style w:type="paragraph" w:styleId="ListBullet2">
    <w:name w:val="List Bullet 2"/>
    <w:basedOn w:val="Normal"/>
    <w:locked/>
    <w:rsid w:val="00B920B7"/>
    <w:pPr>
      <w:contextualSpacing/>
    </w:pPr>
  </w:style>
  <w:style w:type="paragraph" w:customStyle="1" w:styleId="Numberedlistnumericstart1">
    <w:name w:val="Numbered list (numeric start) 1"/>
    <w:basedOn w:val="Normal"/>
    <w:qFormat/>
    <w:rsid w:val="0050073D"/>
    <w:pPr>
      <w:numPr>
        <w:numId w:val="14"/>
      </w:numPr>
    </w:pPr>
  </w:style>
  <w:style w:type="paragraph" w:customStyle="1" w:styleId="Numberedlistnumericstart2">
    <w:name w:val="Numbered list (numeric start) 2"/>
    <w:basedOn w:val="Numberedlistnumericstart1"/>
    <w:qFormat/>
    <w:rsid w:val="0050073D"/>
    <w:pPr>
      <w:numPr>
        <w:ilvl w:val="1"/>
      </w:numPr>
      <w:tabs>
        <w:tab w:val="num" w:pos="360"/>
      </w:tabs>
      <w:ind w:left="425" w:hanging="425"/>
    </w:pPr>
  </w:style>
  <w:style w:type="paragraph" w:customStyle="1" w:styleId="Numberedlistnumericstart3">
    <w:name w:val="Numbered list (numeric start) 3"/>
    <w:basedOn w:val="Numberedlistnumericstart1"/>
    <w:qFormat/>
    <w:rsid w:val="0050073D"/>
    <w:pPr>
      <w:numPr>
        <w:ilvl w:val="2"/>
      </w:numPr>
      <w:tabs>
        <w:tab w:val="num" w:pos="360"/>
      </w:tabs>
      <w:ind w:left="425"/>
    </w:pPr>
  </w:style>
  <w:style w:type="paragraph" w:customStyle="1" w:styleId="Numberedlistnumericstart4">
    <w:name w:val="Numbered list (numeric start) 4"/>
    <w:basedOn w:val="Numberedlistnumericstart1"/>
    <w:qFormat/>
    <w:rsid w:val="0050073D"/>
    <w:pPr>
      <w:numPr>
        <w:ilvl w:val="3"/>
      </w:numPr>
    </w:pPr>
  </w:style>
  <w:style w:type="paragraph" w:customStyle="1" w:styleId="Numberedlistnumericstart5">
    <w:name w:val="Numbered list (numeric start) 5"/>
    <w:basedOn w:val="Numberedlistnumericstart1"/>
    <w:qFormat/>
    <w:rsid w:val="0050073D"/>
    <w:pPr>
      <w:numPr>
        <w:ilvl w:val="4"/>
      </w:numPr>
      <w:tabs>
        <w:tab w:val="num" w:pos="360"/>
      </w:tabs>
      <w:ind w:left="425"/>
    </w:pPr>
  </w:style>
  <w:style w:type="paragraph" w:customStyle="1" w:styleId="Numberedlistalphastart1">
    <w:name w:val="Numbered list (alpha start) 1"/>
    <w:basedOn w:val="Normal"/>
    <w:qFormat/>
    <w:rsid w:val="0050073D"/>
    <w:pPr>
      <w:numPr>
        <w:numId w:val="11"/>
      </w:numPr>
    </w:pPr>
  </w:style>
  <w:style w:type="paragraph" w:customStyle="1" w:styleId="Numberedlistalphastart2">
    <w:name w:val="Numbered list (alpha start) 2"/>
    <w:basedOn w:val="Numberedlistalphastart1"/>
    <w:qFormat/>
    <w:rsid w:val="0050073D"/>
    <w:pPr>
      <w:numPr>
        <w:ilvl w:val="1"/>
      </w:numPr>
    </w:pPr>
  </w:style>
  <w:style w:type="paragraph" w:customStyle="1" w:styleId="Numberedlistalphastart3">
    <w:name w:val="Numbered list (alpha start) 3"/>
    <w:basedOn w:val="Numberedlistalphastart1"/>
    <w:qFormat/>
    <w:rsid w:val="0050073D"/>
    <w:pPr>
      <w:numPr>
        <w:ilvl w:val="2"/>
      </w:numPr>
    </w:pPr>
  </w:style>
  <w:style w:type="paragraph" w:customStyle="1" w:styleId="Numberedlistalphastart4">
    <w:name w:val="Numbered list (alpha start) 4"/>
    <w:basedOn w:val="Numberedlistalphastart1"/>
    <w:qFormat/>
    <w:rsid w:val="0050073D"/>
    <w:pPr>
      <w:numPr>
        <w:ilvl w:val="3"/>
      </w:numPr>
    </w:pPr>
  </w:style>
  <w:style w:type="paragraph" w:customStyle="1" w:styleId="Blockquotelist2">
    <w:name w:val="Blockquote list 2"/>
    <w:basedOn w:val="Blockquotelist1"/>
    <w:semiHidden/>
    <w:qFormat/>
    <w:rsid w:val="0050073D"/>
    <w:pPr>
      <w:numPr>
        <w:ilvl w:val="1"/>
      </w:numPr>
    </w:pPr>
  </w:style>
  <w:style w:type="paragraph" w:customStyle="1" w:styleId="DocInfo">
    <w:name w:val="DocInfo"/>
    <w:basedOn w:val="Normal"/>
    <w:link w:val="DocInfoChar"/>
    <w:qFormat/>
    <w:rsid w:val="0050073D"/>
    <w:pPr>
      <w:pBdr>
        <w:top w:val="single" w:sz="4" w:space="1" w:color="943634" w:themeColor="accent2" w:themeShade="BF"/>
        <w:bottom w:val="single" w:sz="4" w:space="1" w:color="943634" w:themeColor="accent2" w:themeShade="BF"/>
      </w:pBdr>
      <w:spacing w:before="120"/>
    </w:pPr>
    <w:rPr>
      <w:color w:val="404040" w:themeColor="text1" w:themeTint="BF"/>
      <w:sz w:val="20"/>
      <w:szCs w:val="20"/>
    </w:rPr>
  </w:style>
  <w:style w:type="character" w:styleId="PlaceholderText">
    <w:name w:val="Placeholder Text"/>
    <w:basedOn w:val="DefaultParagraphFont"/>
    <w:uiPriority w:val="99"/>
    <w:semiHidden/>
    <w:rsid w:val="0050073D"/>
    <w:rPr>
      <w:color w:val="808080"/>
    </w:rPr>
  </w:style>
  <w:style w:type="character" w:customStyle="1" w:styleId="DocInfoChar">
    <w:name w:val="DocInfo Char"/>
    <w:basedOn w:val="DefaultParagraphFont"/>
    <w:link w:val="DocInfo"/>
    <w:rsid w:val="00823919"/>
    <w:rPr>
      <w:rFonts w:ascii="Arial" w:hAnsi="Arial"/>
      <w:color w:val="404040" w:themeColor="text1" w:themeTint="BF"/>
      <w:lang w:eastAsia="en-AU"/>
    </w:rPr>
  </w:style>
  <w:style w:type="table" w:customStyle="1" w:styleId="Tablelarge">
    <w:name w:val="Table large"/>
    <w:basedOn w:val="Tablewithborder"/>
    <w:uiPriority w:val="99"/>
    <w:rsid w:val="0050073D"/>
    <w:tblPr/>
  </w:style>
  <w:style w:type="paragraph" w:customStyle="1" w:styleId="DocInfoLocked">
    <w:name w:val="DocInfoLocked"/>
    <w:basedOn w:val="DocInfo"/>
    <w:link w:val="DocInfoLockedChar"/>
    <w:rsid w:val="0050073D"/>
    <w:rPr>
      <w:color w:val="943634" w:themeColor="accent2" w:themeShade="BF"/>
    </w:rPr>
  </w:style>
  <w:style w:type="character" w:customStyle="1" w:styleId="DocInfoLockedChar">
    <w:name w:val="DocInfoLocked Char"/>
    <w:basedOn w:val="DocInfoChar"/>
    <w:link w:val="DocInfoLocked"/>
    <w:rsid w:val="00AE2F45"/>
    <w:rPr>
      <w:rFonts w:ascii="Arial" w:hAnsi="Arial"/>
      <w:color w:val="943634" w:themeColor="accent2" w:themeShade="BF"/>
      <w:lang w:eastAsia="en-AU"/>
    </w:rPr>
  </w:style>
  <w:style w:type="paragraph" w:styleId="Header">
    <w:name w:val="header"/>
    <w:basedOn w:val="Normal"/>
    <w:link w:val="HeaderChar"/>
    <w:locked/>
    <w:rsid w:val="00547191"/>
    <w:pPr>
      <w:tabs>
        <w:tab w:val="center" w:pos="4513"/>
        <w:tab w:val="right" w:pos="9026"/>
      </w:tabs>
      <w:spacing w:before="0"/>
    </w:pPr>
  </w:style>
  <w:style w:type="character" w:customStyle="1" w:styleId="HeaderChar">
    <w:name w:val="Header Char"/>
    <w:basedOn w:val="DefaultParagraphFont"/>
    <w:link w:val="Header"/>
    <w:rsid w:val="00547191"/>
    <w:rPr>
      <w:rFonts w:ascii="Arial" w:hAnsi="Arial"/>
      <w:sz w:val="22"/>
      <w:szCs w:val="24"/>
      <w:lang w:eastAsia="en-AU"/>
    </w:rPr>
  </w:style>
  <w:style w:type="paragraph" w:styleId="Footer">
    <w:name w:val="footer"/>
    <w:basedOn w:val="Normal"/>
    <w:link w:val="FooterChar"/>
    <w:locked/>
    <w:rsid w:val="00547191"/>
    <w:pPr>
      <w:tabs>
        <w:tab w:val="center" w:pos="4513"/>
        <w:tab w:val="right" w:pos="9026"/>
      </w:tabs>
      <w:spacing w:before="0"/>
    </w:pPr>
  </w:style>
  <w:style w:type="character" w:customStyle="1" w:styleId="FooterChar">
    <w:name w:val="Footer Char"/>
    <w:basedOn w:val="DefaultParagraphFont"/>
    <w:link w:val="Footer"/>
    <w:rsid w:val="00547191"/>
    <w:rPr>
      <w:rFonts w:ascii="Arial" w:hAnsi="Arial"/>
      <w:sz w:val="22"/>
      <w:szCs w:val="24"/>
      <w:lang w:eastAsia="en-AU"/>
    </w:rPr>
  </w:style>
  <w:style w:type="character" w:customStyle="1" w:styleId="Link-Download">
    <w:name w:val="Link - Download"/>
    <w:basedOn w:val="Link-Internal"/>
    <w:qFormat/>
    <w:rsid w:val="0050073D"/>
    <w:rPr>
      <w:color w:val="0000FF"/>
      <w:u w:val="single"/>
      <w:bdr w:val="none" w:sz="0" w:space="0" w:color="auto"/>
      <w:shd w:val="clear" w:color="auto" w:fill="C4BC96" w:themeFill="background2" w:themeFillShade="BF"/>
    </w:rPr>
  </w:style>
  <w:style w:type="character" w:styleId="CommentReference">
    <w:name w:val="annotation reference"/>
    <w:basedOn w:val="DefaultParagraphFont"/>
    <w:locked/>
    <w:rsid w:val="00E57E7D"/>
    <w:rPr>
      <w:sz w:val="16"/>
      <w:szCs w:val="16"/>
    </w:rPr>
  </w:style>
  <w:style w:type="paragraph" w:styleId="CommentText">
    <w:name w:val="annotation text"/>
    <w:basedOn w:val="Normal"/>
    <w:link w:val="CommentTextChar"/>
    <w:locked/>
    <w:rsid w:val="00E57E7D"/>
    <w:rPr>
      <w:sz w:val="20"/>
      <w:szCs w:val="20"/>
    </w:rPr>
  </w:style>
  <w:style w:type="character" w:customStyle="1" w:styleId="CommentTextChar">
    <w:name w:val="Comment Text Char"/>
    <w:basedOn w:val="DefaultParagraphFont"/>
    <w:link w:val="CommentText"/>
    <w:rsid w:val="00E57E7D"/>
    <w:rPr>
      <w:rFonts w:ascii="Arial" w:hAnsi="Arial"/>
      <w:lang w:eastAsia="en-AU"/>
    </w:rPr>
  </w:style>
  <w:style w:type="paragraph" w:styleId="CommentSubject">
    <w:name w:val="annotation subject"/>
    <w:basedOn w:val="CommentText"/>
    <w:next w:val="CommentText"/>
    <w:link w:val="CommentSubjectChar"/>
    <w:locked/>
    <w:rsid w:val="00E57E7D"/>
    <w:rPr>
      <w:b/>
      <w:bCs/>
    </w:rPr>
  </w:style>
  <w:style w:type="character" w:customStyle="1" w:styleId="CommentSubjectChar">
    <w:name w:val="Comment Subject Char"/>
    <w:basedOn w:val="CommentTextChar"/>
    <w:link w:val="CommentSubject"/>
    <w:rsid w:val="00E57E7D"/>
    <w:rPr>
      <w:rFonts w:ascii="Arial" w:hAnsi="Arial"/>
      <w:b/>
      <w:bCs/>
      <w:lang w:eastAsia="en-AU"/>
    </w:rPr>
  </w:style>
  <w:style w:type="paragraph" w:styleId="Revision">
    <w:name w:val="Revision"/>
    <w:hidden/>
    <w:uiPriority w:val="99"/>
    <w:semiHidden/>
    <w:rsid w:val="0050073D"/>
    <w:rPr>
      <w:rFonts w:ascii="Arial" w:hAnsi="Arial"/>
      <w:sz w:val="22"/>
      <w:szCs w:val="24"/>
      <w:lang w:eastAsia="en-AU"/>
    </w:rPr>
  </w:style>
  <w:style w:type="paragraph" w:customStyle="1" w:styleId="VioStreamEmbeddedVideo">
    <w:name w:val="VioStream Embedded Video"/>
    <w:basedOn w:val="YouTubeVideoEmbedded"/>
    <w:qFormat/>
    <w:rsid w:val="0050073D"/>
  </w:style>
  <w:style w:type="character" w:customStyle="1" w:styleId="atoTV-printChar">
    <w:name w:val="atoTV-print Char"/>
    <w:basedOn w:val="DefaultParagraphFont"/>
    <w:link w:val="atoTV-print"/>
    <w:locked/>
    <w:rsid w:val="00275EB2"/>
    <w:rPr>
      <w:rFonts w:ascii="Arial" w:hAnsi="Arial"/>
      <w:sz w:val="24"/>
      <w:szCs w:val="24"/>
      <w:shd w:val="clear" w:color="auto" w:fill="B1F1B3"/>
      <w:lang w:eastAsia="en-AU"/>
    </w:rPr>
  </w:style>
  <w:style w:type="paragraph" w:customStyle="1" w:styleId="atoTV-print">
    <w:name w:val="atoTV-print"/>
    <w:basedOn w:val="Normal"/>
    <w:next w:val="Normal"/>
    <w:link w:val="atoTV-printChar"/>
    <w:qFormat/>
    <w:rsid w:val="0050073D"/>
    <w:pPr>
      <w:shd w:val="clear" w:color="auto" w:fill="B1F1B3"/>
    </w:pPr>
    <w:rPr>
      <w:sz w:val="24"/>
    </w:rPr>
  </w:style>
  <w:style w:type="character" w:customStyle="1" w:styleId="atoTV-frameChar">
    <w:name w:val="atoTV-frame Char"/>
    <w:basedOn w:val="DefaultParagraphFont"/>
    <w:link w:val="atoTV-frame"/>
    <w:locked/>
    <w:rsid w:val="00275EB2"/>
    <w:rPr>
      <w:rFonts w:ascii="Arial" w:hAnsi="Arial" w:cs="Arial"/>
      <w:sz w:val="24"/>
      <w:szCs w:val="24"/>
      <w:shd w:val="clear" w:color="auto" w:fill="99FFCC"/>
      <w:lang w:eastAsia="en-AU"/>
    </w:rPr>
  </w:style>
  <w:style w:type="paragraph" w:customStyle="1" w:styleId="atoTV-frame">
    <w:name w:val="atoTV-frame"/>
    <w:next w:val="atoTV-print"/>
    <w:link w:val="atoTV-frameChar"/>
    <w:qFormat/>
    <w:rsid w:val="0050073D"/>
    <w:pPr>
      <w:shd w:val="clear" w:color="auto" w:fill="99FFCC"/>
    </w:pPr>
    <w:rPr>
      <w:rFonts w:ascii="Arial" w:hAnsi="Arial" w:cs="Arial"/>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212495">
      <w:bodyDiv w:val="1"/>
      <w:marLeft w:val="0"/>
      <w:marRight w:val="0"/>
      <w:marTop w:val="0"/>
      <w:marBottom w:val="0"/>
      <w:divBdr>
        <w:top w:val="none" w:sz="0" w:space="0" w:color="auto"/>
        <w:left w:val="none" w:sz="0" w:space="0" w:color="auto"/>
        <w:bottom w:val="none" w:sz="0" w:space="0" w:color="auto"/>
        <w:right w:val="none" w:sz="0" w:space="0" w:color="auto"/>
      </w:divBdr>
    </w:div>
    <w:div w:id="1445729084">
      <w:bodyDiv w:val="1"/>
      <w:marLeft w:val="0"/>
      <w:marRight w:val="0"/>
      <w:marTop w:val="0"/>
      <w:marBottom w:val="0"/>
      <w:divBdr>
        <w:top w:val="none" w:sz="0" w:space="0" w:color="auto"/>
        <w:left w:val="none" w:sz="0" w:space="0" w:color="auto"/>
        <w:bottom w:val="none" w:sz="0" w:space="0" w:color="auto"/>
        <w:right w:val="none" w:sz="0" w:space="0" w:color="auto"/>
      </w:divBdr>
    </w:div>
    <w:div w:id="15062900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to.gov.au/About-ATO/Research-and-statistics/In-detail/Super-research/SRF711-0-annual-report-1-July-2016---30-June-201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https://www.ato.gov.au/uploadedImages/Content/CR/Images/Research_reports/SRF711_March-report-charts_Fig2.p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www.ato.gov.au/uploadedImages/Content/CR/Images/Research_reports/SRF711_March-report-charts_Fig1.pn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legislation.gov.au/Details/F2015L00827" TargetMode="External"/><Relationship Id="rId4" Type="http://schemas.microsoft.com/office/2007/relationships/stylesWithEffects" Target="stylesWithEffects.xml"/><Relationship Id="rId9" Type="http://schemas.openxmlformats.org/officeDocument/2006/relationships/hyperlink" Target="https://www.ato.gov.au/Super/SuperStream/In-detail/Legal-framework/Legislative-instrument/SuperStream-legislation,-standards-and-schedules/#SuperannuationDataandPaymentStandard"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rod.atonet.gov.au\apps_dfs_root$\Applications\Packages\TEMPLATES\Office\CMS\EktronCMSWeb.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D5680080FD54DAD89B04DD688D359E5"/>
        <w:category>
          <w:name w:val="General"/>
          <w:gallery w:val="placeholder"/>
        </w:category>
        <w:types>
          <w:type w:val="bbPlcHdr"/>
        </w:types>
        <w:behaviors>
          <w:behavior w:val="content"/>
        </w:behaviors>
        <w:guid w:val="{BA34D9C4-C4DE-455E-9B49-8D80EA29EF15}"/>
      </w:docPartPr>
      <w:docPartBody>
        <w:p w:rsidR="00000000" w:rsidRDefault="00C419CC" w:rsidP="00C419CC">
          <w:pPr>
            <w:pStyle w:val="FD5680080FD54DAD89B04DD688D359E5"/>
          </w:pPr>
          <w:r w:rsidRPr="004728EB">
            <w:rPr>
              <w:rStyle w:val="PlaceholderText"/>
            </w:rPr>
            <w:t>Click here to enter text.</w:t>
          </w:r>
        </w:p>
      </w:docPartBody>
    </w:docPart>
    <w:docPart>
      <w:docPartPr>
        <w:name w:val="C2663934989F49C7A01F9ED30242D794"/>
        <w:category>
          <w:name w:val="General"/>
          <w:gallery w:val="placeholder"/>
        </w:category>
        <w:types>
          <w:type w:val="bbPlcHdr"/>
        </w:types>
        <w:behaviors>
          <w:behavior w:val="content"/>
        </w:behaviors>
        <w:guid w:val="{755DFDDC-D312-4440-9E09-AF2FA5B88F2F}"/>
      </w:docPartPr>
      <w:docPartBody>
        <w:p w:rsidR="00000000" w:rsidRDefault="00C419CC" w:rsidP="00C419CC">
          <w:pPr>
            <w:pStyle w:val="C2663934989F49C7A01F9ED30242D794"/>
          </w:pPr>
          <w:r w:rsidRPr="00832F41">
            <w:t>Doc quick code</w:t>
          </w:r>
        </w:p>
      </w:docPartBody>
    </w:docPart>
    <w:docPart>
      <w:docPartPr>
        <w:name w:val="0236877D218B4C44AA9B148742630EAC"/>
        <w:category>
          <w:name w:val="General"/>
          <w:gallery w:val="placeholder"/>
        </w:category>
        <w:types>
          <w:type w:val="bbPlcHdr"/>
        </w:types>
        <w:behaviors>
          <w:behavior w:val="content"/>
        </w:behaviors>
        <w:guid w:val="{88956E09-2CAF-441C-B175-3DC0B2F5D30B}"/>
      </w:docPartPr>
      <w:docPartBody>
        <w:p w:rsidR="00000000" w:rsidRDefault="00C419CC" w:rsidP="00C419CC">
          <w:pPr>
            <w:pStyle w:val="0236877D218B4C44AA9B148742630EAC"/>
          </w:pPr>
          <w:r>
            <w:rPr>
              <w:rStyle w:val="PlaceholderText"/>
            </w:rPr>
            <w:t>Abstract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B1"/>
    <w:rsid w:val="001A3611"/>
    <w:rsid w:val="004934B1"/>
    <w:rsid w:val="00AE44DE"/>
    <w:rsid w:val="00C419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19CC"/>
    <w:rPr>
      <w:color w:val="808080"/>
    </w:rPr>
  </w:style>
  <w:style w:type="paragraph" w:customStyle="1" w:styleId="4B7B15A9FC294367896E0D7DC42C1AE8">
    <w:name w:val="4B7B15A9FC294367896E0D7DC42C1AE8"/>
    <w:rsid w:val="004934B1"/>
  </w:style>
  <w:style w:type="paragraph" w:customStyle="1" w:styleId="CBCFA12020094A2983629D14FA11394B">
    <w:name w:val="CBCFA12020094A2983629D14FA11394B"/>
    <w:rsid w:val="004934B1"/>
  </w:style>
  <w:style w:type="paragraph" w:customStyle="1" w:styleId="A5DCF48DDD3C44D4A9DA67FE1B95C22D">
    <w:name w:val="A5DCF48DDD3C44D4A9DA67FE1B95C22D"/>
    <w:rsid w:val="004934B1"/>
  </w:style>
  <w:style w:type="paragraph" w:customStyle="1" w:styleId="FD5680080FD54DAD89B04DD688D359E5">
    <w:name w:val="FD5680080FD54DAD89B04DD688D359E5"/>
    <w:rsid w:val="00C419CC"/>
  </w:style>
  <w:style w:type="paragraph" w:customStyle="1" w:styleId="C2663934989F49C7A01F9ED30242D794">
    <w:name w:val="C2663934989F49C7A01F9ED30242D794"/>
    <w:rsid w:val="00C419CC"/>
  </w:style>
  <w:style w:type="paragraph" w:customStyle="1" w:styleId="9BCBD56D7406489684210A61C4EFE563">
    <w:name w:val="9BCBD56D7406489684210A61C4EFE563"/>
    <w:rsid w:val="00C419CC"/>
  </w:style>
  <w:style w:type="paragraph" w:customStyle="1" w:styleId="0236877D218B4C44AA9B148742630EAC">
    <w:name w:val="0236877D218B4C44AA9B148742630EAC"/>
    <w:rsid w:val="00C419C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19CC"/>
    <w:rPr>
      <w:color w:val="808080"/>
    </w:rPr>
  </w:style>
  <w:style w:type="paragraph" w:customStyle="1" w:styleId="4B7B15A9FC294367896E0D7DC42C1AE8">
    <w:name w:val="4B7B15A9FC294367896E0D7DC42C1AE8"/>
    <w:rsid w:val="004934B1"/>
  </w:style>
  <w:style w:type="paragraph" w:customStyle="1" w:styleId="CBCFA12020094A2983629D14FA11394B">
    <w:name w:val="CBCFA12020094A2983629D14FA11394B"/>
    <w:rsid w:val="004934B1"/>
  </w:style>
  <w:style w:type="paragraph" w:customStyle="1" w:styleId="A5DCF48DDD3C44D4A9DA67FE1B95C22D">
    <w:name w:val="A5DCF48DDD3C44D4A9DA67FE1B95C22D"/>
    <w:rsid w:val="004934B1"/>
  </w:style>
  <w:style w:type="paragraph" w:customStyle="1" w:styleId="FD5680080FD54DAD89B04DD688D359E5">
    <w:name w:val="FD5680080FD54DAD89B04DD688D359E5"/>
    <w:rsid w:val="00C419CC"/>
  </w:style>
  <w:style w:type="paragraph" w:customStyle="1" w:styleId="C2663934989F49C7A01F9ED30242D794">
    <w:name w:val="C2663934989F49C7A01F9ED30242D794"/>
    <w:rsid w:val="00C419CC"/>
  </w:style>
  <w:style w:type="paragraph" w:customStyle="1" w:styleId="9BCBD56D7406489684210A61C4EFE563">
    <w:name w:val="9BCBD56D7406489684210A61C4EFE563"/>
    <w:rsid w:val="00C419CC"/>
  </w:style>
  <w:style w:type="paragraph" w:customStyle="1" w:styleId="0236877D218B4C44AA9B148742630EAC">
    <w:name w:val="0236877D218B4C44AA9B148742630EAC"/>
    <w:rsid w:val="00C419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EB898-0B96-4C77-9504-97EFDEC7B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EktronCMSWeb</Template>
  <TotalTime>4</TotalTime>
  <Pages>1</Pages>
  <Words>1692</Words>
  <Characters>9646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Ektron Word Template</vt:lpstr>
    </vt:vector>
  </TitlesOfParts>
  <Company>Australian Taxation Office</Company>
  <LinksUpToDate>false</LinksUpToDate>
  <CharactersWithSpaces>11316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Ektron Word Template</dc:title>
  <dc:subject>Ektron Word Template</dc:subject>
  <dc:creator>Matthews, Paul E</dc:creator>
  <dc:description>This is a controlled template that can be transformed into HTML for the Ektron CMS.</dc:description>
  <cp:lastModifiedBy>Forbes, Teresa</cp:lastModifiedBy>
  <cp:revision>3</cp:revision>
  <cp:lastPrinted>1900-12-31T14:00:00Z</cp:lastPrinted>
  <dcterms:created xsi:type="dcterms:W3CDTF">2018-06-05T02:24:00Z</dcterms:created>
  <dcterms:modified xsi:type="dcterms:W3CDTF">2018-09-06T23:37:00Z</dcterms:modified>
  <cp:contentStatus>Build 2017.3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main">
    <vt:lpwstr>ATO</vt:lpwstr>
  </property>
  <property fmtid="{D5CDD505-2E9C-101B-9397-08002B2CF9AE}" pid="3" name="Segment">
    <vt:lpwstr>About-ATO</vt:lpwstr>
  </property>
  <property fmtid="{D5CDD505-2E9C-101B-9397-08002B2CF9AE}" pid="4" name="Aggregate">
    <vt:bool>false</vt:bool>
  </property>
</Properties>
</file>